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08EF47" w14:textId="27CCEF99" w:rsidR="00E45C37" w:rsidRPr="001D30AD" w:rsidRDefault="006E7AE6" w:rsidP="001D30AD">
      <w:pPr>
        <w:spacing w:before="240" w:line="480" w:lineRule="auto"/>
        <w:rPr>
          <w:b/>
          <w:bCs/>
        </w:rPr>
      </w:pPr>
      <w:r w:rsidRPr="001D30AD">
        <w:rPr>
          <w:b/>
          <w:bCs/>
        </w:rPr>
        <w:t>METHODS</w:t>
      </w:r>
    </w:p>
    <w:p w14:paraId="7156D8F0" w14:textId="05D8C199" w:rsidR="00087E9E" w:rsidRPr="00076585" w:rsidRDefault="007C7562" w:rsidP="00087E9E">
      <w:pPr>
        <w:spacing w:before="240" w:line="480" w:lineRule="auto"/>
        <w:rPr>
          <w:bCs/>
          <w:color w:val="000000" w:themeColor="text1"/>
        </w:rPr>
      </w:pPr>
      <w:r w:rsidRPr="002E69A1">
        <w:rPr>
          <w:b/>
          <w:bCs/>
        </w:rPr>
        <w:t>Biosafety and ethics.</w:t>
      </w:r>
      <w:r w:rsidR="0064689B">
        <w:rPr>
          <w:b/>
          <w:bCs/>
        </w:rPr>
        <w:t xml:space="preserve"> </w:t>
      </w:r>
      <w:r w:rsidR="00087E9E">
        <w:rPr>
          <w:bCs/>
          <w:color w:val="000000" w:themeColor="text1"/>
        </w:rPr>
        <w:t>This s</w:t>
      </w:r>
      <w:r w:rsidR="00087E9E" w:rsidRPr="00076585">
        <w:rPr>
          <w:bCs/>
          <w:color w:val="000000" w:themeColor="text1"/>
        </w:rPr>
        <w:t>tud</w:t>
      </w:r>
      <w:r w:rsidR="00087E9E">
        <w:rPr>
          <w:bCs/>
          <w:color w:val="000000" w:themeColor="text1"/>
        </w:rPr>
        <w:t>y</w:t>
      </w:r>
      <w:r w:rsidR="00087E9E" w:rsidRPr="00076585">
        <w:rPr>
          <w:bCs/>
          <w:color w:val="000000" w:themeColor="text1"/>
        </w:rPr>
        <w:t xml:space="preserve"> w</w:t>
      </w:r>
      <w:r w:rsidR="00087E9E">
        <w:rPr>
          <w:bCs/>
          <w:color w:val="000000" w:themeColor="text1"/>
        </w:rPr>
        <w:t>as</w:t>
      </w:r>
      <w:r w:rsidR="00087E9E" w:rsidRPr="00076585">
        <w:rPr>
          <w:bCs/>
          <w:color w:val="000000" w:themeColor="text1"/>
        </w:rPr>
        <w:t xml:space="preserve"> approved by the Institutional Biosafety Committee (IBC) and performed in high biocontainment (BSL4) at Rocky Mountain Laboratories (RML), NIAID, NIH. All sample processing and sample removal </w:t>
      </w:r>
      <w:r w:rsidR="00087E9E">
        <w:rPr>
          <w:bCs/>
          <w:color w:val="000000" w:themeColor="text1"/>
        </w:rPr>
        <w:t xml:space="preserve">from high containment </w:t>
      </w:r>
      <w:r w:rsidR="00087E9E" w:rsidRPr="00076585">
        <w:rPr>
          <w:bCs/>
          <w:color w:val="000000" w:themeColor="text1"/>
        </w:rPr>
        <w:t xml:space="preserve">followed IBC-approved Standard Operating Protocols (SOPs). </w:t>
      </w:r>
      <w:r w:rsidR="00087E9E">
        <w:rPr>
          <w:bCs/>
          <w:color w:val="000000" w:themeColor="text1"/>
        </w:rPr>
        <w:t>This study</w:t>
      </w:r>
      <w:r w:rsidR="00087E9E" w:rsidRPr="00076585">
        <w:rPr>
          <w:bCs/>
          <w:color w:val="000000" w:themeColor="text1"/>
        </w:rPr>
        <w:t xml:space="preserve"> w</w:t>
      </w:r>
      <w:r w:rsidR="00087E9E">
        <w:rPr>
          <w:bCs/>
          <w:color w:val="000000" w:themeColor="text1"/>
        </w:rPr>
        <w:t>as</w:t>
      </w:r>
      <w:r w:rsidR="00087E9E" w:rsidRPr="00076585">
        <w:rPr>
          <w:bCs/>
          <w:color w:val="000000" w:themeColor="text1"/>
        </w:rPr>
        <w:t xml:space="preserve"> performed in strict accordance with </w:t>
      </w:r>
      <w:r w:rsidR="002C1790">
        <w:rPr>
          <w:bCs/>
          <w:color w:val="000000" w:themeColor="text1"/>
        </w:rPr>
        <w:t xml:space="preserve">an </w:t>
      </w:r>
      <w:r w:rsidR="00087E9E" w:rsidRPr="00076585">
        <w:rPr>
          <w:bCs/>
          <w:color w:val="000000" w:themeColor="text1"/>
        </w:rPr>
        <w:t xml:space="preserve">approved Institutional Animal Care and Use Committee protocol and following recommendations from the Guide for the Care and Use of Laboratory Animals of the Office of Animal Welfare, National Institutes of Health and the Animal Welfare Act of the US Department of Agriculture, in an AAALAC-accredited facility. </w:t>
      </w:r>
      <w:r w:rsidR="00087E9E">
        <w:rPr>
          <w:bCs/>
          <w:color w:val="000000" w:themeColor="text1"/>
        </w:rPr>
        <w:t>Cynomolgus macaques</w:t>
      </w:r>
      <w:r w:rsidR="00087E9E" w:rsidRPr="00076585">
        <w:rPr>
          <w:bCs/>
          <w:color w:val="000000" w:themeColor="text1"/>
        </w:rPr>
        <w:t xml:space="preserve"> were placed in a climate-controlled room with a fixed 12-hour light-dark cycle. Animals were singly housed in adjacent primate cages allowing social interactions and provided with commercial monkey chow, treats, and fruit twice daily with water </w:t>
      </w:r>
      <w:r w:rsidR="00087E9E" w:rsidRPr="00076585">
        <w:rPr>
          <w:bCs/>
          <w:i/>
          <w:iCs/>
          <w:color w:val="000000" w:themeColor="text1"/>
        </w:rPr>
        <w:t>ad libitum</w:t>
      </w:r>
      <w:r w:rsidR="00087E9E" w:rsidRPr="00076585">
        <w:rPr>
          <w:bCs/>
          <w:color w:val="000000" w:themeColor="text1"/>
        </w:rPr>
        <w:t xml:space="preserve">. Environmental enrichment was provided with a variety of human interaction, manipulanda, commercial toys, movies, and music. </w:t>
      </w:r>
      <w:r w:rsidR="00087E9E">
        <w:rPr>
          <w:bCs/>
          <w:color w:val="000000" w:themeColor="text1"/>
        </w:rPr>
        <w:t>The animals</w:t>
      </w:r>
      <w:r w:rsidR="00087E9E" w:rsidRPr="00076585">
        <w:rPr>
          <w:bCs/>
          <w:color w:val="000000" w:themeColor="text1"/>
        </w:rPr>
        <w:t xml:space="preserve"> were monitored at least twice daily throughout the study.</w:t>
      </w:r>
    </w:p>
    <w:p w14:paraId="2DA61CD1" w14:textId="77777777" w:rsidR="007C7562" w:rsidRDefault="007C7562" w:rsidP="001D30AD">
      <w:pPr>
        <w:spacing w:before="240" w:line="480" w:lineRule="auto"/>
        <w:rPr>
          <w:b/>
          <w:bCs/>
        </w:rPr>
      </w:pPr>
    </w:p>
    <w:p w14:paraId="67CEE546" w14:textId="1A0D1AED" w:rsidR="00EE0946" w:rsidRDefault="007A673A" w:rsidP="00EE0946">
      <w:pPr>
        <w:spacing w:before="240" w:line="480" w:lineRule="auto"/>
        <w:rPr>
          <w:b/>
          <w:bCs/>
        </w:rPr>
      </w:pPr>
      <w:r>
        <w:rPr>
          <w:b/>
          <w:bCs/>
        </w:rPr>
        <w:t>Animal study design.</w:t>
      </w:r>
      <w:r w:rsidR="0064689B">
        <w:t xml:space="preserve"> </w:t>
      </w:r>
      <w:r w:rsidR="007C7562">
        <w:t xml:space="preserve">Cynomolgus macaques were divided into 3 groups of 6 animals to assess disease following inoculation by 3 different routes. </w:t>
      </w:r>
      <w:r w:rsidR="00606FAF">
        <w:t>Animals were inoculated with 10</w:t>
      </w:r>
      <w:r w:rsidR="00606FAF">
        <w:rPr>
          <w:vertAlign w:val="superscript"/>
        </w:rPr>
        <w:t>7</w:t>
      </w:r>
      <w:r w:rsidR="00606FAF">
        <w:t xml:space="preserve"> TCID50 of the contemporary bovine isolate (</w:t>
      </w:r>
      <w:r w:rsidR="00606FAF" w:rsidRPr="00606FAF">
        <w:t>A/bovine/OH/B24OSU-342/2024</w:t>
      </w:r>
      <w:r w:rsidR="00606FAF">
        <w:t xml:space="preserve">) via </w:t>
      </w:r>
      <w:r w:rsidR="002E69A1">
        <w:t>o</w:t>
      </w:r>
      <w:r w:rsidR="007C7562">
        <w:t>rogastric</w:t>
      </w:r>
      <w:r w:rsidR="00606FAF">
        <w:t xml:space="preserve"> administration (n=6, 1.7 x 10</w:t>
      </w:r>
      <w:r w:rsidR="00606FAF">
        <w:rPr>
          <w:vertAlign w:val="superscript"/>
        </w:rPr>
        <w:t>6</w:t>
      </w:r>
      <w:r w:rsidR="00606FAF">
        <w:t xml:space="preserve"> TCID50s orally, 8.3 x 10</w:t>
      </w:r>
      <w:r w:rsidR="00606FAF">
        <w:rPr>
          <w:vertAlign w:val="superscript"/>
        </w:rPr>
        <w:t>6</w:t>
      </w:r>
      <w:r w:rsidR="00606FAF">
        <w:t xml:space="preserve"> TCID50s gastric)</w:t>
      </w:r>
      <w:r w:rsidR="007C7562">
        <w:t>, intranasal (n=6</w:t>
      </w:r>
      <w:r w:rsidR="00606FAF">
        <w:t>, 10</w:t>
      </w:r>
      <w:r w:rsidR="00606FAF">
        <w:rPr>
          <w:vertAlign w:val="superscript"/>
        </w:rPr>
        <w:t xml:space="preserve">7 </w:t>
      </w:r>
      <w:r w:rsidR="00606FAF">
        <w:t>TCID50s</w:t>
      </w:r>
      <w:r w:rsidR="007C7562">
        <w:t>) and intratracheal (n=6</w:t>
      </w:r>
      <w:r w:rsidR="00606FAF">
        <w:t>, TCID50s</w:t>
      </w:r>
      <w:r w:rsidR="007C7562">
        <w:t>)</w:t>
      </w:r>
      <w:r w:rsidR="00606FAF">
        <w:t xml:space="preserve"> routes.</w:t>
      </w:r>
      <w:r w:rsidR="00346077">
        <w:t xml:space="preserve"> The animals were further divided into 2 groups (n=3 per inoculation group) for </w:t>
      </w:r>
      <w:r w:rsidR="002E69A1">
        <w:t xml:space="preserve">a </w:t>
      </w:r>
      <w:r w:rsidR="00346077">
        <w:t>long-term study</w:t>
      </w:r>
      <w:r w:rsidR="00417CF0">
        <w:t xml:space="preserve"> (D14) </w:t>
      </w:r>
      <w:r w:rsidR="002E69A1">
        <w:t xml:space="preserve">to establish disease progression </w:t>
      </w:r>
      <w:r w:rsidR="00346077">
        <w:t xml:space="preserve">and the second to establish </w:t>
      </w:r>
      <w:r w:rsidR="00417CF0">
        <w:t xml:space="preserve">disease </w:t>
      </w:r>
      <w:r w:rsidR="00346077">
        <w:t>parameters</w:t>
      </w:r>
      <w:r w:rsidR="00417CF0">
        <w:t xml:space="preserve"> during the acute phase of infection (D4/5)</w:t>
      </w:r>
      <w:r w:rsidR="00346077">
        <w:t>.</w:t>
      </w:r>
      <w:r w:rsidR="00606FAF">
        <w:t xml:space="preserve"> </w:t>
      </w:r>
    </w:p>
    <w:p w14:paraId="544C1543" w14:textId="59D9B564" w:rsidR="00EE0946" w:rsidRDefault="00EE0946" w:rsidP="00EE0946">
      <w:pPr>
        <w:spacing w:before="240" w:line="480" w:lineRule="auto"/>
      </w:pPr>
      <w:r>
        <w:lastRenderedPageBreak/>
        <w:t>The orogastric inoculation route consisted of 6mls of inoculum being deposited into the stomach with a feeding tube and 5mls of water was used to flush the feeding tube before removal. Immediately following the intragastric installation, 1ml of the inoculum was pipetted into the oral cavity. The intranasal inoculation was performed with a Mucosal Atomization Device (</w:t>
      </w:r>
      <w:r w:rsidR="00EE68EC">
        <w:t>Teleflex Medical</w:t>
      </w:r>
      <w:r>
        <w:t xml:space="preserve">) attached to a 1ml syringe. </w:t>
      </w:r>
      <w:r w:rsidR="00643DDE">
        <w:t>Inoculum was</w:t>
      </w:r>
      <w:r>
        <w:t xml:space="preserve"> injected directly into the nose (500ul each </w:t>
      </w:r>
      <w:proofErr w:type="spellStart"/>
      <w:r>
        <w:t>nare</w:t>
      </w:r>
      <w:proofErr w:type="spellEnd"/>
      <w:r>
        <w:t xml:space="preserve">). </w:t>
      </w:r>
      <w:r w:rsidR="00BA22F1" w:rsidRPr="00BA22F1">
        <w:t xml:space="preserve">Intratracheal inoculation was performed by inserting an endotracheal tube into the trachea with the aid of a laryngoscope. After visual confirmation of intubation, 4 </w:t>
      </w:r>
      <w:proofErr w:type="spellStart"/>
      <w:r w:rsidR="00BA22F1" w:rsidRPr="00BA22F1">
        <w:t>mLs</w:t>
      </w:r>
      <w:proofErr w:type="spellEnd"/>
      <w:r w:rsidR="00BA22F1" w:rsidRPr="00BA22F1">
        <w:t xml:space="preserve"> of inoculum followed by 6 mL of air was pushed through a</w:t>
      </w:r>
      <w:r w:rsidR="002C1790">
        <w:t>n</w:t>
      </w:r>
      <w:r w:rsidR="00BA22F1" w:rsidRPr="00BA22F1">
        <w:t xml:space="preserve"> 8</w:t>
      </w:r>
      <w:r w:rsidR="002C1790">
        <w:t>-</w:t>
      </w:r>
      <w:r w:rsidR="00BA22F1" w:rsidRPr="00BA22F1">
        <w:t>french nasal gastric feeding tube fed through the endotracheal tube. The endotracheal tube was then removed</w:t>
      </w:r>
      <w:r w:rsidR="00BA22F1">
        <w:t>.</w:t>
      </w:r>
    </w:p>
    <w:p w14:paraId="429C6D03" w14:textId="4B7DF772" w:rsidR="009A6498" w:rsidRDefault="00EE0946" w:rsidP="001D30AD">
      <w:pPr>
        <w:spacing w:before="240" w:line="480" w:lineRule="auto"/>
      </w:pPr>
      <w:r>
        <w:t xml:space="preserve">Animals were scored daily </w:t>
      </w:r>
      <w:r w:rsidR="00337A20">
        <w:t xml:space="preserve">by a researcher </w:t>
      </w:r>
      <w:r w:rsidR="00337A20" w:rsidRPr="00337A20">
        <w:t>blinded to the study groups</w:t>
      </w:r>
      <w:r w:rsidR="00337A20">
        <w:t>. They</w:t>
      </w:r>
      <w:r w:rsidR="00337A20" w:rsidRPr="00337A20">
        <w:t xml:space="preserve"> assessed the animals throughout the study using a standardized scoring sheet based on the evaluation of the following criteria: general appearance and activity, appearance of skin and coat, discharge, respiration, feces and urine output, and appetite.</w:t>
      </w:r>
      <w:r w:rsidR="00337A20">
        <w:t xml:space="preserve"> The predetermined end point was a score of 30 or higher. </w:t>
      </w:r>
      <w:r w:rsidR="00346077">
        <w:t>Physical exams were performed pre-challenge and on D0, D1, D3, D5, D7, D9, D11</w:t>
      </w:r>
      <w:r w:rsidR="00643DDE">
        <w:t xml:space="preserve"> and</w:t>
      </w:r>
      <w:r w:rsidR="00346077">
        <w:t xml:space="preserve"> D14</w:t>
      </w:r>
      <w:r w:rsidR="00643DDE">
        <w:t xml:space="preserve"> </w:t>
      </w:r>
      <w:r w:rsidR="00346077">
        <w:t xml:space="preserve">for sample collection.  Swabs (oral, nasal, rectal) and blood samples were collected to determine viral loads </w:t>
      </w:r>
      <w:r w:rsidR="00643DDE">
        <w:t xml:space="preserve">and virus titers </w:t>
      </w:r>
      <w:r w:rsidR="00346077">
        <w:t xml:space="preserve">as well as hematology, biochemistry, cytokines and antibody levels. Bronchiolar brushes (BABs) were collected pre-challenge and on D3, D9 and at the study endpoint. Tissue samples were collected for viral load determination and histologic analysis at euthanasia. </w:t>
      </w:r>
    </w:p>
    <w:p w14:paraId="1A96A17A" w14:textId="52D4342F" w:rsidR="007C7562" w:rsidRPr="007C7562" w:rsidRDefault="0064689B" w:rsidP="001D30AD">
      <w:pPr>
        <w:spacing w:before="240" w:line="480" w:lineRule="auto"/>
      </w:pPr>
      <w:r w:rsidRPr="000A729F">
        <w:rPr>
          <w:b/>
          <w:bCs/>
        </w:rPr>
        <w:t xml:space="preserve">Viruses and cells. </w:t>
      </w:r>
      <w:r w:rsidRPr="000A729F">
        <w:t xml:space="preserve">The HPAI H5N1 virus strain A/bovine/OH/B24OSU-342/2024 was grown and titrated on </w:t>
      </w:r>
      <w:proofErr w:type="spellStart"/>
      <w:r w:rsidRPr="000A729F">
        <w:t>Madin</w:t>
      </w:r>
      <w:proofErr w:type="spellEnd"/>
      <w:r w:rsidRPr="000A729F">
        <w:t>-Darby canine kidney (</w:t>
      </w:r>
      <w:r w:rsidRPr="000A729F">
        <w:rPr>
          <w:lang w:val="en-GB"/>
        </w:rPr>
        <w:t>MDCK) cells in</w:t>
      </w:r>
      <w:r w:rsidR="00643DDE">
        <w:rPr>
          <w:lang w:val="en-GB"/>
        </w:rPr>
        <w:t xml:space="preserve"> infection media:</w:t>
      </w:r>
      <w:r w:rsidRPr="000A729F">
        <w:rPr>
          <w:lang w:val="en-GB"/>
        </w:rPr>
        <w:t xml:space="preserve"> </w:t>
      </w:r>
      <w:r w:rsidRPr="000A729F">
        <w:t>Minimal Essential Media</w:t>
      </w:r>
      <w:r w:rsidRPr="000A729F">
        <w:rPr>
          <w:lang w:val="en-GB"/>
        </w:rPr>
        <w:t xml:space="preserve"> (MEM) (Sigma-Aldrich, St. Louis, MO) containing 4µg/ml trypsin, 2mM L-glutamine, 50U/mL penicillin, 50µg/ml streptomycin, 1% NEAA, 20mM HEPES</w:t>
      </w:r>
      <w:r w:rsidRPr="000A729F">
        <w:t xml:space="preserve"> (all </w:t>
      </w:r>
      <w:proofErr w:type="spellStart"/>
      <w:r w:rsidRPr="000A729F">
        <w:t>Thermo</w:t>
      </w:r>
      <w:proofErr w:type="spellEnd"/>
      <w:r w:rsidRPr="000A729F">
        <w:t xml:space="preserve"> Fisher </w:t>
      </w:r>
      <w:r w:rsidRPr="000A729F">
        <w:lastRenderedPageBreak/>
        <w:t xml:space="preserve">Scientific, Waltham, MA). MDCK cells were maintained in </w:t>
      </w:r>
      <w:r w:rsidRPr="000A729F">
        <w:rPr>
          <w:lang w:val="en-GB"/>
        </w:rPr>
        <w:t>MEM</w:t>
      </w:r>
      <w:r w:rsidRPr="000A729F">
        <w:t xml:space="preserve"> </w:t>
      </w:r>
      <w:r w:rsidRPr="000A729F">
        <w:rPr>
          <w:lang w:val="en-GB"/>
        </w:rPr>
        <w:t xml:space="preserve">supplemented with 10% </w:t>
      </w:r>
      <w:proofErr w:type="spellStart"/>
      <w:r w:rsidRPr="000A729F">
        <w:rPr>
          <w:lang w:val="en-GB"/>
        </w:rPr>
        <w:t>fetal</w:t>
      </w:r>
      <w:proofErr w:type="spellEnd"/>
      <w:r w:rsidRPr="000A729F">
        <w:rPr>
          <w:lang w:val="en-GB"/>
        </w:rPr>
        <w:t xml:space="preserve"> bovine serum (FBS)</w:t>
      </w:r>
      <w:r w:rsidRPr="000A729F">
        <w:t xml:space="preserve"> (Wisent Inc., St. Bruno, Canada)</w:t>
      </w:r>
      <w:r w:rsidRPr="000A729F">
        <w:rPr>
          <w:lang w:val="en-GB"/>
        </w:rPr>
        <w:t>, 2mM L-glutamine, 50U/mL penicillin, 50</w:t>
      </w:r>
      <w:r w:rsidRPr="000A729F">
        <w:rPr>
          <w:lang w:val="en-GB"/>
        </w:rPr>
        <w:sym w:font="Symbol" w:char="F06D"/>
      </w:r>
      <w:r w:rsidRPr="000A729F">
        <w:rPr>
          <w:lang w:val="en-GB"/>
        </w:rPr>
        <w:t>g/ml streptomycin, 1% non-essential amino acids (NEAA) and 20mM HEPES.</w:t>
      </w:r>
    </w:p>
    <w:p w14:paraId="10E1DE77" w14:textId="4730AD4D" w:rsidR="00087E9E" w:rsidRPr="00076585" w:rsidRDefault="00087E9E" w:rsidP="00087E9E">
      <w:pPr>
        <w:spacing w:before="240" w:line="480" w:lineRule="auto"/>
        <w:rPr>
          <w:b/>
          <w:bCs/>
          <w:color w:val="000000" w:themeColor="text1"/>
        </w:rPr>
      </w:pPr>
      <w:r w:rsidRPr="00076585">
        <w:rPr>
          <w:b/>
          <w:bCs/>
          <w:color w:val="000000" w:themeColor="text1"/>
        </w:rPr>
        <w:t xml:space="preserve">Viral RNA detection. </w:t>
      </w:r>
      <w:r w:rsidRPr="00076585">
        <w:rPr>
          <w:bCs/>
          <w:color w:val="000000" w:themeColor="text1"/>
        </w:rPr>
        <w:t xml:space="preserve">qPCR was performed on RNA samples extracted from swabs or tissues using </w:t>
      </w:r>
      <w:proofErr w:type="spellStart"/>
      <w:r w:rsidRPr="00076585">
        <w:rPr>
          <w:bCs/>
          <w:color w:val="000000" w:themeColor="text1"/>
        </w:rPr>
        <w:t>QiaAmp</w:t>
      </w:r>
      <w:proofErr w:type="spellEnd"/>
      <w:r w:rsidRPr="00076585">
        <w:rPr>
          <w:bCs/>
          <w:color w:val="000000" w:themeColor="text1"/>
        </w:rPr>
        <w:t xml:space="preserve"> Viral RNA or RNeasy kits, respectively (Qiagen, Germantown, MD, USA). Viral RNA was detected with </w:t>
      </w:r>
      <w:r w:rsidR="00530030">
        <w:rPr>
          <w:bCs/>
          <w:color w:val="000000" w:themeColor="text1"/>
        </w:rPr>
        <w:t>a</w:t>
      </w:r>
      <w:r w:rsidR="00530030" w:rsidRPr="00076585">
        <w:rPr>
          <w:bCs/>
          <w:color w:val="000000" w:themeColor="text1"/>
        </w:rPr>
        <w:t xml:space="preserve"> </w:t>
      </w:r>
      <w:r w:rsidR="00530030">
        <w:rPr>
          <w:bCs/>
          <w:color w:val="000000" w:themeColor="text1"/>
        </w:rPr>
        <w:t xml:space="preserve">Luna one-step RT-qPCR kit (New England </w:t>
      </w:r>
      <w:proofErr w:type="spellStart"/>
      <w:r w:rsidR="00530030">
        <w:rPr>
          <w:bCs/>
          <w:color w:val="000000" w:themeColor="text1"/>
        </w:rPr>
        <w:t>BioLabs</w:t>
      </w:r>
      <w:proofErr w:type="spellEnd"/>
      <w:r w:rsidR="00530030">
        <w:rPr>
          <w:bCs/>
          <w:color w:val="000000" w:themeColor="text1"/>
        </w:rPr>
        <w:t xml:space="preserve">) </w:t>
      </w:r>
      <w:r w:rsidRPr="00076585">
        <w:rPr>
          <w:bCs/>
          <w:color w:val="000000" w:themeColor="text1"/>
        </w:rPr>
        <w:t>designed to amplify total viral RNA</w:t>
      </w:r>
      <w:r w:rsidR="009B1D5E">
        <w:rPr>
          <w:bCs/>
          <w:color w:val="000000" w:themeColor="text1"/>
        </w:rPr>
        <w:t xml:space="preserve"> from the matrix </w:t>
      </w:r>
      <w:r w:rsidR="00643DDE">
        <w:rPr>
          <w:bCs/>
          <w:color w:val="000000" w:themeColor="text1"/>
        </w:rPr>
        <w:t>gene</w:t>
      </w:r>
      <w:r w:rsidRPr="00076585">
        <w:rPr>
          <w:bCs/>
          <w:color w:val="000000" w:themeColor="text1"/>
        </w:rPr>
        <w:t xml:space="preserve">. </w:t>
      </w:r>
      <w:r w:rsidR="00B531A0">
        <w:rPr>
          <w:bCs/>
          <w:color w:val="000000" w:themeColor="text1"/>
        </w:rPr>
        <w:t>Primers</w:t>
      </w:r>
      <w:r w:rsidR="00530030">
        <w:rPr>
          <w:bCs/>
          <w:color w:val="000000" w:themeColor="text1"/>
        </w:rPr>
        <w:t xml:space="preserve"> and probe</w:t>
      </w:r>
      <w:r w:rsidR="00B531A0">
        <w:rPr>
          <w:bCs/>
          <w:color w:val="000000" w:themeColor="text1"/>
        </w:rPr>
        <w:t xml:space="preserve"> use</w:t>
      </w:r>
      <w:r w:rsidR="00530030">
        <w:rPr>
          <w:bCs/>
          <w:color w:val="000000" w:themeColor="text1"/>
        </w:rPr>
        <w:t>d to amplify the viral RNA are as follows; Forward primer 5’-</w:t>
      </w:r>
      <w:r w:rsidR="00530030" w:rsidRPr="00530030">
        <w:t xml:space="preserve"> </w:t>
      </w:r>
      <w:r w:rsidR="00530030" w:rsidRPr="00530030">
        <w:rPr>
          <w:bCs/>
          <w:color w:val="000000" w:themeColor="text1"/>
        </w:rPr>
        <w:t>AAGACCAATCCTGTCACCTCTGA</w:t>
      </w:r>
      <w:r w:rsidR="00530030">
        <w:rPr>
          <w:bCs/>
          <w:color w:val="000000" w:themeColor="text1"/>
        </w:rPr>
        <w:t>-3’, Reverse primer 5’-</w:t>
      </w:r>
      <w:r w:rsidR="00530030" w:rsidRPr="00530030">
        <w:t xml:space="preserve"> </w:t>
      </w:r>
      <w:r w:rsidR="00530030" w:rsidRPr="00530030">
        <w:rPr>
          <w:bCs/>
          <w:color w:val="000000" w:themeColor="text1"/>
        </w:rPr>
        <w:t>CAAAGCGTCTACGCTGCAGTCC</w:t>
      </w:r>
      <w:r w:rsidR="00530030">
        <w:rPr>
          <w:bCs/>
          <w:color w:val="000000" w:themeColor="text1"/>
        </w:rPr>
        <w:t xml:space="preserve">-3’, and probe </w:t>
      </w:r>
      <w:r w:rsidR="001A7D3E">
        <w:rPr>
          <w:bCs/>
          <w:color w:val="000000" w:themeColor="text1"/>
        </w:rPr>
        <w:t>3’</w:t>
      </w:r>
      <w:r w:rsidR="00643DDE">
        <w:rPr>
          <w:bCs/>
          <w:color w:val="000000" w:themeColor="text1"/>
        </w:rPr>
        <w:t>FAM</w:t>
      </w:r>
      <w:r w:rsidR="00530030" w:rsidRPr="00530030">
        <w:rPr>
          <w:bCs/>
          <w:color w:val="000000" w:themeColor="text1"/>
        </w:rPr>
        <w:t>-TTTGTGTTCACGCTCACCGTGCC-TAMRA</w:t>
      </w:r>
      <w:r w:rsidR="00530030">
        <w:rPr>
          <w:bCs/>
          <w:color w:val="000000" w:themeColor="text1"/>
        </w:rPr>
        <w:t xml:space="preserve">.  </w:t>
      </w:r>
      <w:r w:rsidR="00B531A0">
        <w:rPr>
          <w:bCs/>
          <w:color w:val="000000" w:themeColor="text1"/>
        </w:rPr>
        <w:t xml:space="preserve"> </w:t>
      </w:r>
      <w:r w:rsidRPr="00076585">
        <w:rPr>
          <w:bCs/>
          <w:color w:val="000000" w:themeColor="text1"/>
        </w:rPr>
        <w:t xml:space="preserve">Dilutions of RNA standards </w:t>
      </w:r>
      <w:r w:rsidR="00530030">
        <w:rPr>
          <w:bCs/>
          <w:color w:val="000000" w:themeColor="text1"/>
        </w:rPr>
        <w:t>were numerically determined</w:t>
      </w:r>
      <w:r w:rsidRPr="00076585">
        <w:rPr>
          <w:bCs/>
          <w:color w:val="000000" w:themeColor="text1"/>
        </w:rPr>
        <w:t xml:space="preserve"> by droplet digital PCR </w:t>
      </w:r>
      <w:r w:rsidR="00530030">
        <w:rPr>
          <w:bCs/>
          <w:color w:val="000000" w:themeColor="text1"/>
        </w:rPr>
        <w:t>and</w:t>
      </w:r>
      <w:r w:rsidRPr="00076585">
        <w:rPr>
          <w:bCs/>
          <w:color w:val="000000" w:themeColor="text1"/>
        </w:rPr>
        <w:t xml:space="preserve"> run in parallel and used to calculate viral RNA genome copies. </w:t>
      </w:r>
      <w:r w:rsidR="00530030" w:rsidRPr="00076585">
        <w:rPr>
          <w:b/>
          <w:bCs/>
          <w:color w:val="000000" w:themeColor="text1"/>
        </w:rPr>
        <w:t xml:space="preserve"> </w:t>
      </w:r>
    </w:p>
    <w:p w14:paraId="4832BD94" w14:textId="77777777" w:rsidR="007A673A" w:rsidRDefault="007A673A" w:rsidP="001D30AD">
      <w:pPr>
        <w:spacing w:before="240" w:line="480" w:lineRule="auto"/>
        <w:rPr>
          <w:b/>
          <w:bCs/>
        </w:rPr>
      </w:pPr>
    </w:p>
    <w:p w14:paraId="54AADF01" w14:textId="3AB538D6" w:rsidR="00DE2B5D" w:rsidRPr="001D30AD" w:rsidRDefault="0056199C" w:rsidP="001D30AD">
      <w:pPr>
        <w:spacing w:before="240" w:line="480" w:lineRule="auto"/>
      </w:pPr>
      <w:r>
        <w:rPr>
          <w:b/>
          <w:bCs/>
        </w:rPr>
        <w:t>Virus titration</w:t>
      </w:r>
      <w:r w:rsidR="006E7AE6">
        <w:rPr>
          <w:b/>
          <w:bCs/>
        </w:rPr>
        <w:t xml:space="preserve">. </w:t>
      </w:r>
      <w:r w:rsidR="00DE2B5D" w:rsidRPr="001D30AD">
        <w:t>Infectious virus was quantified on</w:t>
      </w:r>
      <w:r w:rsidR="003C2BB4">
        <w:t xml:space="preserve"> </w:t>
      </w:r>
      <w:proofErr w:type="spellStart"/>
      <w:r w:rsidR="003C2BB4">
        <w:t>Madin</w:t>
      </w:r>
      <w:proofErr w:type="spellEnd"/>
      <w:r w:rsidR="003C2BB4">
        <w:t>-Darby canine kidney</w:t>
      </w:r>
      <w:r w:rsidR="00DE2B5D" w:rsidRPr="001D30AD">
        <w:t xml:space="preserve"> </w:t>
      </w:r>
      <w:r w:rsidR="003C2BB4">
        <w:t>(</w:t>
      </w:r>
      <w:r w:rsidR="00DE2B5D" w:rsidRPr="001D30AD">
        <w:t>MDCK</w:t>
      </w:r>
      <w:r w:rsidR="003C2BB4">
        <w:t>)</w:t>
      </w:r>
      <w:r w:rsidR="00DE2B5D" w:rsidRPr="001D30AD">
        <w:t xml:space="preserve"> cells. MDCK cells were seeded in 96-well plates in</w:t>
      </w:r>
      <w:bookmarkStart w:id="0" w:name="_Hlk169200560"/>
      <w:r w:rsidR="00DE2B5D" w:rsidRPr="001D30AD">
        <w:t xml:space="preserve"> </w:t>
      </w:r>
      <w:r w:rsidR="00DE2B5D" w:rsidRPr="001D30AD">
        <w:rPr>
          <w:lang w:val="en-GB"/>
        </w:rPr>
        <w:t>MEM supplemented with 10% FBS, 2</w:t>
      </w:r>
      <w:r w:rsidR="003C2BB4">
        <w:rPr>
          <w:lang w:val="en-GB"/>
        </w:rPr>
        <w:t xml:space="preserve"> </w:t>
      </w:r>
      <w:r w:rsidR="00DE2B5D" w:rsidRPr="001D30AD">
        <w:rPr>
          <w:lang w:val="en-GB"/>
        </w:rPr>
        <w:t>mM L-glutamine, 50</w:t>
      </w:r>
      <w:r w:rsidR="003C2BB4">
        <w:rPr>
          <w:lang w:val="en-GB"/>
        </w:rPr>
        <w:t xml:space="preserve"> </w:t>
      </w:r>
      <w:r w:rsidR="00DE2B5D" w:rsidRPr="001D30AD">
        <w:rPr>
          <w:lang w:val="en-GB"/>
        </w:rPr>
        <w:t>U/mL penicillin, 50</w:t>
      </w:r>
      <w:r w:rsidR="003C2BB4">
        <w:rPr>
          <w:lang w:val="en-GB"/>
        </w:rPr>
        <w:t xml:space="preserve"> </w:t>
      </w:r>
      <w:r w:rsidR="00DE2B5D" w:rsidRPr="001D30AD">
        <w:rPr>
          <w:lang w:val="en-GB"/>
        </w:rPr>
        <w:sym w:font="Symbol" w:char="F06D"/>
      </w:r>
      <w:r w:rsidR="00DE2B5D" w:rsidRPr="001D30AD">
        <w:rPr>
          <w:lang w:val="en-GB"/>
        </w:rPr>
        <w:t xml:space="preserve">g/ml streptomycin, </w:t>
      </w:r>
      <w:r w:rsidR="00C75699" w:rsidRPr="001D30AD">
        <w:rPr>
          <w:lang w:val="en-GB"/>
        </w:rPr>
        <w:t xml:space="preserve">1% </w:t>
      </w:r>
      <w:r w:rsidR="00DE2B5D" w:rsidRPr="001D30AD">
        <w:rPr>
          <w:lang w:val="en-GB"/>
        </w:rPr>
        <w:t>NEAA</w:t>
      </w:r>
      <w:r w:rsidR="001A7D3E">
        <w:rPr>
          <w:lang w:val="en-GB"/>
        </w:rPr>
        <w:t xml:space="preserve"> and</w:t>
      </w:r>
      <w:r w:rsidR="00DE2B5D" w:rsidRPr="001D30AD">
        <w:rPr>
          <w:lang w:val="en-GB"/>
        </w:rPr>
        <w:t xml:space="preserve"> 20</w:t>
      </w:r>
      <w:r w:rsidR="003C2BB4">
        <w:rPr>
          <w:lang w:val="en-GB"/>
        </w:rPr>
        <w:t xml:space="preserve"> </w:t>
      </w:r>
      <w:r w:rsidR="00DE2B5D" w:rsidRPr="001D30AD">
        <w:rPr>
          <w:lang w:val="en-GB"/>
        </w:rPr>
        <w:t>mM HEPES.</w:t>
      </w:r>
      <w:bookmarkEnd w:id="0"/>
      <w:r w:rsidR="00DE2B5D" w:rsidRPr="001D30AD">
        <w:rPr>
          <w:lang w:val="en-GB"/>
        </w:rPr>
        <w:t xml:space="preserve"> </w:t>
      </w:r>
      <w:r w:rsidR="003C2BB4">
        <w:t>NHP</w:t>
      </w:r>
      <w:r w:rsidR="003C2BB4" w:rsidRPr="001D30AD">
        <w:t xml:space="preserve"> </w:t>
      </w:r>
      <w:r w:rsidR="00DE2B5D" w:rsidRPr="001D30AD">
        <w:t xml:space="preserve">tissue </w:t>
      </w:r>
      <w:r w:rsidR="003C2BB4">
        <w:t>samples were placed</w:t>
      </w:r>
      <w:r w:rsidR="003C2BB4" w:rsidRPr="001D30AD">
        <w:t xml:space="preserve"> </w:t>
      </w:r>
      <w:r w:rsidR="00DE2B5D" w:rsidRPr="001D30AD">
        <w:t xml:space="preserve">in </w:t>
      </w:r>
      <w:r w:rsidR="003C2BB4">
        <w:t xml:space="preserve">microcentrifuge </w:t>
      </w:r>
      <w:r w:rsidR="00DE2B5D" w:rsidRPr="001D30AD">
        <w:t>tubes</w:t>
      </w:r>
      <w:r w:rsidR="003C2BB4">
        <w:t xml:space="preserve">, </w:t>
      </w:r>
      <w:r w:rsidR="0050667E">
        <w:t xml:space="preserve">weighed against a blank tube, </w:t>
      </w:r>
      <w:r w:rsidR="003C2BB4">
        <w:t xml:space="preserve">and a </w:t>
      </w:r>
      <w:r w:rsidR="00DE2B5D" w:rsidRPr="001D30AD">
        <w:t>steel bead</w:t>
      </w:r>
      <w:r w:rsidR="003C2BB4">
        <w:t xml:space="preserve"> was added, along with </w:t>
      </w:r>
      <w:r w:rsidR="00DE2B5D" w:rsidRPr="001D30AD">
        <w:t>1 mL</w:t>
      </w:r>
      <w:r w:rsidR="003C2BB4">
        <w:t xml:space="preserve"> of</w:t>
      </w:r>
      <w:r w:rsidR="00DE2B5D" w:rsidRPr="001D30AD">
        <w:t xml:space="preserve"> infection media</w:t>
      </w:r>
      <w:r w:rsidR="00163456">
        <w:t>.  Tissues</w:t>
      </w:r>
      <w:r w:rsidR="00DE2B5D" w:rsidRPr="001D30AD">
        <w:t xml:space="preserve"> were </w:t>
      </w:r>
      <w:r w:rsidR="00163456">
        <w:t xml:space="preserve">then </w:t>
      </w:r>
      <w:r w:rsidR="00DE2B5D" w:rsidRPr="001D30AD">
        <w:t xml:space="preserve">homogenized </w:t>
      </w:r>
      <w:r w:rsidR="00163456">
        <w:t xml:space="preserve">for 10 minutes at 30 Hz </w:t>
      </w:r>
      <w:r w:rsidR="00DE2B5D" w:rsidRPr="001D30AD">
        <w:t xml:space="preserve">using the </w:t>
      </w:r>
      <w:proofErr w:type="spellStart"/>
      <w:r w:rsidR="00DE2B5D" w:rsidRPr="001D30AD">
        <w:t>TissueLyser</w:t>
      </w:r>
      <w:proofErr w:type="spellEnd"/>
      <w:r w:rsidR="00DE2B5D" w:rsidRPr="001D30AD">
        <w:t xml:space="preserve"> II (Qiagen)</w:t>
      </w:r>
      <w:r w:rsidR="00163456">
        <w:t>, followed by centrifugation for 10 minutes at 8000 rpm for clarification</w:t>
      </w:r>
      <w:r w:rsidR="00DE2B5D" w:rsidRPr="001D30AD">
        <w:t>.</w:t>
      </w:r>
      <w:r w:rsidR="00163456">
        <w:t xml:space="preserve"> </w:t>
      </w:r>
      <w:r w:rsidR="00DE2B5D" w:rsidRPr="001D30AD">
        <w:t>Subsequent</w:t>
      </w:r>
      <w:r w:rsidR="00163456">
        <w:t>ly,</w:t>
      </w:r>
      <w:r w:rsidR="00DE2B5D" w:rsidRPr="001D30AD">
        <w:t xml:space="preserve"> </w:t>
      </w:r>
      <w:r w:rsidR="00163456">
        <w:t xml:space="preserve">samples were serially diluted </w:t>
      </w:r>
      <w:r w:rsidR="00DE2B5D" w:rsidRPr="001D30AD">
        <w:t xml:space="preserve">ten-fold in </w:t>
      </w:r>
      <w:r w:rsidR="00163456">
        <w:t xml:space="preserve">infection </w:t>
      </w:r>
      <w:r w:rsidR="00DE2B5D" w:rsidRPr="001D30AD">
        <w:t xml:space="preserve">media. </w:t>
      </w:r>
      <w:r w:rsidR="00163456">
        <w:t xml:space="preserve">One-hundred microliter aliquots of undiluted and serially diluted samples were </w:t>
      </w:r>
      <w:r w:rsidR="00F07396">
        <w:t>added</w:t>
      </w:r>
      <w:r w:rsidR="00DE2B5D" w:rsidRPr="001D30AD">
        <w:t xml:space="preserve"> </w:t>
      </w:r>
      <w:r w:rsidR="00163456">
        <w:t>to</w:t>
      </w:r>
      <w:r w:rsidR="00DE2B5D" w:rsidRPr="001D30AD">
        <w:t xml:space="preserve"> MDCK cells and incubated for </w:t>
      </w:r>
      <w:r w:rsidR="00F07396">
        <w:t>72 hours</w:t>
      </w:r>
      <w:r w:rsidR="00DE2B5D" w:rsidRPr="001D30AD">
        <w:t xml:space="preserve"> at 37°C</w:t>
      </w:r>
      <w:r w:rsidR="00163456">
        <w:t>/5% CO</w:t>
      </w:r>
      <w:r w:rsidR="00163456" w:rsidRPr="006A71AF">
        <w:rPr>
          <w:vertAlign w:val="subscript"/>
        </w:rPr>
        <w:t>2</w:t>
      </w:r>
      <w:r w:rsidR="00DE2B5D" w:rsidRPr="001D30AD">
        <w:t xml:space="preserve">. </w:t>
      </w:r>
      <w:r w:rsidR="00F07396">
        <w:t xml:space="preserve"> Hemagglutin</w:t>
      </w:r>
      <w:r w:rsidR="001A7D3E">
        <w:t>ation</w:t>
      </w:r>
      <w:r w:rsidR="00F07396">
        <w:t xml:space="preserve"> assays were then </w:t>
      </w:r>
      <w:r w:rsidR="00F07396">
        <w:lastRenderedPageBreak/>
        <w:t xml:space="preserve">performed to determine the presence of infectious influenza virus.  Briefly, 25 </w:t>
      </w:r>
      <w:r w:rsidR="00F07396" w:rsidRPr="001D30AD">
        <w:t xml:space="preserve">µl </w:t>
      </w:r>
      <w:r w:rsidR="00F07396">
        <w:t xml:space="preserve">of </w:t>
      </w:r>
      <w:r w:rsidR="00432516">
        <w:t xml:space="preserve">MDCK </w:t>
      </w:r>
      <w:r w:rsidR="00F07396">
        <w:t>cell supernatant w</w:t>
      </w:r>
      <w:r w:rsidR="00432516">
        <w:t>ere</w:t>
      </w:r>
      <w:r w:rsidR="00F07396">
        <w:t xml:space="preserve"> aliquoted to </w:t>
      </w:r>
      <w:r w:rsidR="00F07396" w:rsidRPr="001D30AD">
        <w:t>96</w:t>
      </w:r>
      <w:r w:rsidR="00F07396">
        <w:t>-</w:t>
      </w:r>
      <w:r w:rsidR="00F07396" w:rsidRPr="001D30AD">
        <w:t>well plates</w:t>
      </w:r>
      <w:r w:rsidR="00F07396">
        <w:t>. Next,</w:t>
      </w:r>
      <w:r w:rsidR="00DE2B5D" w:rsidRPr="001D30AD">
        <w:t xml:space="preserve"> 75</w:t>
      </w:r>
      <w:r w:rsidR="00F07396">
        <w:t xml:space="preserve"> </w:t>
      </w:r>
      <w:r w:rsidR="00DE2B5D" w:rsidRPr="001D30AD">
        <w:t>µl of</w:t>
      </w:r>
      <w:r w:rsidR="00F07396">
        <w:t xml:space="preserve"> washed and diluted red blood cells</w:t>
      </w:r>
      <w:r w:rsidR="00DE2B5D" w:rsidRPr="001D30AD">
        <w:t xml:space="preserve"> </w:t>
      </w:r>
      <w:r w:rsidR="00F07396">
        <w:t>(</w:t>
      </w:r>
      <w:r w:rsidR="00DE2B5D" w:rsidRPr="001D30AD">
        <w:t>0.33% Turkey erythrocytes</w:t>
      </w:r>
      <w:r w:rsidR="00F07396">
        <w:t xml:space="preserve"> in PBS)</w:t>
      </w:r>
      <w:r w:rsidR="00DE2B5D" w:rsidRPr="001D30AD">
        <w:t xml:space="preserve"> </w:t>
      </w:r>
      <w:r w:rsidR="00F85BAF">
        <w:t>were</w:t>
      </w:r>
      <w:r w:rsidR="00F85BAF" w:rsidRPr="001D30AD">
        <w:t xml:space="preserve"> </w:t>
      </w:r>
      <w:r w:rsidR="00DE2B5D" w:rsidRPr="001D30AD">
        <w:t xml:space="preserve">added to </w:t>
      </w:r>
      <w:r w:rsidR="00F85BAF">
        <w:t xml:space="preserve">the cell </w:t>
      </w:r>
      <w:r w:rsidR="00DE2B5D" w:rsidRPr="001D30AD">
        <w:t xml:space="preserve">supernatant and incubated for 1 hour at </w:t>
      </w:r>
      <w:r w:rsidR="00F85BAF">
        <w:t>4</w:t>
      </w:r>
      <w:r w:rsidR="00DE2B5D" w:rsidRPr="001D30AD">
        <w:t>°C</w:t>
      </w:r>
      <w:r w:rsidR="00F85BAF">
        <w:t>.  H</w:t>
      </w:r>
      <w:r w:rsidR="00DE2B5D" w:rsidRPr="001D30AD">
        <w:t>emagglutination was</w:t>
      </w:r>
      <w:r w:rsidR="00F85BAF">
        <w:t xml:space="preserve"> then</w:t>
      </w:r>
      <w:r w:rsidR="00DE2B5D" w:rsidRPr="001D30AD">
        <w:t xml:space="preserve"> read</w:t>
      </w:r>
      <w:r w:rsidR="00F85BAF">
        <w:t xml:space="preserve"> and recorded, and</w:t>
      </w:r>
      <w:r w:rsidR="00DE2B5D" w:rsidRPr="001D30AD">
        <w:t xml:space="preserve"> TCID</w:t>
      </w:r>
      <w:r w:rsidR="00DE2B5D" w:rsidRPr="001D30AD">
        <w:rPr>
          <w:vertAlign w:val="subscript"/>
        </w:rPr>
        <w:t>50</w:t>
      </w:r>
      <w:r w:rsidR="0050667E">
        <w:t>/g</w:t>
      </w:r>
      <w:r w:rsidR="00432516">
        <w:t>ram of</w:t>
      </w:r>
      <w:r w:rsidR="0050667E">
        <w:t xml:space="preserve"> tissue </w:t>
      </w:r>
      <w:r w:rsidR="00DE2B5D" w:rsidRPr="001D30AD">
        <w:t xml:space="preserve">was calculated using the Reed &amp; Muench </w:t>
      </w:r>
      <w:r w:rsidR="00F85BAF">
        <w:t>equation</w:t>
      </w:r>
      <w:r w:rsidR="00F85BAF" w:rsidRPr="001D30AD">
        <w:t xml:space="preserve"> </w:t>
      </w:r>
      <w:r w:rsidR="00837A5C" w:rsidRPr="001D30AD">
        <w:fldChar w:fldCharType="begin"/>
      </w:r>
      <w:r w:rsidR="00A858BC">
        <w:instrText xml:space="preserve"> ADDIN EN.CITE &lt;EndNote&gt;&lt;Cite&gt;&lt;Author&gt;Reed&lt;/Author&gt;&lt;Year&gt;1938&lt;/Year&gt;&lt;RecNum&gt;74&lt;/RecNum&gt;&lt;DisplayText&gt;&lt;style face="superscript"&gt;1&lt;/style&gt;&lt;/DisplayText&gt;&lt;record&gt;&lt;rec-number&gt;74&lt;/rec-number&gt;&lt;foreign-keys&gt;&lt;key app="EN" db-id="rw9sxe2fja0vtle9ppips2dcvaezwtvpsfdv" timestamp="1688677358"&gt;74&lt;/key&gt;&lt;/foreign-keys&gt;&lt;ref-type name="Journal Article"&gt;17&lt;/ref-type&gt;&lt;contributors&gt;&lt;authors&gt;&lt;author&gt;Reed, L.J.&lt;/author&gt;&lt;author&gt;Muench, H.&lt;/author&gt;&lt;/authors&gt;&lt;/contributors&gt;&lt;titles&gt;&lt;title&gt;A SIMPLE METHOD OF ESTIMATING FIFTY PER CENT ENDPOINTS&lt;/title&gt;&lt;secondary-title&gt;American Journal of Epidemiology&lt;/secondary-title&gt;&lt;/titles&gt;&lt;periodical&gt;&lt;full-title&gt;American Journal of Epidemiology&lt;/full-title&gt;&lt;/periodical&gt;&lt;pages&gt;493-497&lt;/pages&gt;&lt;volume&gt;27&lt;/volume&gt;&lt;number&gt;3&lt;/number&gt;&lt;dates&gt;&lt;year&gt;1938&lt;/year&gt;&lt;pub-dates&gt;&lt;date&gt;May&lt;/date&gt;&lt;/pub-dates&gt;&lt;/dates&gt;&lt;urls&gt;&lt;/urls&gt;&lt;electronic-resource-num&gt;10.1093/oxfordjournals.aje.a118408&lt;/electronic-resource-num&gt;&lt;/record&gt;&lt;/Cite&gt;&lt;/EndNote&gt;</w:instrText>
      </w:r>
      <w:r w:rsidR="00837A5C" w:rsidRPr="001D30AD">
        <w:fldChar w:fldCharType="separate"/>
      </w:r>
      <w:r w:rsidR="00A858BC" w:rsidRPr="00A858BC">
        <w:rPr>
          <w:noProof/>
          <w:vertAlign w:val="superscript"/>
        </w:rPr>
        <w:t>1</w:t>
      </w:r>
      <w:r w:rsidR="00837A5C" w:rsidRPr="001D30AD">
        <w:fldChar w:fldCharType="end"/>
      </w:r>
      <w:r w:rsidR="00837A5C" w:rsidRPr="001D30AD">
        <w:t>.</w:t>
      </w:r>
    </w:p>
    <w:p w14:paraId="2875527C" w14:textId="7A994FAE" w:rsidR="00032A6A" w:rsidRDefault="00CC5E47" w:rsidP="001D30AD">
      <w:pPr>
        <w:spacing w:before="240" w:line="480" w:lineRule="auto"/>
        <w:rPr>
          <w:b/>
          <w:bCs/>
        </w:rPr>
      </w:pPr>
      <w:r>
        <w:rPr>
          <w:b/>
          <w:bCs/>
        </w:rPr>
        <w:t>Hematology and Blood Chemistry</w:t>
      </w:r>
      <w:r w:rsidR="006E7AE6">
        <w:rPr>
          <w:b/>
          <w:bCs/>
        </w:rPr>
        <w:t>.</w:t>
      </w:r>
      <w:r>
        <w:rPr>
          <w:b/>
          <w:bCs/>
        </w:rPr>
        <w:t xml:space="preserve">  </w:t>
      </w:r>
      <w:r w:rsidR="00055119">
        <w:t>A</w:t>
      </w:r>
      <w:r w:rsidRPr="00970EC1">
        <w:t xml:space="preserve"> </w:t>
      </w:r>
      <w:proofErr w:type="spellStart"/>
      <w:r w:rsidRPr="00970EC1">
        <w:t>ProCyte</w:t>
      </w:r>
      <w:proofErr w:type="spellEnd"/>
      <w:r w:rsidRPr="00970EC1">
        <w:t xml:space="preserve"> DX (IDEXX Laboratories, Westbrook, ME, USA)</w:t>
      </w:r>
      <w:r w:rsidR="00055119">
        <w:t xml:space="preserve"> was used to obtain hematology data.</w:t>
      </w:r>
      <w:r w:rsidRPr="00970EC1">
        <w:t xml:space="preserve"> </w:t>
      </w:r>
      <w:r w:rsidR="00055119">
        <w:t>P</w:t>
      </w:r>
      <w:r w:rsidRPr="00970EC1">
        <w:t xml:space="preserve">arameters </w:t>
      </w:r>
      <w:r w:rsidR="00055119">
        <w:t>analyzed include</w:t>
      </w:r>
      <w:r w:rsidRPr="00970EC1">
        <w:t xml:space="preserve"> red blood cells, hemoglobin, hematocrit, mean corpuscular volume, mean corpuscular hemoglobin, mean corpuscular hemoglobin concentration, red cell distribution width, platelets, mean platelet volume, white blood cells, neutrophil count (abs</w:t>
      </w:r>
      <w:r w:rsidR="00055119">
        <w:t>olute</w:t>
      </w:r>
      <w:r w:rsidRPr="00970EC1">
        <w:t xml:space="preserve"> and </w:t>
      </w:r>
      <w:r w:rsidR="00055119">
        <w:t>percent</w:t>
      </w:r>
      <w:r w:rsidRPr="00970EC1">
        <w:t>), lymphocyte count (</w:t>
      </w:r>
      <w:r w:rsidR="00055119" w:rsidRPr="00695A4A">
        <w:t>abs</w:t>
      </w:r>
      <w:r w:rsidR="00055119">
        <w:t>olute</w:t>
      </w:r>
      <w:r w:rsidR="00055119" w:rsidRPr="00695A4A">
        <w:t xml:space="preserve"> and </w:t>
      </w:r>
      <w:r w:rsidR="00055119">
        <w:t>percent</w:t>
      </w:r>
      <w:r w:rsidRPr="00970EC1">
        <w:t>), monocyte count (</w:t>
      </w:r>
      <w:r w:rsidR="00055119" w:rsidRPr="00695A4A">
        <w:t>abs</w:t>
      </w:r>
      <w:r w:rsidR="00055119">
        <w:t>olute</w:t>
      </w:r>
      <w:r w:rsidR="00055119" w:rsidRPr="00695A4A">
        <w:t xml:space="preserve"> and </w:t>
      </w:r>
      <w:r w:rsidR="00055119">
        <w:t>percent</w:t>
      </w:r>
      <w:r w:rsidRPr="00970EC1">
        <w:t>), eosinophil count (</w:t>
      </w:r>
      <w:r w:rsidR="00055119" w:rsidRPr="00695A4A">
        <w:t>abs</w:t>
      </w:r>
      <w:r w:rsidR="00055119">
        <w:t>olute</w:t>
      </w:r>
      <w:r w:rsidR="00055119" w:rsidRPr="00695A4A">
        <w:t xml:space="preserve"> and </w:t>
      </w:r>
      <w:r w:rsidR="00055119">
        <w:t>percent</w:t>
      </w:r>
      <w:r w:rsidRPr="00970EC1">
        <w:t>), and basophil count (</w:t>
      </w:r>
      <w:r w:rsidR="00055119" w:rsidRPr="00695A4A">
        <w:t>abs</w:t>
      </w:r>
      <w:r w:rsidR="00055119">
        <w:t>olute</w:t>
      </w:r>
      <w:r w:rsidR="00055119" w:rsidRPr="00695A4A">
        <w:t xml:space="preserve"> and </w:t>
      </w:r>
      <w:r w:rsidR="00055119">
        <w:t>percent</w:t>
      </w:r>
      <w:r w:rsidRPr="00970EC1">
        <w:t xml:space="preserve">). </w:t>
      </w:r>
      <w:r w:rsidR="00055119">
        <w:t xml:space="preserve">A </w:t>
      </w:r>
      <w:proofErr w:type="spellStart"/>
      <w:r w:rsidR="00055119" w:rsidRPr="00695A4A">
        <w:t>VetScan</w:t>
      </w:r>
      <w:proofErr w:type="spellEnd"/>
      <w:r w:rsidR="00055119" w:rsidRPr="00695A4A">
        <w:t xml:space="preserve"> VS2 Chemistry Analyzer (Abaxis, Union City, CA, USA) </w:t>
      </w:r>
      <w:r w:rsidR="00055119">
        <w:t>was used to examine s</w:t>
      </w:r>
      <w:r w:rsidRPr="00970EC1">
        <w:t>erum chemistry levels</w:t>
      </w:r>
      <w:r w:rsidR="00055119">
        <w:t>.  P</w:t>
      </w:r>
      <w:r w:rsidRPr="00970EC1">
        <w:t xml:space="preserve">arameters </w:t>
      </w:r>
      <w:r w:rsidR="00055119">
        <w:t>analyzed include</w:t>
      </w:r>
      <w:r w:rsidRPr="00970EC1">
        <w:t xml:space="preserve"> glucose, blood urea nitrogen, creatinine, calcium, albumin, total protein, alanine aminotransferase, aspartate aminotransferase, alkaline phosphatase, total bilirubin, globulin, sodium, potassium, chloride, and total carbon dioxide.</w:t>
      </w:r>
    </w:p>
    <w:p w14:paraId="4F7567C6" w14:textId="60C025CA" w:rsidR="007A673A" w:rsidRPr="007A673A" w:rsidRDefault="007A673A" w:rsidP="007A673A">
      <w:pPr>
        <w:spacing w:before="240" w:line="480" w:lineRule="auto"/>
      </w:pPr>
      <w:r w:rsidRPr="007A673A">
        <w:rPr>
          <w:b/>
          <w:bCs/>
        </w:rPr>
        <w:t>Cytokine analysis.</w:t>
      </w:r>
      <w:r>
        <w:t xml:space="preserve"> </w:t>
      </w:r>
      <w:r w:rsidRPr="007A673A">
        <w:t>The </w:t>
      </w:r>
      <w:r w:rsidR="002817D6">
        <w:t>V-Plex</w:t>
      </w:r>
      <w:r w:rsidR="002817D6" w:rsidRPr="007A673A">
        <w:t> </w:t>
      </w:r>
      <w:r w:rsidRPr="007A673A">
        <w:t xml:space="preserve">(NHP) </w:t>
      </w:r>
      <w:r w:rsidR="002817D6">
        <w:t>Cytokine 24-Plex Kit</w:t>
      </w:r>
      <w:r w:rsidRPr="007A673A">
        <w:t xml:space="preserve"> (M</w:t>
      </w:r>
      <w:r w:rsidR="001A7D3E">
        <w:t>esoscale Diagnostics</w:t>
      </w:r>
      <w:r w:rsidR="002817D6">
        <w:t>, K15058D</w:t>
      </w:r>
      <w:r w:rsidRPr="007A673A">
        <w:t>) was used to test the presence of 24 cytokines and chemokines (</w:t>
      </w:r>
      <w:proofErr w:type="spellStart"/>
      <w:r w:rsidRPr="007A673A">
        <w:t>eotaxin</w:t>
      </w:r>
      <w:proofErr w:type="spellEnd"/>
      <w:r w:rsidRPr="007A673A">
        <w:t xml:space="preserve">, eotaxin-3, granulocyte-macrophage colony-stimulating factor, interferon-γ, interleukin (IL)-1β, IL-2, IL-5, IL-6, IL-7, IL-8, IL-10, IL-12/IL-23p40, IL-15, IL-16, IL-17, interferon gamma-induced protein-10, monocyte chemoattractant protein (MCP)-1, MCP-4, macrophage-derived chemokine, macrophage inflammatory protein (MIP)-1α, MIP-1β, thymus and activation-regulated chemokine, tumor necrosis factor-β, and vascular endothelial growth factor) in serum samples. </w:t>
      </w:r>
      <w:r w:rsidRPr="007A673A">
        <w:lastRenderedPageBreak/>
        <w:t xml:space="preserve">The plates were immediately read using the </w:t>
      </w:r>
      <w:proofErr w:type="spellStart"/>
      <w:r w:rsidRPr="007A673A">
        <w:t>Meso</w:t>
      </w:r>
      <w:proofErr w:type="spellEnd"/>
      <w:r w:rsidRPr="007A673A">
        <w:t xml:space="preserve"> </w:t>
      </w:r>
      <w:proofErr w:type="spellStart"/>
      <w:r w:rsidRPr="007A673A">
        <w:t>Quickplex</w:t>
      </w:r>
      <w:proofErr w:type="spellEnd"/>
      <w:r w:rsidRPr="007A673A">
        <w:t xml:space="preserve"> instrument (MSD, K15203D). The data were extracted from the plates using the MSD Workbench 4.0 software and graphed using GraphPad Prism </w:t>
      </w:r>
      <w:r w:rsidR="00643DDE">
        <w:t>10.0</w:t>
      </w:r>
      <w:r w:rsidRPr="007A673A">
        <w:t xml:space="preserve"> software.</w:t>
      </w:r>
    </w:p>
    <w:p w14:paraId="6D8B44F9" w14:textId="1CB71440" w:rsidR="00087E9E" w:rsidRPr="00076585" w:rsidRDefault="00087E9E" w:rsidP="00087E9E">
      <w:pPr>
        <w:spacing w:before="240" w:line="480" w:lineRule="auto"/>
        <w:rPr>
          <w:b/>
          <w:bCs/>
          <w:color w:val="000000" w:themeColor="text1"/>
        </w:rPr>
      </w:pPr>
      <w:r w:rsidRPr="00076585">
        <w:rPr>
          <w:b/>
          <w:bCs/>
          <w:iCs/>
          <w:color w:val="000000" w:themeColor="text1"/>
        </w:rPr>
        <w:t xml:space="preserve">Thoracic radiographs. </w:t>
      </w:r>
      <w:proofErr w:type="spellStart"/>
      <w:r w:rsidRPr="00076585">
        <w:rPr>
          <w:bCs/>
          <w:iCs/>
          <w:color w:val="000000" w:themeColor="text1"/>
        </w:rPr>
        <w:t>Ventro</w:t>
      </w:r>
      <w:proofErr w:type="spellEnd"/>
      <w:r w:rsidRPr="00076585">
        <w:rPr>
          <w:bCs/>
          <w:iCs/>
          <w:color w:val="000000" w:themeColor="text1"/>
        </w:rPr>
        <w:t xml:space="preserve">-dorsal and right/left lateral radiographs were taken on clinical exam days prior to any other procedures (e.g. </w:t>
      </w:r>
      <w:r w:rsidR="009E330F">
        <w:rPr>
          <w:bCs/>
          <w:iCs/>
          <w:color w:val="000000" w:themeColor="text1"/>
        </w:rPr>
        <w:t>bronchoalveolar brush</w:t>
      </w:r>
      <w:r w:rsidRPr="00076585">
        <w:rPr>
          <w:bCs/>
          <w:iCs/>
          <w:color w:val="000000" w:themeColor="text1"/>
        </w:rPr>
        <w:t>).  Radiographs were evaluated and scored for the presence of pulmonary infiltrates according to a previously published standard scoring system</w:t>
      </w:r>
      <w:r w:rsidR="009E330F">
        <w:rPr>
          <w:bCs/>
          <w:iCs/>
          <w:color w:val="000000" w:themeColor="text1"/>
        </w:rPr>
        <w:t xml:space="preserve"> </w:t>
      </w:r>
      <w:r w:rsidR="00A858BC" w:rsidRPr="001A7D3E">
        <w:rPr>
          <w:bCs/>
          <w:iCs/>
          <w:color w:val="000000" w:themeColor="text1"/>
        </w:rPr>
        <w:fldChar w:fldCharType="begin"/>
      </w:r>
      <w:r w:rsidR="00A858BC">
        <w:rPr>
          <w:bCs/>
          <w:iCs/>
          <w:color w:val="000000" w:themeColor="text1"/>
        </w:rPr>
        <w:instrText xml:space="preserve"> ADDIN EN.CITE &lt;EndNote&gt;&lt;Cite&gt;&lt;Author&gt;Brining&lt;/Author&gt;&lt;Year&gt;2010&lt;/Year&gt;&lt;RecNum&gt;24&lt;/RecNum&gt;&lt;DisplayText&gt;&lt;style face="superscript"&gt;2&lt;/style&gt;&lt;/DisplayText&gt;&lt;record&gt;&lt;rec-number&gt;24&lt;/rec-number&gt;&lt;foreign-keys&gt;&lt;key app="EN" db-id="0sxdts0d505x9ae55s355drzs0v592r9dp2t" timestamp="1727367630"&gt;24&lt;/key&gt;&lt;/foreign-keys&gt;&lt;ref-type name="Journal Article"&gt;17&lt;/ref-type&gt;&lt;contributors&gt;&lt;authors&gt;&lt;author&gt;Brining, D. L.&lt;/author&gt;&lt;author&gt;Mattoon, J. S.&lt;/author&gt;&lt;author&gt;Kercher, L.&lt;/author&gt;&lt;author&gt;LaCasse, R. A.&lt;/author&gt;&lt;author&gt;Safronetz, D.&lt;/author&gt;&lt;author&gt;Feldmann, H.&lt;/author&gt;&lt;author&gt;Parnell, M. J.&lt;/author&gt;&lt;/authors&gt;&lt;/contributors&gt;&lt;auth-address&gt;Rocky Mountain Veterinary Branch, Division of Intramural Research, National Institute of Allergy and Infectious Diseases, National Institutes of Health, Hamilton, Montana, USA. briningd@niaid.nih.gov&lt;/auth-address&gt;&lt;titles&gt;&lt;title&gt;Thoracic radiography as a refinement methodology for the study of H1N1 influenza in cynomologus macaques (Macaca fascicularis)&lt;/title&gt;&lt;secondary-title&gt;Comp Med&lt;/secondary-title&gt;&lt;/titles&gt;&lt;periodical&gt;&lt;full-title&gt;Comp Med&lt;/full-title&gt;&lt;/periodical&gt;&lt;pages&gt;389-95&lt;/pages&gt;&lt;volume&gt;60&lt;/volume&gt;&lt;number&gt;5&lt;/number&gt;&lt;keywords&gt;&lt;keyword&gt;Animals&lt;/keyword&gt;&lt;keyword&gt;Disease Progression&lt;/keyword&gt;&lt;keyword&gt;Female&lt;/keyword&gt;&lt;keyword&gt;*Influenza A Virus, H1N1 Subtype&lt;/keyword&gt;&lt;keyword&gt;Lung/*diagnostic imaging/virology&lt;/keyword&gt;&lt;keyword&gt;Macaca fascicularis&lt;/keyword&gt;&lt;keyword&gt;Male&lt;/keyword&gt;&lt;keyword&gt;Orthomyxoviridae Infections/*diagnostic imaging/virology&lt;/keyword&gt;&lt;keyword&gt;Radiography&lt;/keyword&gt;&lt;/keywords&gt;&lt;dates&gt;&lt;year&gt;2010&lt;/year&gt;&lt;pub-dates&gt;&lt;date&gt;Oct&lt;/date&gt;&lt;/pub-dates&gt;&lt;/dates&gt;&lt;isbn&gt;2769-819X (Electronic)&amp;#xD;1532-0820 (Print)&amp;#xD;1532-0820 (Linking)&lt;/isbn&gt;&lt;accession-num&gt;21262125&lt;/accession-num&gt;&lt;urls&gt;&lt;related-urls&gt;&lt;url&gt;https://www.ncbi.nlm.nih.gov/pubmed/21262125&lt;/url&gt;&lt;/related-urls&gt;&lt;/urls&gt;&lt;custom2&gt;PMC2958208&lt;/custom2&gt;&lt;remote-database-name&gt;Medline&lt;/remote-database-name&gt;&lt;remote-database-provider&gt;NLM&lt;/remote-database-provider&gt;&lt;/record&gt;&lt;/Cite&gt;&lt;/EndNote&gt;</w:instrText>
      </w:r>
      <w:r w:rsidR="00A858BC" w:rsidRPr="001A7D3E">
        <w:rPr>
          <w:bCs/>
          <w:iCs/>
          <w:color w:val="000000" w:themeColor="text1"/>
        </w:rPr>
        <w:fldChar w:fldCharType="separate"/>
      </w:r>
      <w:r w:rsidR="00A858BC" w:rsidRPr="00A858BC">
        <w:rPr>
          <w:bCs/>
          <w:iCs/>
          <w:noProof/>
          <w:color w:val="000000" w:themeColor="text1"/>
          <w:vertAlign w:val="superscript"/>
        </w:rPr>
        <w:t>2</w:t>
      </w:r>
      <w:r w:rsidR="00A858BC" w:rsidRPr="001A7D3E">
        <w:rPr>
          <w:bCs/>
          <w:iCs/>
          <w:color w:val="000000" w:themeColor="text1"/>
        </w:rPr>
        <w:fldChar w:fldCharType="end"/>
      </w:r>
      <w:r w:rsidR="00A858BC">
        <w:rPr>
          <w:bCs/>
          <w:iCs/>
          <w:color w:val="000000" w:themeColor="text1"/>
        </w:rPr>
        <w:t>.</w:t>
      </w:r>
      <w:r w:rsidRPr="002817D6">
        <w:rPr>
          <w:bCs/>
          <w:iCs/>
          <w:color w:val="000000" w:themeColor="text1"/>
        </w:rPr>
        <w:t xml:space="preserve"> </w:t>
      </w:r>
      <w:r w:rsidRPr="00076585">
        <w:rPr>
          <w:bCs/>
          <w:iCs/>
          <w:color w:val="000000" w:themeColor="text1"/>
        </w:rPr>
        <w:t>Briefly, each lung lobe (upper left, middle left, lower left, upper right, middle right, lower right) was scored individually based on the following criteria:  0 = normal examination; 1 = mild interstitial pulmonary infiltrates; 2 = moderate interstitial pulmonary infiltrates, perhaps with partial cardiac border effacement and small areas of pulmonary consolidation (alveolar patterns and air bronchograms); and 3 = pulmonary consolidation as the primary lung pathology, seen as a progression from grade 2 lung pathology.  At study completion, thoracic radiograph findings were reported as a single radiograph score for each animal on each exam day.  To obtain this score, the scores assigned to each of the six lung lobes were added together and recorded as the radiograph score for each animal on each exam day.  Scores range from 0 to 1</w:t>
      </w:r>
      <w:r w:rsidR="002C1790">
        <w:rPr>
          <w:bCs/>
          <w:iCs/>
          <w:color w:val="000000" w:themeColor="text1"/>
        </w:rPr>
        <w:t>8</w:t>
      </w:r>
      <w:r w:rsidRPr="00076585">
        <w:rPr>
          <w:bCs/>
          <w:iCs/>
          <w:color w:val="000000" w:themeColor="text1"/>
        </w:rPr>
        <w:t xml:space="preserve"> for each animal on each exam day.</w:t>
      </w:r>
      <w:r w:rsidRPr="00076585">
        <w:rPr>
          <w:b/>
          <w:bCs/>
          <w:iCs/>
          <w:color w:val="000000" w:themeColor="text1"/>
        </w:rPr>
        <w:t xml:space="preserve"> </w:t>
      </w:r>
    </w:p>
    <w:p w14:paraId="661AF2CA" w14:textId="77777777" w:rsidR="007A673A" w:rsidRPr="007A673A" w:rsidRDefault="007A673A" w:rsidP="007A673A">
      <w:pPr>
        <w:spacing w:before="240" w:line="480" w:lineRule="auto"/>
      </w:pPr>
    </w:p>
    <w:p w14:paraId="32E123BF" w14:textId="78CE41BD" w:rsidR="007A673A" w:rsidRPr="007A673A" w:rsidRDefault="007A673A" w:rsidP="007A673A">
      <w:pPr>
        <w:spacing w:before="240" w:line="480" w:lineRule="auto"/>
      </w:pPr>
      <w:r w:rsidRPr="007A673A">
        <w:rPr>
          <w:b/>
          <w:bCs/>
        </w:rPr>
        <w:t>Serology.</w:t>
      </w:r>
      <w:r>
        <w:t xml:space="preserve"> </w:t>
      </w:r>
      <w:r w:rsidRPr="007A673A">
        <w:t xml:space="preserve">Nunc </w:t>
      </w:r>
      <w:proofErr w:type="spellStart"/>
      <w:r w:rsidRPr="007A673A">
        <w:t>MaxiSorp</w:t>
      </w:r>
      <w:proofErr w:type="spellEnd"/>
      <w:r w:rsidRPr="007A673A">
        <w:t xml:space="preserve"> flat bottom 96-well plates (</w:t>
      </w:r>
      <w:proofErr w:type="spellStart"/>
      <w:r w:rsidRPr="007A673A">
        <w:t>Thermo</w:t>
      </w:r>
      <w:proofErr w:type="spellEnd"/>
      <w:r w:rsidRPr="007A673A">
        <w:t xml:space="preserve"> Fisher Scientific) were coated with 50 ng in 50 </w:t>
      </w:r>
      <w:proofErr w:type="spellStart"/>
      <w:r w:rsidRPr="007A673A">
        <w:t>ul</w:t>
      </w:r>
      <w:proofErr w:type="spellEnd"/>
      <w:r w:rsidRPr="007A673A">
        <w:t xml:space="preserve">/well of Influenza </w:t>
      </w:r>
      <w:proofErr w:type="gramStart"/>
      <w:r w:rsidRPr="007A673A">
        <w:t>A</w:t>
      </w:r>
      <w:proofErr w:type="gramEnd"/>
      <w:r w:rsidRPr="007A673A">
        <w:t xml:space="preserve"> H5N1 (A/Vietnam/1203/2004) Hemagglutinin protein (HA1 subunit) (</w:t>
      </w:r>
      <w:r w:rsidR="002817D6">
        <w:t xml:space="preserve">IBT </w:t>
      </w:r>
      <w:proofErr w:type="spellStart"/>
      <w:r w:rsidR="002817D6">
        <w:t>Bioservices</w:t>
      </w:r>
      <w:proofErr w:type="spellEnd"/>
      <w:r w:rsidR="002817D6">
        <w:t>, 1501-001</w:t>
      </w:r>
      <w:r w:rsidRPr="007A673A">
        <w:t>), blocked with 100 µL of casein in PBS (</w:t>
      </w:r>
      <w:proofErr w:type="spellStart"/>
      <w:r w:rsidRPr="007A673A">
        <w:t>ThermoFisher</w:t>
      </w:r>
      <w:proofErr w:type="spellEnd"/>
      <w:r w:rsidRPr="007A673A">
        <w:t>), and incubated with serially diluted sera (1:</w:t>
      </w:r>
      <w:r w:rsidR="002817D6">
        <w:t>10</w:t>
      </w:r>
      <w:r w:rsidRPr="007A673A">
        <w:t>0-1:</w:t>
      </w:r>
      <w:r w:rsidR="002817D6">
        <w:t>1020400</w:t>
      </w:r>
      <w:r w:rsidRPr="007A673A">
        <w:t xml:space="preserve">) obtained from the H5N1 challenged NHPs in triplicate. Immunoglobulin G (IgG) antibodies were detected by </w:t>
      </w:r>
      <w:r w:rsidRPr="007A673A">
        <w:lastRenderedPageBreak/>
        <w:t>peroxidase-labelled Goat anti-Monkey IgG (H+L) Secondary Antibody (</w:t>
      </w:r>
      <w:proofErr w:type="spellStart"/>
      <w:r w:rsidRPr="007A673A">
        <w:t>ThermoFisher</w:t>
      </w:r>
      <w:proofErr w:type="spellEnd"/>
      <w:r w:rsidRPr="007A673A">
        <w:t>, PA1-84631) at a dilution of 1:2500 in casein followed by 3,3′,5,5′-Tetramethylbenzidine 2-component peroxidase substrate (</w:t>
      </w:r>
      <w:proofErr w:type="spellStart"/>
      <w:r w:rsidRPr="007A673A">
        <w:t>Seracare</w:t>
      </w:r>
      <w:proofErr w:type="spellEnd"/>
      <w:r w:rsidRPr="007A673A">
        <w:t>, 5120–0047) and stop solution (</w:t>
      </w:r>
      <w:proofErr w:type="spellStart"/>
      <w:r w:rsidRPr="007A673A">
        <w:t>Seracare</w:t>
      </w:r>
      <w:proofErr w:type="spellEnd"/>
      <w:r w:rsidRPr="007A673A">
        <w:t>, 5150-0021) and the optical density at 450 nm (OD450) was immediately measured. Wells were washed six times with PBS containing 0.1% Tween in between each step. </w:t>
      </w:r>
    </w:p>
    <w:p w14:paraId="5E54AA1C" w14:textId="3ADED170" w:rsidR="006354BF" w:rsidRPr="006354BF" w:rsidRDefault="006354BF" w:rsidP="006354BF">
      <w:pPr>
        <w:spacing w:before="240" w:line="480" w:lineRule="auto"/>
      </w:pPr>
      <w:r w:rsidRPr="006354BF">
        <w:rPr>
          <w:b/>
          <w:bCs/>
        </w:rPr>
        <w:t>Histology</w:t>
      </w:r>
      <w:r w:rsidR="00337A20">
        <w:rPr>
          <w:b/>
          <w:bCs/>
        </w:rPr>
        <w:t>.</w:t>
      </w:r>
      <w:r w:rsidR="00337A20">
        <w:t xml:space="preserve"> </w:t>
      </w:r>
      <w:r w:rsidRPr="006354BF">
        <w:t>Tissues were fixed in 10% Neutral Buffered Formalin for a minimum of 7 days.</w:t>
      </w:r>
      <w:r w:rsidR="000A729F">
        <w:t xml:space="preserve"> The buffer was then exchanged, and tissues were fixed at least 24h longer.</w:t>
      </w:r>
      <w:r w:rsidRPr="006354BF">
        <w:t xml:space="preserve"> Tissues were placed in cassettes and processed with a Sakura VIP-6 Tissue Tek, on a 12-hour automated schedule, using a graded series of ethanol, xylene, and </w:t>
      </w:r>
      <w:proofErr w:type="spellStart"/>
      <w:r w:rsidRPr="006354BF">
        <w:t>PureAffin</w:t>
      </w:r>
      <w:proofErr w:type="spellEnd"/>
      <w:r w:rsidRPr="006354BF">
        <w:t>. Embedded tissues are sectioned at 5um and dried overnight at 42 degrees C prior to staining.</w:t>
      </w:r>
    </w:p>
    <w:p w14:paraId="6429AAE9" w14:textId="3FB03047" w:rsidR="006354BF" w:rsidRPr="006354BF" w:rsidRDefault="00643DDE" w:rsidP="006354BF">
      <w:pPr>
        <w:spacing w:before="240" w:line="480" w:lineRule="auto"/>
      </w:pPr>
      <w:r>
        <w:t>Viral antigen</w:t>
      </w:r>
      <w:r w:rsidR="006354BF" w:rsidRPr="006354BF">
        <w:t xml:space="preserve"> was detected using Millipore Sigma Anti-Influenza A nucleoprotein antibody (ABF1820-25UL) at a 1:12,000 dilution. Roche Tissue Diagnostics DISCOVERY </w:t>
      </w:r>
      <w:proofErr w:type="spellStart"/>
      <w:r w:rsidR="006354BF" w:rsidRPr="006354BF">
        <w:t>Omnimap</w:t>
      </w:r>
      <w:proofErr w:type="spellEnd"/>
      <w:r w:rsidR="006354BF" w:rsidRPr="006354BF">
        <w:t xml:space="preserve"> anti-rabbit HRP (760-4311) was used as a secondary antibody. For negative controls, replicate sections from each control block were stained in parallel following an identical protocol, with the primary antibody replaced by Vector Laboratories rabbit IgG (I-1000-5) at a 1:2500 dilution. The tissues were stained using the DISCOVERY ULTRA automated stainer (Ventana Medical Systems) with a Roche Tissue Diagnostics DISCOVERY purple kit (760-229). </w:t>
      </w:r>
    </w:p>
    <w:p w14:paraId="4E2E53EB" w14:textId="5F6C5338" w:rsidR="0064689B" w:rsidRPr="00076585" w:rsidRDefault="0064689B" w:rsidP="0064689B">
      <w:pPr>
        <w:spacing w:before="240" w:line="480" w:lineRule="auto"/>
        <w:rPr>
          <w:b/>
          <w:bCs/>
          <w:color w:val="000000" w:themeColor="text1"/>
        </w:rPr>
      </w:pPr>
      <w:r w:rsidRPr="00076585">
        <w:rPr>
          <w:b/>
          <w:bCs/>
          <w:iCs/>
          <w:color w:val="000000" w:themeColor="text1"/>
        </w:rPr>
        <w:t>Statistical analyses.</w:t>
      </w:r>
      <w:r w:rsidRPr="00076585">
        <w:rPr>
          <w:b/>
          <w:bCs/>
          <w:i/>
          <w:color w:val="000000" w:themeColor="text1"/>
        </w:rPr>
        <w:t xml:space="preserve"> </w:t>
      </w:r>
      <w:r w:rsidRPr="00076585">
        <w:rPr>
          <w:bCs/>
          <w:color w:val="000000" w:themeColor="text1"/>
        </w:rPr>
        <w:t xml:space="preserve">Statistical analysis was performed in Prism </w:t>
      </w:r>
      <w:r w:rsidR="00337A20">
        <w:rPr>
          <w:bCs/>
          <w:color w:val="000000" w:themeColor="text1"/>
        </w:rPr>
        <w:t>10</w:t>
      </w:r>
      <w:r w:rsidRPr="00076585">
        <w:rPr>
          <w:bCs/>
          <w:color w:val="000000" w:themeColor="text1"/>
        </w:rPr>
        <w:t xml:space="preserve"> (GraphPad, San Diego, CA, USA).</w:t>
      </w:r>
      <w:r w:rsidR="001A7D3E">
        <w:rPr>
          <w:bCs/>
          <w:color w:val="000000" w:themeColor="text1"/>
        </w:rPr>
        <w:t xml:space="preserve"> One-way ANOVA with multiple comparisons (Dunnett’s multiple comparison’s test) was used to assess statistical significance</w:t>
      </w:r>
      <w:r w:rsidRPr="00076585">
        <w:rPr>
          <w:bCs/>
          <w:color w:val="000000" w:themeColor="text1"/>
        </w:rPr>
        <w:t xml:space="preserve"> </w:t>
      </w:r>
      <w:r w:rsidR="001A7D3E">
        <w:rPr>
          <w:bCs/>
          <w:color w:val="000000" w:themeColor="text1"/>
        </w:rPr>
        <w:t xml:space="preserve">of infectious virus in the bronchi and lungs. </w:t>
      </w:r>
      <w:r w:rsidR="00D569AD">
        <w:rPr>
          <w:bCs/>
          <w:color w:val="000000" w:themeColor="text1"/>
        </w:rPr>
        <w:t xml:space="preserve">Cytokine and chemokine analysis was performed with a mixed-effects model </w:t>
      </w:r>
      <w:r w:rsidR="001A7D3E">
        <w:rPr>
          <w:bCs/>
          <w:color w:val="000000" w:themeColor="text1"/>
        </w:rPr>
        <w:t xml:space="preserve">(Dunnett’s multiple comparison test) </w:t>
      </w:r>
      <w:r w:rsidR="00D569AD">
        <w:rPr>
          <w:bCs/>
          <w:color w:val="000000" w:themeColor="text1"/>
        </w:rPr>
        <w:t>analysis with multiple comparisons</w:t>
      </w:r>
      <w:r w:rsidR="00D569AD">
        <w:rPr>
          <w:b/>
          <w:bCs/>
          <w:color w:val="000000" w:themeColor="text1"/>
        </w:rPr>
        <w:t xml:space="preserve">. </w:t>
      </w:r>
    </w:p>
    <w:p w14:paraId="12309D72" w14:textId="77777777" w:rsidR="006354BF" w:rsidRPr="006354BF" w:rsidRDefault="006354BF" w:rsidP="001D30AD">
      <w:pPr>
        <w:spacing w:before="240" w:line="480" w:lineRule="auto"/>
        <w:rPr>
          <w:b/>
          <w:bCs/>
        </w:rPr>
      </w:pPr>
    </w:p>
    <w:p w14:paraId="134E6494" w14:textId="77777777" w:rsidR="00A858BC" w:rsidRDefault="00A858BC" w:rsidP="001D30AD">
      <w:pPr>
        <w:spacing w:before="240"/>
      </w:pPr>
    </w:p>
    <w:p w14:paraId="4BE99645" w14:textId="77777777" w:rsidR="00A858BC" w:rsidRDefault="00A858BC" w:rsidP="001D30AD">
      <w:pPr>
        <w:spacing w:before="240"/>
      </w:pPr>
    </w:p>
    <w:p w14:paraId="7B56C47C" w14:textId="464A0D90" w:rsidR="00A858BC" w:rsidRPr="00A858BC" w:rsidRDefault="00A858BC" w:rsidP="00A858BC">
      <w:pPr>
        <w:pStyle w:val="EndNoteBibliography"/>
        <w:spacing w:after="0"/>
        <w:ind w:left="720" w:hanging="720"/>
      </w:pPr>
      <w:r>
        <w:fldChar w:fldCharType="begin"/>
      </w:r>
      <w:r>
        <w:instrText xml:space="preserve"> ADDIN EN.REFLIST </w:instrText>
      </w:r>
      <w:r>
        <w:fldChar w:fldCharType="separate"/>
      </w:r>
      <w:r w:rsidRPr="00A858BC">
        <w:t>1</w:t>
      </w:r>
      <w:r w:rsidRPr="00A858BC">
        <w:tab/>
        <w:t xml:space="preserve">Reed, L. J. &amp; Muench, H. A SIMPLE METHOD OF ESTIMATING FIFTY PER CENT ENDPOINTS. </w:t>
      </w:r>
      <w:r w:rsidRPr="00A858BC">
        <w:rPr>
          <w:i/>
        </w:rPr>
        <w:t>American Journal of Epidemiology</w:t>
      </w:r>
      <w:r w:rsidRPr="00A858BC">
        <w:t xml:space="preserve"> </w:t>
      </w:r>
      <w:r w:rsidRPr="00A858BC">
        <w:rPr>
          <w:b/>
        </w:rPr>
        <w:t>27</w:t>
      </w:r>
      <w:r w:rsidRPr="00A858BC">
        <w:t xml:space="preserve">, 493-497 (1938). </w:t>
      </w:r>
      <w:hyperlink r:id="rId7" w:history="1">
        <w:r w:rsidRPr="00A858BC">
          <w:rPr>
            <w:rStyle w:val="Hyperlink"/>
          </w:rPr>
          <w:t>https://doi.org/10.1093/oxfordjournals.aje.a118408</w:t>
        </w:r>
      </w:hyperlink>
    </w:p>
    <w:p w14:paraId="74E7FFDA" w14:textId="77777777" w:rsidR="00A858BC" w:rsidRPr="00A858BC" w:rsidRDefault="00A858BC" w:rsidP="00A858BC">
      <w:pPr>
        <w:pStyle w:val="EndNoteBibliography"/>
        <w:ind w:left="720" w:hanging="720"/>
      </w:pPr>
      <w:r w:rsidRPr="00A858BC">
        <w:t>2</w:t>
      </w:r>
      <w:r w:rsidRPr="00A858BC">
        <w:tab/>
        <w:t>Brining, D. L.</w:t>
      </w:r>
      <w:r w:rsidRPr="00A858BC">
        <w:rPr>
          <w:i/>
        </w:rPr>
        <w:t xml:space="preserve"> et al.</w:t>
      </w:r>
      <w:r w:rsidRPr="00A858BC">
        <w:t xml:space="preserve"> Thoracic radiography as a refinement methodology for the study of H1N1 influenza in cynomologus macaques (Macaca fascicularis). </w:t>
      </w:r>
      <w:r w:rsidRPr="00A858BC">
        <w:rPr>
          <w:i/>
        </w:rPr>
        <w:t>Comp Med</w:t>
      </w:r>
      <w:r w:rsidRPr="00A858BC">
        <w:t xml:space="preserve"> </w:t>
      </w:r>
      <w:r w:rsidRPr="00A858BC">
        <w:rPr>
          <w:b/>
        </w:rPr>
        <w:t>60</w:t>
      </w:r>
      <w:r w:rsidRPr="00A858BC">
        <w:t xml:space="preserve">, 389-395 (2010). </w:t>
      </w:r>
    </w:p>
    <w:p w14:paraId="0F18388C" w14:textId="4681996F" w:rsidR="0086364A" w:rsidRPr="001D30AD" w:rsidRDefault="00A858BC" w:rsidP="001D30AD">
      <w:pPr>
        <w:spacing w:before="240"/>
      </w:pPr>
      <w:r>
        <w:fldChar w:fldCharType="end"/>
      </w:r>
    </w:p>
    <w:sectPr w:rsidR="0086364A" w:rsidRPr="001D30AD" w:rsidSect="001D30AD">
      <w:headerReference w:type="default" r:id="rId8"/>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5C1BC1" w14:textId="77777777" w:rsidR="00DC550C" w:rsidRDefault="00DC550C" w:rsidP="001D30AD">
      <w:r>
        <w:separator/>
      </w:r>
    </w:p>
  </w:endnote>
  <w:endnote w:type="continuationSeparator" w:id="0">
    <w:p w14:paraId="24563CF7" w14:textId="77777777" w:rsidR="00DC550C" w:rsidRDefault="00DC550C" w:rsidP="001D30AD">
      <w:r>
        <w:continuationSeparator/>
      </w:r>
    </w:p>
  </w:endnote>
  <w:endnote w:type="continuationNotice" w:id="1">
    <w:p w14:paraId="568854CF" w14:textId="77777777" w:rsidR="00DC550C" w:rsidRDefault="00DC550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627B83" w14:textId="77777777" w:rsidR="00DC550C" w:rsidRDefault="00DC550C" w:rsidP="001D30AD">
      <w:r>
        <w:separator/>
      </w:r>
    </w:p>
  </w:footnote>
  <w:footnote w:type="continuationSeparator" w:id="0">
    <w:p w14:paraId="08B07BD0" w14:textId="77777777" w:rsidR="00DC550C" w:rsidRDefault="00DC550C" w:rsidP="001D30AD">
      <w:r>
        <w:continuationSeparator/>
      </w:r>
    </w:p>
  </w:footnote>
  <w:footnote w:type="continuationNotice" w:id="1">
    <w:p w14:paraId="5D5E5F7D" w14:textId="77777777" w:rsidR="00DC550C" w:rsidRDefault="00DC550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62162949"/>
      <w:docPartObj>
        <w:docPartGallery w:val="Page Numbers (Top of Page)"/>
        <w:docPartUnique/>
      </w:docPartObj>
    </w:sdtPr>
    <w:sdtEndPr>
      <w:rPr>
        <w:noProof/>
      </w:rPr>
    </w:sdtEndPr>
    <w:sdtContent>
      <w:p w14:paraId="07C4DD0A" w14:textId="61716E38" w:rsidR="001D30AD" w:rsidRDefault="001D30A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7A88198" w14:textId="77777777" w:rsidR="001D30AD" w:rsidRDefault="001D30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sxdts0d505x9ae55s355drzs0v592r9dp2t&quot;&gt;My H5 EndNote Library&lt;record-ids&gt;&lt;item&gt;24&lt;/item&gt;&lt;/record-ids&gt;&lt;/item&gt;&lt;/Libraries&gt;"/>
  </w:docVars>
  <w:rsids>
    <w:rsidRoot w:val="00F50AEB"/>
    <w:rsid w:val="00001477"/>
    <w:rsid w:val="000041BF"/>
    <w:rsid w:val="00005907"/>
    <w:rsid w:val="000069A8"/>
    <w:rsid w:val="000069FE"/>
    <w:rsid w:val="00012282"/>
    <w:rsid w:val="000128AC"/>
    <w:rsid w:val="00014AF1"/>
    <w:rsid w:val="000155CA"/>
    <w:rsid w:val="00015629"/>
    <w:rsid w:val="00015D3F"/>
    <w:rsid w:val="000211D5"/>
    <w:rsid w:val="000216F5"/>
    <w:rsid w:val="000251B6"/>
    <w:rsid w:val="000303AA"/>
    <w:rsid w:val="000304BC"/>
    <w:rsid w:val="00032A6A"/>
    <w:rsid w:val="00032B1D"/>
    <w:rsid w:val="00037270"/>
    <w:rsid w:val="00037DD4"/>
    <w:rsid w:val="000404C9"/>
    <w:rsid w:val="000433F8"/>
    <w:rsid w:val="00046CDF"/>
    <w:rsid w:val="00051656"/>
    <w:rsid w:val="000531C9"/>
    <w:rsid w:val="000541F9"/>
    <w:rsid w:val="0005433D"/>
    <w:rsid w:val="00055119"/>
    <w:rsid w:val="000566E3"/>
    <w:rsid w:val="00062E93"/>
    <w:rsid w:val="00065EA8"/>
    <w:rsid w:val="000738C3"/>
    <w:rsid w:val="000738F5"/>
    <w:rsid w:val="00075522"/>
    <w:rsid w:val="0007614A"/>
    <w:rsid w:val="00080552"/>
    <w:rsid w:val="00081053"/>
    <w:rsid w:val="00083B6F"/>
    <w:rsid w:val="00087E7D"/>
    <w:rsid w:val="00087E9E"/>
    <w:rsid w:val="00090CAE"/>
    <w:rsid w:val="000921D8"/>
    <w:rsid w:val="000931A6"/>
    <w:rsid w:val="00093687"/>
    <w:rsid w:val="00095CEE"/>
    <w:rsid w:val="000A08B5"/>
    <w:rsid w:val="000A2D14"/>
    <w:rsid w:val="000A3899"/>
    <w:rsid w:val="000A729F"/>
    <w:rsid w:val="000B3837"/>
    <w:rsid w:val="000B531A"/>
    <w:rsid w:val="000C0752"/>
    <w:rsid w:val="000C5C12"/>
    <w:rsid w:val="000C646C"/>
    <w:rsid w:val="000C7FF0"/>
    <w:rsid w:val="000D0414"/>
    <w:rsid w:val="000D0E71"/>
    <w:rsid w:val="000D3D89"/>
    <w:rsid w:val="000D6D64"/>
    <w:rsid w:val="000D7B8A"/>
    <w:rsid w:val="000D7D55"/>
    <w:rsid w:val="000E1F2A"/>
    <w:rsid w:val="000E5C66"/>
    <w:rsid w:val="000E6696"/>
    <w:rsid w:val="000E6B9E"/>
    <w:rsid w:val="000E6C34"/>
    <w:rsid w:val="000E6F20"/>
    <w:rsid w:val="000E7C8A"/>
    <w:rsid w:val="000F1A4E"/>
    <w:rsid w:val="000F5C55"/>
    <w:rsid w:val="000F6010"/>
    <w:rsid w:val="0010158F"/>
    <w:rsid w:val="001015CC"/>
    <w:rsid w:val="001036C3"/>
    <w:rsid w:val="00104C38"/>
    <w:rsid w:val="0010722C"/>
    <w:rsid w:val="0010770F"/>
    <w:rsid w:val="00110130"/>
    <w:rsid w:val="0011116D"/>
    <w:rsid w:val="001114CD"/>
    <w:rsid w:val="00111BA6"/>
    <w:rsid w:val="001133CB"/>
    <w:rsid w:val="001151AB"/>
    <w:rsid w:val="00116BE0"/>
    <w:rsid w:val="0012019D"/>
    <w:rsid w:val="0012223C"/>
    <w:rsid w:val="00131F29"/>
    <w:rsid w:val="00134628"/>
    <w:rsid w:val="0013677D"/>
    <w:rsid w:val="00136B89"/>
    <w:rsid w:val="00137CE9"/>
    <w:rsid w:val="00140588"/>
    <w:rsid w:val="00141604"/>
    <w:rsid w:val="00143598"/>
    <w:rsid w:val="001461D2"/>
    <w:rsid w:val="00147900"/>
    <w:rsid w:val="00147A64"/>
    <w:rsid w:val="0015023D"/>
    <w:rsid w:val="00151A7B"/>
    <w:rsid w:val="00154A11"/>
    <w:rsid w:val="0016083F"/>
    <w:rsid w:val="00160BAA"/>
    <w:rsid w:val="00163456"/>
    <w:rsid w:val="0016409B"/>
    <w:rsid w:val="001640FD"/>
    <w:rsid w:val="00172D25"/>
    <w:rsid w:val="00176316"/>
    <w:rsid w:val="00176822"/>
    <w:rsid w:val="001775A0"/>
    <w:rsid w:val="00183678"/>
    <w:rsid w:val="001857B1"/>
    <w:rsid w:val="001924E5"/>
    <w:rsid w:val="00194620"/>
    <w:rsid w:val="00195CF4"/>
    <w:rsid w:val="00197220"/>
    <w:rsid w:val="001A12D0"/>
    <w:rsid w:val="001A7D3E"/>
    <w:rsid w:val="001B6CCB"/>
    <w:rsid w:val="001B6D44"/>
    <w:rsid w:val="001C11E2"/>
    <w:rsid w:val="001C2307"/>
    <w:rsid w:val="001C2D3C"/>
    <w:rsid w:val="001C3ECD"/>
    <w:rsid w:val="001C43B6"/>
    <w:rsid w:val="001C4536"/>
    <w:rsid w:val="001D1872"/>
    <w:rsid w:val="001D30AD"/>
    <w:rsid w:val="001D3A04"/>
    <w:rsid w:val="001D470A"/>
    <w:rsid w:val="001D53ED"/>
    <w:rsid w:val="001D75F3"/>
    <w:rsid w:val="001E0669"/>
    <w:rsid w:val="001E37E5"/>
    <w:rsid w:val="001E3C94"/>
    <w:rsid w:val="001E63EA"/>
    <w:rsid w:val="001F01EA"/>
    <w:rsid w:val="001F3DB6"/>
    <w:rsid w:val="001F56FA"/>
    <w:rsid w:val="001F5DC1"/>
    <w:rsid w:val="001F738B"/>
    <w:rsid w:val="00202288"/>
    <w:rsid w:val="002060AA"/>
    <w:rsid w:val="002068F8"/>
    <w:rsid w:val="00210CA2"/>
    <w:rsid w:val="0022117E"/>
    <w:rsid w:val="002211C3"/>
    <w:rsid w:val="00222542"/>
    <w:rsid w:val="002244C1"/>
    <w:rsid w:val="002250B5"/>
    <w:rsid w:val="00226F5A"/>
    <w:rsid w:val="002305FB"/>
    <w:rsid w:val="00236980"/>
    <w:rsid w:val="00241175"/>
    <w:rsid w:val="002428FF"/>
    <w:rsid w:val="0025275D"/>
    <w:rsid w:val="002642F1"/>
    <w:rsid w:val="002664DD"/>
    <w:rsid w:val="00270299"/>
    <w:rsid w:val="002704B1"/>
    <w:rsid w:val="002711DF"/>
    <w:rsid w:val="00274F23"/>
    <w:rsid w:val="00277AD8"/>
    <w:rsid w:val="002811E4"/>
    <w:rsid w:val="002817D6"/>
    <w:rsid w:val="002818E8"/>
    <w:rsid w:val="00282B40"/>
    <w:rsid w:val="00282D59"/>
    <w:rsid w:val="00283A0E"/>
    <w:rsid w:val="0028576D"/>
    <w:rsid w:val="0028648A"/>
    <w:rsid w:val="00286E41"/>
    <w:rsid w:val="00291984"/>
    <w:rsid w:val="00295406"/>
    <w:rsid w:val="002965AD"/>
    <w:rsid w:val="002A0401"/>
    <w:rsid w:val="002A0AD6"/>
    <w:rsid w:val="002A298E"/>
    <w:rsid w:val="002A44DD"/>
    <w:rsid w:val="002A6343"/>
    <w:rsid w:val="002B0474"/>
    <w:rsid w:val="002B049D"/>
    <w:rsid w:val="002B2107"/>
    <w:rsid w:val="002B4A9A"/>
    <w:rsid w:val="002B52D4"/>
    <w:rsid w:val="002B7AEE"/>
    <w:rsid w:val="002C12F9"/>
    <w:rsid w:val="002C1790"/>
    <w:rsid w:val="002D1187"/>
    <w:rsid w:val="002D2D81"/>
    <w:rsid w:val="002D4137"/>
    <w:rsid w:val="002D4BFB"/>
    <w:rsid w:val="002E2803"/>
    <w:rsid w:val="002E3398"/>
    <w:rsid w:val="002E404B"/>
    <w:rsid w:val="002E6570"/>
    <w:rsid w:val="002E69A1"/>
    <w:rsid w:val="002E7BC6"/>
    <w:rsid w:val="002E7FDD"/>
    <w:rsid w:val="002F01FB"/>
    <w:rsid w:val="002F028A"/>
    <w:rsid w:val="002F13B8"/>
    <w:rsid w:val="002F222D"/>
    <w:rsid w:val="002F3628"/>
    <w:rsid w:val="002F6C0B"/>
    <w:rsid w:val="00301BE6"/>
    <w:rsid w:val="00302687"/>
    <w:rsid w:val="00302BED"/>
    <w:rsid w:val="00304239"/>
    <w:rsid w:val="003067E1"/>
    <w:rsid w:val="00310BC0"/>
    <w:rsid w:val="00313C13"/>
    <w:rsid w:val="00313F29"/>
    <w:rsid w:val="00314988"/>
    <w:rsid w:val="003163A1"/>
    <w:rsid w:val="003163FF"/>
    <w:rsid w:val="0031695C"/>
    <w:rsid w:val="00321AEE"/>
    <w:rsid w:val="00323E4C"/>
    <w:rsid w:val="00324374"/>
    <w:rsid w:val="00324458"/>
    <w:rsid w:val="00325786"/>
    <w:rsid w:val="0032614A"/>
    <w:rsid w:val="00326306"/>
    <w:rsid w:val="0032733E"/>
    <w:rsid w:val="00327B72"/>
    <w:rsid w:val="0033314C"/>
    <w:rsid w:val="00335CE1"/>
    <w:rsid w:val="003376AF"/>
    <w:rsid w:val="00337A20"/>
    <w:rsid w:val="00342F0C"/>
    <w:rsid w:val="00343AB0"/>
    <w:rsid w:val="00344CA4"/>
    <w:rsid w:val="00346077"/>
    <w:rsid w:val="00350BE0"/>
    <w:rsid w:val="00351216"/>
    <w:rsid w:val="003562C1"/>
    <w:rsid w:val="0037141D"/>
    <w:rsid w:val="00371519"/>
    <w:rsid w:val="0037160C"/>
    <w:rsid w:val="00376AEF"/>
    <w:rsid w:val="00380C13"/>
    <w:rsid w:val="0038274B"/>
    <w:rsid w:val="003828F2"/>
    <w:rsid w:val="00385505"/>
    <w:rsid w:val="00386AD1"/>
    <w:rsid w:val="0038772E"/>
    <w:rsid w:val="00392069"/>
    <w:rsid w:val="00394349"/>
    <w:rsid w:val="00396012"/>
    <w:rsid w:val="003A0995"/>
    <w:rsid w:val="003A09E7"/>
    <w:rsid w:val="003A48B2"/>
    <w:rsid w:val="003A518F"/>
    <w:rsid w:val="003B18AE"/>
    <w:rsid w:val="003B28F8"/>
    <w:rsid w:val="003B473A"/>
    <w:rsid w:val="003B60AA"/>
    <w:rsid w:val="003C0F56"/>
    <w:rsid w:val="003C2BB4"/>
    <w:rsid w:val="003C4494"/>
    <w:rsid w:val="003D0DC0"/>
    <w:rsid w:val="003D40A8"/>
    <w:rsid w:val="003D5382"/>
    <w:rsid w:val="003D584C"/>
    <w:rsid w:val="003E2460"/>
    <w:rsid w:val="003E43D0"/>
    <w:rsid w:val="003F09D2"/>
    <w:rsid w:val="003F1027"/>
    <w:rsid w:val="003F3058"/>
    <w:rsid w:val="003F4A78"/>
    <w:rsid w:val="003F4E2A"/>
    <w:rsid w:val="004052FD"/>
    <w:rsid w:val="00405377"/>
    <w:rsid w:val="00405B65"/>
    <w:rsid w:val="0041121F"/>
    <w:rsid w:val="00412977"/>
    <w:rsid w:val="004132BC"/>
    <w:rsid w:val="00417CF0"/>
    <w:rsid w:val="00417D06"/>
    <w:rsid w:val="00420216"/>
    <w:rsid w:val="00420386"/>
    <w:rsid w:val="00424A53"/>
    <w:rsid w:val="00425865"/>
    <w:rsid w:val="00425A26"/>
    <w:rsid w:val="004267F3"/>
    <w:rsid w:val="00431D64"/>
    <w:rsid w:val="00432516"/>
    <w:rsid w:val="00435E98"/>
    <w:rsid w:val="004361E1"/>
    <w:rsid w:val="00440263"/>
    <w:rsid w:val="0044259A"/>
    <w:rsid w:val="00444BDD"/>
    <w:rsid w:val="004453F2"/>
    <w:rsid w:val="004455FD"/>
    <w:rsid w:val="00447395"/>
    <w:rsid w:val="00447BD9"/>
    <w:rsid w:val="00457483"/>
    <w:rsid w:val="00457E01"/>
    <w:rsid w:val="0046017E"/>
    <w:rsid w:val="0046038F"/>
    <w:rsid w:val="0046063F"/>
    <w:rsid w:val="00461766"/>
    <w:rsid w:val="00464165"/>
    <w:rsid w:val="00464EBA"/>
    <w:rsid w:val="0046524A"/>
    <w:rsid w:val="00467258"/>
    <w:rsid w:val="004672EA"/>
    <w:rsid w:val="00472422"/>
    <w:rsid w:val="00477B15"/>
    <w:rsid w:val="00480C31"/>
    <w:rsid w:val="0048278C"/>
    <w:rsid w:val="00483BFE"/>
    <w:rsid w:val="00484DBD"/>
    <w:rsid w:val="004903D6"/>
    <w:rsid w:val="00490D19"/>
    <w:rsid w:val="0049290A"/>
    <w:rsid w:val="004973E9"/>
    <w:rsid w:val="004A140C"/>
    <w:rsid w:val="004A219E"/>
    <w:rsid w:val="004A25B4"/>
    <w:rsid w:val="004B0CD5"/>
    <w:rsid w:val="004B4589"/>
    <w:rsid w:val="004B5D4F"/>
    <w:rsid w:val="004B6304"/>
    <w:rsid w:val="004B79CD"/>
    <w:rsid w:val="004C054C"/>
    <w:rsid w:val="004C1D66"/>
    <w:rsid w:val="004C28F6"/>
    <w:rsid w:val="004C4F89"/>
    <w:rsid w:val="004D0C6E"/>
    <w:rsid w:val="004D17EB"/>
    <w:rsid w:val="004D40C0"/>
    <w:rsid w:val="004D4583"/>
    <w:rsid w:val="004D592E"/>
    <w:rsid w:val="004D7CFB"/>
    <w:rsid w:val="004E2274"/>
    <w:rsid w:val="004E3B0D"/>
    <w:rsid w:val="004E3F8D"/>
    <w:rsid w:val="004E4191"/>
    <w:rsid w:val="004E57B1"/>
    <w:rsid w:val="004F0F8E"/>
    <w:rsid w:val="004F3285"/>
    <w:rsid w:val="004F4EE0"/>
    <w:rsid w:val="004F542E"/>
    <w:rsid w:val="004F6CFB"/>
    <w:rsid w:val="004F7005"/>
    <w:rsid w:val="00502768"/>
    <w:rsid w:val="0050442E"/>
    <w:rsid w:val="00504667"/>
    <w:rsid w:val="005059EA"/>
    <w:rsid w:val="00506467"/>
    <w:rsid w:val="0050667E"/>
    <w:rsid w:val="00507A6A"/>
    <w:rsid w:val="00507DDC"/>
    <w:rsid w:val="005100E9"/>
    <w:rsid w:val="00510C53"/>
    <w:rsid w:val="005163B6"/>
    <w:rsid w:val="005210DA"/>
    <w:rsid w:val="00524537"/>
    <w:rsid w:val="0052684A"/>
    <w:rsid w:val="0052746A"/>
    <w:rsid w:val="00527617"/>
    <w:rsid w:val="00527FCC"/>
    <w:rsid w:val="00530030"/>
    <w:rsid w:val="00530A8B"/>
    <w:rsid w:val="00531357"/>
    <w:rsid w:val="0054107E"/>
    <w:rsid w:val="005420ED"/>
    <w:rsid w:val="00543DA0"/>
    <w:rsid w:val="00544FA5"/>
    <w:rsid w:val="00545291"/>
    <w:rsid w:val="00546162"/>
    <w:rsid w:val="005465DA"/>
    <w:rsid w:val="00546E9D"/>
    <w:rsid w:val="0055025D"/>
    <w:rsid w:val="005517EC"/>
    <w:rsid w:val="0056199C"/>
    <w:rsid w:val="00564A02"/>
    <w:rsid w:val="00565092"/>
    <w:rsid w:val="005652FB"/>
    <w:rsid w:val="00576F2E"/>
    <w:rsid w:val="00577DCC"/>
    <w:rsid w:val="005837F8"/>
    <w:rsid w:val="005848C2"/>
    <w:rsid w:val="005910DB"/>
    <w:rsid w:val="005A0875"/>
    <w:rsid w:val="005A1240"/>
    <w:rsid w:val="005A170C"/>
    <w:rsid w:val="005A46BF"/>
    <w:rsid w:val="005A56EF"/>
    <w:rsid w:val="005A6655"/>
    <w:rsid w:val="005C41EC"/>
    <w:rsid w:val="005C5247"/>
    <w:rsid w:val="005C7B45"/>
    <w:rsid w:val="005D0F56"/>
    <w:rsid w:val="005D2714"/>
    <w:rsid w:val="005D6EFE"/>
    <w:rsid w:val="005E0631"/>
    <w:rsid w:val="005E0974"/>
    <w:rsid w:val="005E1E77"/>
    <w:rsid w:val="005E3491"/>
    <w:rsid w:val="005E3CAE"/>
    <w:rsid w:val="005E433F"/>
    <w:rsid w:val="005F1516"/>
    <w:rsid w:val="005F33F1"/>
    <w:rsid w:val="005F6E02"/>
    <w:rsid w:val="0060437B"/>
    <w:rsid w:val="00606FAF"/>
    <w:rsid w:val="006073B2"/>
    <w:rsid w:val="00607884"/>
    <w:rsid w:val="00610B09"/>
    <w:rsid w:val="00610DE4"/>
    <w:rsid w:val="006111F2"/>
    <w:rsid w:val="00612463"/>
    <w:rsid w:val="00613A18"/>
    <w:rsid w:val="00615771"/>
    <w:rsid w:val="006218BB"/>
    <w:rsid w:val="00621E84"/>
    <w:rsid w:val="00624F08"/>
    <w:rsid w:val="00624F75"/>
    <w:rsid w:val="006253D6"/>
    <w:rsid w:val="00625F90"/>
    <w:rsid w:val="00626755"/>
    <w:rsid w:val="00627A24"/>
    <w:rsid w:val="006301C7"/>
    <w:rsid w:val="00630220"/>
    <w:rsid w:val="006318D3"/>
    <w:rsid w:val="006354BF"/>
    <w:rsid w:val="00637591"/>
    <w:rsid w:val="0064186F"/>
    <w:rsid w:val="00641CAD"/>
    <w:rsid w:val="00643A34"/>
    <w:rsid w:val="00643ADA"/>
    <w:rsid w:val="00643DDE"/>
    <w:rsid w:val="0064689B"/>
    <w:rsid w:val="00646B86"/>
    <w:rsid w:val="00646CA1"/>
    <w:rsid w:val="0065700A"/>
    <w:rsid w:val="00657569"/>
    <w:rsid w:val="006609FB"/>
    <w:rsid w:val="0066265F"/>
    <w:rsid w:val="00663736"/>
    <w:rsid w:val="00663D07"/>
    <w:rsid w:val="00666029"/>
    <w:rsid w:val="00667C6A"/>
    <w:rsid w:val="006708F2"/>
    <w:rsid w:val="00671A3F"/>
    <w:rsid w:val="00675620"/>
    <w:rsid w:val="00675F25"/>
    <w:rsid w:val="00677202"/>
    <w:rsid w:val="006775BB"/>
    <w:rsid w:val="006848CB"/>
    <w:rsid w:val="00687A87"/>
    <w:rsid w:val="00691847"/>
    <w:rsid w:val="0069215B"/>
    <w:rsid w:val="00692ED5"/>
    <w:rsid w:val="0069558E"/>
    <w:rsid w:val="006A0227"/>
    <w:rsid w:val="006A26EE"/>
    <w:rsid w:val="006A71AF"/>
    <w:rsid w:val="006B1887"/>
    <w:rsid w:val="006B2C99"/>
    <w:rsid w:val="006B53A6"/>
    <w:rsid w:val="006B5D6A"/>
    <w:rsid w:val="006C0029"/>
    <w:rsid w:val="006C2722"/>
    <w:rsid w:val="006C33FF"/>
    <w:rsid w:val="006C52ED"/>
    <w:rsid w:val="006D081C"/>
    <w:rsid w:val="006D0EC4"/>
    <w:rsid w:val="006D149E"/>
    <w:rsid w:val="006D1DB6"/>
    <w:rsid w:val="006D3C63"/>
    <w:rsid w:val="006D66E5"/>
    <w:rsid w:val="006D7388"/>
    <w:rsid w:val="006E0549"/>
    <w:rsid w:val="006E06D9"/>
    <w:rsid w:val="006E2FAB"/>
    <w:rsid w:val="006E2FAE"/>
    <w:rsid w:val="006E4885"/>
    <w:rsid w:val="006E6C7B"/>
    <w:rsid w:val="006E7542"/>
    <w:rsid w:val="006E7AE6"/>
    <w:rsid w:val="006F01D4"/>
    <w:rsid w:val="006F1726"/>
    <w:rsid w:val="00705BC3"/>
    <w:rsid w:val="00710CB5"/>
    <w:rsid w:val="00715AB9"/>
    <w:rsid w:val="007202DF"/>
    <w:rsid w:val="007226C3"/>
    <w:rsid w:val="007264FD"/>
    <w:rsid w:val="00733F6B"/>
    <w:rsid w:val="0073662F"/>
    <w:rsid w:val="0073736A"/>
    <w:rsid w:val="00737873"/>
    <w:rsid w:val="00737A24"/>
    <w:rsid w:val="00740163"/>
    <w:rsid w:val="00741F48"/>
    <w:rsid w:val="0074469F"/>
    <w:rsid w:val="007446F8"/>
    <w:rsid w:val="0075039E"/>
    <w:rsid w:val="00752DCC"/>
    <w:rsid w:val="00753155"/>
    <w:rsid w:val="007534C2"/>
    <w:rsid w:val="00754B3C"/>
    <w:rsid w:val="00755827"/>
    <w:rsid w:val="00755CE2"/>
    <w:rsid w:val="00756EF5"/>
    <w:rsid w:val="00760FB3"/>
    <w:rsid w:val="00761FD4"/>
    <w:rsid w:val="007707AF"/>
    <w:rsid w:val="00771B8D"/>
    <w:rsid w:val="00772CC1"/>
    <w:rsid w:val="00773E8D"/>
    <w:rsid w:val="007750BF"/>
    <w:rsid w:val="00780EC4"/>
    <w:rsid w:val="00781742"/>
    <w:rsid w:val="00781D01"/>
    <w:rsid w:val="007878A2"/>
    <w:rsid w:val="00787B91"/>
    <w:rsid w:val="00792BF0"/>
    <w:rsid w:val="00793A19"/>
    <w:rsid w:val="00793EF8"/>
    <w:rsid w:val="00795FE6"/>
    <w:rsid w:val="007971D3"/>
    <w:rsid w:val="007974B2"/>
    <w:rsid w:val="007A4E2D"/>
    <w:rsid w:val="007A56AA"/>
    <w:rsid w:val="007A6539"/>
    <w:rsid w:val="007A673A"/>
    <w:rsid w:val="007A6EFE"/>
    <w:rsid w:val="007B0373"/>
    <w:rsid w:val="007B0863"/>
    <w:rsid w:val="007B1430"/>
    <w:rsid w:val="007B197F"/>
    <w:rsid w:val="007B1DFB"/>
    <w:rsid w:val="007B2C05"/>
    <w:rsid w:val="007B3525"/>
    <w:rsid w:val="007B4130"/>
    <w:rsid w:val="007B50F5"/>
    <w:rsid w:val="007B6197"/>
    <w:rsid w:val="007C00B4"/>
    <w:rsid w:val="007C293C"/>
    <w:rsid w:val="007C29D3"/>
    <w:rsid w:val="007C2DAE"/>
    <w:rsid w:val="007C3708"/>
    <w:rsid w:val="007C539D"/>
    <w:rsid w:val="007C6987"/>
    <w:rsid w:val="007C6D4D"/>
    <w:rsid w:val="007C7562"/>
    <w:rsid w:val="007D1B4C"/>
    <w:rsid w:val="007D52A8"/>
    <w:rsid w:val="007D543A"/>
    <w:rsid w:val="007D66A3"/>
    <w:rsid w:val="007D6D55"/>
    <w:rsid w:val="007E06A8"/>
    <w:rsid w:val="007E23C1"/>
    <w:rsid w:val="007E4EE6"/>
    <w:rsid w:val="007E570C"/>
    <w:rsid w:val="007E57A2"/>
    <w:rsid w:val="007F0C8C"/>
    <w:rsid w:val="007F1C0D"/>
    <w:rsid w:val="007F4032"/>
    <w:rsid w:val="007F4CB5"/>
    <w:rsid w:val="00803F90"/>
    <w:rsid w:val="008069F7"/>
    <w:rsid w:val="00807AA6"/>
    <w:rsid w:val="0081091A"/>
    <w:rsid w:val="00815B2D"/>
    <w:rsid w:val="00816E9E"/>
    <w:rsid w:val="00817B89"/>
    <w:rsid w:val="008203E9"/>
    <w:rsid w:val="00822206"/>
    <w:rsid w:val="008244CD"/>
    <w:rsid w:val="00825211"/>
    <w:rsid w:val="008270FE"/>
    <w:rsid w:val="00827A11"/>
    <w:rsid w:val="00830C99"/>
    <w:rsid w:val="00836A01"/>
    <w:rsid w:val="00837A5C"/>
    <w:rsid w:val="0084322D"/>
    <w:rsid w:val="008448E6"/>
    <w:rsid w:val="00845A4F"/>
    <w:rsid w:val="00846CE4"/>
    <w:rsid w:val="00850D72"/>
    <w:rsid w:val="00857C9D"/>
    <w:rsid w:val="0086364A"/>
    <w:rsid w:val="008654A9"/>
    <w:rsid w:val="00865A00"/>
    <w:rsid w:val="00867634"/>
    <w:rsid w:val="00872CEB"/>
    <w:rsid w:val="008731F1"/>
    <w:rsid w:val="00873F88"/>
    <w:rsid w:val="00882E4B"/>
    <w:rsid w:val="00883681"/>
    <w:rsid w:val="00885AF0"/>
    <w:rsid w:val="0088623B"/>
    <w:rsid w:val="008874F1"/>
    <w:rsid w:val="008879C0"/>
    <w:rsid w:val="00890E70"/>
    <w:rsid w:val="0089104E"/>
    <w:rsid w:val="00894346"/>
    <w:rsid w:val="00895E73"/>
    <w:rsid w:val="00896899"/>
    <w:rsid w:val="008A0BCB"/>
    <w:rsid w:val="008A512B"/>
    <w:rsid w:val="008A7410"/>
    <w:rsid w:val="008A7D63"/>
    <w:rsid w:val="008B25B6"/>
    <w:rsid w:val="008B2903"/>
    <w:rsid w:val="008B2D11"/>
    <w:rsid w:val="008B46C6"/>
    <w:rsid w:val="008B46F7"/>
    <w:rsid w:val="008B5569"/>
    <w:rsid w:val="008B799F"/>
    <w:rsid w:val="008C7FCF"/>
    <w:rsid w:val="008D3FBB"/>
    <w:rsid w:val="008E2C7D"/>
    <w:rsid w:val="008E3683"/>
    <w:rsid w:val="008E4082"/>
    <w:rsid w:val="008F1564"/>
    <w:rsid w:val="008F2A72"/>
    <w:rsid w:val="008F7B84"/>
    <w:rsid w:val="00901617"/>
    <w:rsid w:val="009021A4"/>
    <w:rsid w:val="00902F34"/>
    <w:rsid w:val="009072AD"/>
    <w:rsid w:val="00912AC9"/>
    <w:rsid w:val="0091363C"/>
    <w:rsid w:val="00917D69"/>
    <w:rsid w:val="00920C08"/>
    <w:rsid w:val="00921BC0"/>
    <w:rsid w:val="00922772"/>
    <w:rsid w:val="00923980"/>
    <w:rsid w:val="00923C05"/>
    <w:rsid w:val="00924376"/>
    <w:rsid w:val="00925439"/>
    <w:rsid w:val="009269D9"/>
    <w:rsid w:val="00926A18"/>
    <w:rsid w:val="00932B3A"/>
    <w:rsid w:val="00933446"/>
    <w:rsid w:val="009344B9"/>
    <w:rsid w:val="00943D3C"/>
    <w:rsid w:val="0094403F"/>
    <w:rsid w:val="00944A43"/>
    <w:rsid w:val="00946033"/>
    <w:rsid w:val="00950E78"/>
    <w:rsid w:val="00952C4A"/>
    <w:rsid w:val="00953446"/>
    <w:rsid w:val="00956D74"/>
    <w:rsid w:val="00961145"/>
    <w:rsid w:val="009642E4"/>
    <w:rsid w:val="00966307"/>
    <w:rsid w:val="00966EBB"/>
    <w:rsid w:val="009678EE"/>
    <w:rsid w:val="00970B1C"/>
    <w:rsid w:val="00970EC1"/>
    <w:rsid w:val="00972513"/>
    <w:rsid w:val="00974DA4"/>
    <w:rsid w:val="0097644A"/>
    <w:rsid w:val="00976932"/>
    <w:rsid w:val="00977E2D"/>
    <w:rsid w:val="00985C84"/>
    <w:rsid w:val="009860C0"/>
    <w:rsid w:val="00987358"/>
    <w:rsid w:val="00987D1C"/>
    <w:rsid w:val="00992717"/>
    <w:rsid w:val="009936AB"/>
    <w:rsid w:val="009A1F30"/>
    <w:rsid w:val="009A48A2"/>
    <w:rsid w:val="009A6498"/>
    <w:rsid w:val="009A6553"/>
    <w:rsid w:val="009A6B50"/>
    <w:rsid w:val="009A7DC3"/>
    <w:rsid w:val="009B1D5E"/>
    <w:rsid w:val="009B490F"/>
    <w:rsid w:val="009C0460"/>
    <w:rsid w:val="009C3B87"/>
    <w:rsid w:val="009D1033"/>
    <w:rsid w:val="009D2BB7"/>
    <w:rsid w:val="009D49CE"/>
    <w:rsid w:val="009D616C"/>
    <w:rsid w:val="009E330F"/>
    <w:rsid w:val="009E37F3"/>
    <w:rsid w:val="009F1D76"/>
    <w:rsid w:val="009F425C"/>
    <w:rsid w:val="00A010A8"/>
    <w:rsid w:val="00A03F36"/>
    <w:rsid w:val="00A04FB6"/>
    <w:rsid w:val="00A071E0"/>
    <w:rsid w:val="00A07C66"/>
    <w:rsid w:val="00A1004E"/>
    <w:rsid w:val="00A1199B"/>
    <w:rsid w:val="00A124BD"/>
    <w:rsid w:val="00A1414C"/>
    <w:rsid w:val="00A1435C"/>
    <w:rsid w:val="00A214EF"/>
    <w:rsid w:val="00A22549"/>
    <w:rsid w:val="00A23EF2"/>
    <w:rsid w:val="00A3018D"/>
    <w:rsid w:val="00A307FE"/>
    <w:rsid w:val="00A35935"/>
    <w:rsid w:val="00A3666A"/>
    <w:rsid w:val="00A37520"/>
    <w:rsid w:val="00A37D0D"/>
    <w:rsid w:val="00A37D4E"/>
    <w:rsid w:val="00A4131B"/>
    <w:rsid w:val="00A42BA6"/>
    <w:rsid w:val="00A43187"/>
    <w:rsid w:val="00A4327E"/>
    <w:rsid w:val="00A44062"/>
    <w:rsid w:val="00A465C1"/>
    <w:rsid w:val="00A51FE9"/>
    <w:rsid w:val="00A61C4D"/>
    <w:rsid w:val="00A73EE0"/>
    <w:rsid w:val="00A76AA5"/>
    <w:rsid w:val="00A77619"/>
    <w:rsid w:val="00A802E2"/>
    <w:rsid w:val="00A83B87"/>
    <w:rsid w:val="00A84B52"/>
    <w:rsid w:val="00A858BC"/>
    <w:rsid w:val="00A86FC0"/>
    <w:rsid w:val="00A87D74"/>
    <w:rsid w:val="00A909F8"/>
    <w:rsid w:val="00A918F2"/>
    <w:rsid w:val="00A93427"/>
    <w:rsid w:val="00A94C7D"/>
    <w:rsid w:val="00A95807"/>
    <w:rsid w:val="00A96CB0"/>
    <w:rsid w:val="00AA0F61"/>
    <w:rsid w:val="00AA27DF"/>
    <w:rsid w:val="00AA305B"/>
    <w:rsid w:val="00AA3602"/>
    <w:rsid w:val="00AA5149"/>
    <w:rsid w:val="00AA573E"/>
    <w:rsid w:val="00AA58E7"/>
    <w:rsid w:val="00AC20CA"/>
    <w:rsid w:val="00AC357D"/>
    <w:rsid w:val="00AC5080"/>
    <w:rsid w:val="00AC5FAB"/>
    <w:rsid w:val="00AC5FF2"/>
    <w:rsid w:val="00AC669C"/>
    <w:rsid w:val="00AC6706"/>
    <w:rsid w:val="00AD0F29"/>
    <w:rsid w:val="00AD37AC"/>
    <w:rsid w:val="00AD6FA3"/>
    <w:rsid w:val="00AD6FE6"/>
    <w:rsid w:val="00AE2542"/>
    <w:rsid w:val="00AF0324"/>
    <w:rsid w:val="00AF423C"/>
    <w:rsid w:val="00AF4CD8"/>
    <w:rsid w:val="00AF4E7B"/>
    <w:rsid w:val="00AF6A03"/>
    <w:rsid w:val="00AF7AE3"/>
    <w:rsid w:val="00AF7BD3"/>
    <w:rsid w:val="00B008A4"/>
    <w:rsid w:val="00B01349"/>
    <w:rsid w:val="00B01B3F"/>
    <w:rsid w:val="00B0253F"/>
    <w:rsid w:val="00B03D85"/>
    <w:rsid w:val="00B12C58"/>
    <w:rsid w:val="00B133BB"/>
    <w:rsid w:val="00B205D0"/>
    <w:rsid w:val="00B21260"/>
    <w:rsid w:val="00B21B87"/>
    <w:rsid w:val="00B234EA"/>
    <w:rsid w:val="00B24F81"/>
    <w:rsid w:val="00B34786"/>
    <w:rsid w:val="00B3493C"/>
    <w:rsid w:val="00B355C2"/>
    <w:rsid w:val="00B35ABB"/>
    <w:rsid w:val="00B4099A"/>
    <w:rsid w:val="00B46F7B"/>
    <w:rsid w:val="00B472B8"/>
    <w:rsid w:val="00B51B5D"/>
    <w:rsid w:val="00B521BE"/>
    <w:rsid w:val="00B531A0"/>
    <w:rsid w:val="00B5762B"/>
    <w:rsid w:val="00B60E46"/>
    <w:rsid w:val="00B613B6"/>
    <w:rsid w:val="00B61A06"/>
    <w:rsid w:val="00B61F52"/>
    <w:rsid w:val="00B627B1"/>
    <w:rsid w:val="00B64290"/>
    <w:rsid w:val="00B66E94"/>
    <w:rsid w:val="00B7140D"/>
    <w:rsid w:val="00B761FB"/>
    <w:rsid w:val="00B83696"/>
    <w:rsid w:val="00B845A9"/>
    <w:rsid w:val="00B97A3F"/>
    <w:rsid w:val="00BA22F1"/>
    <w:rsid w:val="00BA28A6"/>
    <w:rsid w:val="00BA3A56"/>
    <w:rsid w:val="00BA55F6"/>
    <w:rsid w:val="00BA7718"/>
    <w:rsid w:val="00BA7D34"/>
    <w:rsid w:val="00BB148A"/>
    <w:rsid w:val="00BB2AB8"/>
    <w:rsid w:val="00BB4DF3"/>
    <w:rsid w:val="00BC096E"/>
    <w:rsid w:val="00BC4358"/>
    <w:rsid w:val="00BC4A9D"/>
    <w:rsid w:val="00BC5410"/>
    <w:rsid w:val="00BD2842"/>
    <w:rsid w:val="00BD4522"/>
    <w:rsid w:val="00BE4D03"/>
    <w:rsid w:val="00BE66BB"/>
    <w:rsid w:val="00BE6755"/>
    <w:rsid w:val="00BE6CCF"/>
    <w:rsid w:val="00C03757"/>
    <w:rsid w:val="00C05BF2"/>
    <w:rsid w:val="00C125B7"/>
    <w:rsid w:val="00C12916"/>
    <w:rsid w:val="00C22405"/>
    <w:rsid w:val="00C22A42"/>
    <w:rsid w:val="00C27BBF"/>
    <w:rsid w:val="00C30A03"/>
    <w:rsid w:val="00C331C7"/>
    <w:rsid w:val="00C34318"/>
    <w:rsid w:val="00C34B28"/>
    <w:rsid w:val="00C37203"/>
    <w:rsid w:val="00C3728F"/>
    <w:rsid w:val="00C40F3E"/>
    <w:rsid w:val="00C43CBF"/>
    <w:rsid w:val="00C442D4"/>
    <w:rsid w:val="00C44D02"/>
    <w:rsid w:val="00C44EB1"/>
    <w:rsid w:val="00C47C5A"/>
    <w:rsid w:val="00C510C4"/>
    <w:rsid w:val="00C5642B"/>
    <w:rsid w:val="00C568EB"/>
    <w:rsid w:val="00C569A1"/>
    <w:rsid w:val="00C60188"/>
    <w:rsid w:val="00C635B3"/>
    <w:rsid w:val="00C64634"/>
    <w:rsid w:val="00C64E36"/>
    <w:rsid w:val="00C65974"/>
    <w:rsid w:val="00C67C52"/>
    <w:rsid w:val="00C732AA"/>
    <w:rsid w:val="00C74FCC"/>
    <w:rsid w:val="00C75699"/>
    <w:rsid w:val="00C83597"/>
    <w:rsid w:val="00C83D5D"/>
    <w:rsid w:val="00C843D9"/>
    <w:rsid w:val="00C84C6B"/>
    <w:rsid w:val="00C87265"/>
    <w:rsid w:val="00C90EF1"/>
    <w:rsid w:val="00C92AD7"/>
    <w:rsid w:val="00C93154"/>
    <w:rsid w:val="00C932F0"/>
    <w:rsid w:val="00C93C5A"/>
    <w:rsid w:val="00C95B14"/>
    <w:rsid w:val="00C961A3"/>
    <w:rsid w:val="00CA0529"/>
    <w:rsid w:val="00CA26D5"/>
    <w:rsid w:val="00CA7578"/>
    <w:rsid w:val="00CB06D8"/>
    <w:rsid w:val="00CB2CA9"/>
    <w:rsid w:val="00CB33DC"/>
    <w:rsid w:val="00CB776A"/>
    <w:rsid w:val="00CB7A5D"/>
    <w:rsid w:val="00CC0F4A"/>
    <w:rsid w:val="00CC29BB"/>
    <w:rsid w:val="00CC2CA3"/>
    <w:rsid w:val="00CC4111"/>
    <w:rsid w:val="00CC5E47"/>
    <w:rsid w:val="00CD0613"/>
    <w:rsid w:val="00CD2403"/>
    <w:rsid w:val="00CD24E4"/>
    <w:rsid w:val="00CD502C"/>
    <w:rsid w:val="00CD64F6"/>
    <w:rsid w:val="00CD7086"/>
    <w:rsid w:val="00CD75A5"/>
    <w:rsid w:val="00CE01D6"/>
    <w:rsid w:val="00CE291D"/>
    <w:rsid w:val="00CE2C11"/>
    <w:rsid w:val="00CE75F6"/>
    <w:rsid w:val="00CE7ACB"/>
    <w:rsid w:val="00CF3B39"/>
    <w:rsid w:val="00CF7E86"/>
    <w:rsid w:val="00D01597"/>
    <w:rsid w:val="00D02F3F"/>
    <w:rsid w:val="00D030BC"/>
    <w:rsid w:val="00D068B4"/>
    <w:rsid w:val="00D14782"/>
    <w:rsid w:val="00D16C70"/>
    <w:rsid w:val="00D207EA"/>
    <w:rsid w:val="00D228CC"/>
    <w:rsid w:val="00D22C4F"/>
    <w:rsid w:val="00D23943"/>
    <w:rsid w:val="00D24281"/>
    <w:rsid w:val="00D25996"/>
    <w:rsid w:val="00D30CEA"/>
    <w:rsid w:val="00D32D74"/>
    <w:rsid w:val="00D33179"/>
    <w:rsid w:val="00D35109"/>
    <w:rsid w:val="00D3694D"/>
    <w:rsid w:val="00D40CE0"/>
    <w:rsid w:val="00D44F37"/>
    <w:rsid w:val="00D4690F"/>
    <w:rsid w:val="00D469C4"/>
    <w:rsid w:val="00D46B16"/>
    <w:rsid w:val="00D5080F"/>
    <w:rsid w:val="00D53057"/>
    <w:rsid w:val="00D55469"/>
    <w:rsid w:val="00D56303"/>
    <w:rsid w:val="00D569AD"/>
    <w:rsid w:val="00D62A59"/>
    <w:rsid w:val="00D653D9"/>
    <w:rsid w:val="00D67744"/>
    <w:rsid w:val="00D67D8E"/>
    <w:rsid w:val="00D725D3"/>
    <w:rsid w:val="00D72B69"/>
    <w:rsid w:val="00D76A96"/>
    <w:rsid w:val="00D76AB0"/>
    <w:rsid w:val="00D81018"/>
    <w:rsid w:val="00D87E8D"/>
    <w:rsid w:val="00D9006F"/>
    <w:rsid w:val="00D906D5"/>
    <w:rsid w:val="00D93F30"/>
    <w:rsid w:val="00D97640"/>
    <w:rsid w:val="00D97E70"/>
    <w:rsid w:val="00DA0147"/>
    <w:rsid w:val="00DA4667"/>
    <w:rsid w:val="00DA5A27"/>
    <w:rsid w:val="00DB4624"/>
    <w:rsid w:val="00DC01F6"/>
    <w:rsid w:val="00DC09EC"/>
    <w:rsid w:val="00DC44CD"/>
    <w:rsid w:val="00DC550C"/>
    <w:rsid w:val="00DC5FDD"/>
    <w:rsid w:val="00DC603D"/>
    <w:rsid w:val="00DD28EA"/>
    <w:rsid w:val="00DD3D00"/>
    <w:rsid w:val="00DD708C"/>
    <w:rsid w:val="00DD7849"/>
    <w:rsid w:val="00DE0146"/>
    <w:rsid w:val="00DE0920"/>
    <w:rsid w:val="00DE2B5D"/>
    <w:rsid w:val="00DE31DF"/>
    <w:rsid w:val="00DE35E7"/>
    <w:rsid w:val="00DE491B"/>
    <w:rsid w:val="00DE6620"/>
    <w:rsid w:val="00DE6E81"/>
    <w:rsid w:val="00DF3902"/>
    <w:rsid w:val="00DF530C"/>
    <w:rsid w:val="00DF5816"/>
    <w:rsid w:val="00DF5FAE"/>
    <w:rsid w:val="00DF6DEB"/>
    <w:rsid w:val="00DF7D7B"/>
    <w:rsid w:val="00E05659"/>
    <w:rsid w:val="00E10AFE"/>
    <w:rsid w:val="00E1395F"/>
    <w:rsid w:val="00E14162"/>
    <w:rsid w:val="00E15912"/>
    <w:rsid w:val="00E16DFE"/>
    <w:rsid w:val="00E17622"/>
    <w:rsid w:val="00E201BA"/>
    <w:rsid w:val="00E20EE0"/>
    <w:rsid w:val="00E21FEC"/>
    <w:rsid w:val="00E24CBD"/>
    <w:rsid w:val="00E259B1"/>
    <w:rsid w:val="00E26D2D"/>
    <w:rsid w:val="00E27EED"/>
    <w:rsid w:val="00E32700"/>
    <w:rsid w:val="00E337E6"/>
    <w:rsid w:val="00E33D6D"/>
    <w:rsid w:val="00E35858"/>
    <w:rsid w:val="00E37A7C"/>
    <w:rsid w:val="00E422CC"/>
    <w:rsid w:val="00E427E7"/>
    <w:rsid w:val="00E429AC"/>
    <w:rsid w:val="00E44DD0"/>
    <w:rsid w:val="00E45C37"/>
    <w:rsid w:val="00E55801"/>
    <w:rsid w:val="00E57A53"/>
    <w:rsid w:val="00E617CC"/>
    <w:rsid w:val="00E6451D"/>
    <w:rsid w:val="00E66048"/>
    <w:rsid w:val="00E7647B"/>
    <w:rsid w:val="00E76A18"/>
    <w:rsid w:val="00E823A4"/>
    <w:rsid w:val="00E856B5"/>
    <w:rsid w:val="00E863C9"/>
    <w:rsid w:val="00E876AE"/>
    <w:rsid w:val="00E90E6B"/>
    <w:rsid w:val="00E95746"/>
    <w:rsid w:val="00EA1F8E"/>
    <w:rsid w:val="00EA2D69"/>
    <w:rsid w:val="00EA3E35"/>
    <w:rsid w:val="00EA552A"/>
    <w:rsid w:val="00EB0BCA"/>
    <w:rsid w:val="00EB0C3D"/>
    <w:rsid w:val="00EB3C77"/>
    <w:rsid w:val="00EB6259"/>
    <w:rsid w:val="00EB7190"/>
    <w:rsid w:val="00EC0B46"/>
    <w:rsid w:val="00EC1AAA"/>
    <w:rsid w:val="00EC1C91"/>
    <w:rsid w:val="00EC1F19"/>
    <w:rsid w:val="00EC200F"/>
    <w:rsid w:val="00EC6015"/>
    <w:rsid w:val="00ED1FC0"/>
    <w:rsid w:val="00ED2EF1"/>
    <w:rsid w:val="00ED3CC7"/>
    <w:rsid w:val="00ED78C5"/>
    <w:rsid w:val="00EE0946"/>
    <w:rsid w:val="00EE3D69"/>
    <w:rsid w:val="00EE5A9D"/>
    <w:rsid w:val="00EE68EC"/>
    <w:rsid w:val="00EE7441"/>
    <w:rsid w:val="00EF3EF3"/>
    <w:rsid w:val="00EF5ABB"/>
    <w:rsid w:val="00F05520"/>
    <w:rsid w:val="00F05620"/>
    <w:rsid w:val="00F05B69"/>
    <w:rsid w:val="00F05FAC"/>
    <w:rsid w:val="00F07396"/>
    <w:rsid w:val="00F110BF"/>
    <w:rsid w:val="00F1168A"/>
    <w:rsid w:val="00F133C5"/>
    <w:rsid w:val="00F14E72"/>
    <w:rsid w:val="00F16D37"/>
    <w:rsid w:val="00F2033D"/>
    <w:rsid w:val="00F229F1"/>
    <w:rsid w:val="00F22C64"/>
    <w:rsid w:val="00F25EF9"/>
    <w:rsid w:val="00F30068"/>
    <w:rsid w:val="00F31E14"/>
    <w:rsid w:val="00F35A4C"/>
    <w:rsid w:val="00F434BF"/>
    <w:rsid w:val="00F47ACE"/>
    <w:rsid w:val="00F50240"/>
    <w:rsid w:val="00F503ED"/>
    <w:rsid w:val="00F50A21"/>
    <w:rsid w:val="00F50AEB"/>
    <w:rsid w:val="00F52A2B"/>
    <w:rsid w:val="00F52B68"/>
    <w:rsid w:val="00F53857"/>
    <w:rsid w:val="00F54ADC"/>
    <w:rsid w:val="00F55E45"/>
    <w:rsid w:val="00F56791"/>
    <w:rsid w:val="00F5744F"/>
    <w:rsid w:val="00F57DFE"/>
    <w:rsid w:val="00F62020"/>
    <w:rsid w:val="00F64F94"/>
    <w:rsid w:val="00F671A9"/>
    <w:rsid w:val="00F676DF"/>
    <w:rsid w:val="00F7028E"/>
    <w:rsid w:val="00F71355"/>
    <w:rsid w:val="00F72D24"/>
    <w:rsid w:val="00F744BD"/>
    <w:rsid w:val="00F75107"/>
    <w:rsid w:val="00F75699"/>
    <w:rsid w:val="00F812E0"/>
    <w:rsid w:val="00F81ABF"/>
    <w:rsid w:val="00F842C7"/>
    <w:rsid w:val="00F85BAF"/>
    <w:rsid w:val="00F86BD1"/>
    <w:rsid w:val="00F90084"/>
    <w:rsid w:val="00F90C97"/>
    <w:rsid w:val="00F93FA0"/>
    <w:rsid w:val="00F96086"/>
    <w:rsid w:val="00F96586"/>
    <w:rsid w:val="00F9673B"/>
    <w:rsid w:val="00F96D81"/>
    <w:rsid w:val="00FA0FAD"/>
    <w:rsid w:val="00FA5FF3"/>
    <w:rsid w:val="00FA71F5"/>
    <w:rsid w:val="00FB04CC"/>
    <w:rsid w:val="00FB2BEC"/>
    <w:rsid w:val="00FB5E1D"/>
    <w:rsid w:val="00FB7920"/>
    <w:rsid w:val="00FD06C6"/>
    <w:rsid w:val="00FD0E64"/>
    <w:rsid w:val="00FD2CB9"/>
    <w:rsid w:val="00FD7BFD"/>
    <w:rsid w:val="00FE05F1"/>
    <w:rsid w:val="00FE1359"/>
    <w:rsid w:val="00FE52C1"/>
    <w:rsid w:val="00FE6708"/>
    <w:rsid w:val="00FF10E9"/>
    <w:rsid w:val="00FF189B"/>
    <w:rsid w:val="00FF2897"/>
    <w:rsid w:val="00FF55A7"/>
    <w:rsid w:val="00FF6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B8DE3"/>
  <w15:chartTrackingRefBased/>
  <w15:docId w15:val="{826EE1A8-DD91-4656-985D-3E4310D69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2C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3D00"/>
    <w:rPr>
      <w:color w:val="0563C1" w:themeColor="hyperlink"/>
      <w:u w:val="single"/>
    </w:rPr>
  </w:style>
  <w:style w:type="character" w:styleId="UnresolvedMention">
    <w:name w:val="Unresolved Mention"/>
    <w:basedOn w:val="DefaultParagraphFont"/>
    <w:uiPriority w:val="99"/>
    <w:semiHidden/>
    <w:unhideWhenUsed/>
    <w:rsid w:val="00DD3D00"/>
    <w:rPr>
      <w:color w:val="605E5C"/>
      <w:shd w:val="clear" w:color="auto" w:fill="E1DFDD"/>
    </w:rPr>
  </w:style>
  <w:style w:type="paragraph" w:customStyle="1" w:styleId="EndNoteBibliographyTitle">
    <w:name w:val="EndNote Bibliography Title"/>
    <w:basedOn w:val="Normal"/>
    <w:link w:val="EndNoteBibliographyTitleChar"/>
    <w:rsid w:val="00C87265"/>
    <w:pPr>
      <w:spacing w:line="259" w:lineRule="auto"/>
      <w:jc w:val="center"/>
    </w:pPr>
    <w:rPr>
      <w:rFonts w:ascii="Calibri" w:eastAsiaTheme="minorHAnsi" w:hAnsi="Calibri" w:cs="Calibri"/>
      <w:noProof/>
      <w:sz w:val="22"/>
      <w:szCs w:val="22"/>
    </w:rPr>
  </w:style>
  <w:style w:type="character" w:customStyle="1" w:styleId="EndNoteBibliographyTitleChar">
    <w:name w:val="EndNote Bibliography Title Char"/>
    <w:basedOn w:val="DefaultParagraphFont"/>
    <w:link w:val="EndNoteBibliographyTitle"/>
    <w:rsid w:val="00C87265"/>
    <w:rPr>
      <w:rFonts w:ascii="Calibri" w:hAnsi="Calibri" w:cs="Calibri"/>
      <w:noProof/>
    </w:rPr>
  </w:style>
  <w:style w:type="paragraph" w:customStyle="1" w:styleId="EndNoteBibliography">
    <w:name w:val="EndNote Bibliography"/>
    <w:basedOn w:val="Normal"/>
    <w:link w:val="EndNoteBibliographyChar"/>
    <w:rsid w:val="00C87265"/>
    <w:pPr>
      <w:spacing w:after="160"/>
      <w:jc w:val="both"/>
    </w:pPr>
    <w:rPr>
      <w:rFonts w:ascii="Calibri" w:eastAsiaTheme="minorHAnsi" w:hAnsi="Calibri" w:cs="Calibri"/>
      <w:noProof/>
      <w:sz w:val="22"/>
      <w:szCs w:val="22"/>
    </w:rPr>
  </w:style>
  <w:style w:type="character" w:customStyle="1" w:styleId="EndNoteBibliographyChar">
    <w:name w:val="EndNote Bibliography Char"/>
    <w:basedOn w:val="DefaultParagraphFont"/>
    <w:link w:val="EndNoteBibliography"/>
    <w:rsid w:val="00C87265"/>
    <w:rPr>
      <w:rFonts w:ascii="Calibri" w:hAnsi="Calibri" w:cs="Calibri"/>
      <w:noProof/>
    </w:rPr>
  </w:style>
  <w:style w:type="paragraph" w:styleId="Revision">
    <w:name w:val="Revision"/>
    <w:hidden/>
    <w:uiPriority w:val="99"/>
    <w:semiHidden/>
    <w:rsid w:val="00457E01"/>
    <w:pPr>
      <w:spacing w:after="0" w:line="240" w:lineRule="auto"/>
    </w:pPr>
  </w:style>
  <w:style w:type="character" w:styleId="CommentReference">
    <w:name w:val="annotation reference"/>
    <w:basedOn w:val="DefaultParagraphFont"/>
    <w:uiPriority w:val="99"/>
    <w:semiHidden/>
    <w:unhideWhenUsed/>
    <w:rsid w:val="00457E01"/>
    <w:rPr>
      <w:sz w:val="16"/>
      <w:szCs w:val="16"/>
    </w:rPr>
  </w:style>
  <w:style w:type="paragraph" w:styleId="CommentText">
    <w:name w:val="annotation text"/>
    <w:basedOn w:val="Normal"/>
    <w:link w:val="CommentTextChar"/>
    <w:uiPriority w:val="99"/>
    <w:unhideWhenUsed/>
    <w:rsid w:val="00457E01"/>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457E01"/>
    <w:rPr>
      <w:sz w:val="20"/>
      <w:szCs w:val="20"/>
    </w:rPr>
  </w:style>
  <w:style w:type="paragraph" w:styleId="CommentSubject">
    <w:name w:val="annotation subject"/>
    <w:basedOn w:val="CommentText"/>
    <w:next w:val="CommentText"/>
    <w:link w:val="CommentSubjectChar"/>
    <w:uiPriority w:val="99"/>
    <w:semiHidden/>
    <w:unhideWhenUsed/>
    <w:rsid w:val="00457E01"/>
    <w:rPr>
      <w:b/>
      <w:bCs/>
    </w:rPr>
  </w:style>
  <w:style w:type="character" w:customStyle="1" w:styleId="CommentSubjectChar">
    <w:name w:val="Comment Subject Char"/>
    <w:basedOn w:val="CommentTextChar"/>
    <w:link w:val="CommentSubject"/>
    <w:uiPriority w:val="99"/>
    <w:semiHidden/>
    <w:rsid w:val="00457E01"/>
    <w:rPr>
      <w:b/>
      <w:bCs/>
      <w:sz w:val="20"/>
      <w:szCs w:val="20"/>
    </w:rPr>
  </w:style>
  <w:style w:type="paragraph" w:styleId="Header">
    <w:name w:val="header"/>
    <w:basedOn w:val="Normal"/>
    <w:link w:val="HeaderChar"/>
    <w:uiPriority w:val="99"/>
    <w:unhideWhenUsed/>
    <w:rsid w:val="001D30AD"/>
    <w:pPr>
      <w:tabs>
        <w:tab w:val="center" w:pos="4680"/>
        <w:tab w:val="right" w:pos="9360"/>
      </w:tabs>
    </w:pPr>
  </w:style>
  <w:style w:type="character" w:customStyle="1" w:styleId="HeaderChar">
    <w:name w:val="Header Char"/>
    <w:basedOn w:val="DefaultParagraphFont"/>
    <w:link w:val="Header"/>
    <w:uiPriority w:val="99"/>
    <w:rsid w:val="001D30A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D30AD"/>
    <w:pPr>
      <w:tabs>
        <w:tab w:val="center" w:pos="4680"/>
        <w:tab w:val="right" w:pos="9360"/>
      </w:tabs>
    </w:pPr>
  </w:style>
  <w:style w:type="character" w:customStyle="1" w:styleId="FooterChar">
    <w:name w:val="Footer Char"/>
    <w:basedOn w:val="DefaultParagraphFont"/>
    <w:link w:val="Footer"/>
    <w:uiPriority w:val="99"/>
    <w:rsid w:val="001D30AD"/>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1D30AD"/>
  </w:style>
  <w:style w:type="paragraph" w:styleId="NormalWeb">
    <w:name w:val="Normal (Web)"/>
    <w:basedOn w:val="Normal"/>
    <w:uiPriority w:val="99"/>
    <w:semiHidden/>
    <w:unhideWhenUsed/>
    <w:rsid w:val="002C12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977389">
      <w:bodyDiv w:val="1"/>
      <w:marLeft w:val="0"/>
      <w:marRight w:val="0"/>
      <w:marTop w:val="0"/>
      <w:marBottom w:val="0"/>
      <w:divBdr>
        <w:top w:val="none" w:sz="0" w:space="0" w:color="auto"/>
        <w:left w:val="none" w:sz="0" w:space="0" w:color="auto"/>
        <w:bottom w:val="none" w:sz="0" w:space="0" w:color="auto"/>
        <w:right w:val="none" w:sz="0" w:space="0" w:color="auto"/>
      </w:divBdr>
      <w:divsChild>
        <w:div w:id="1449549328">
          <w:marLeft w:val="0"/>
          <w:marRight w:val="0"/>
          <w:marTop w:val="0"/>
          <w:marBottom w:val="0"/>
          <w:divBdr>
            <w:top w:val="none" w:sz="0" w:space="0" w:color="auto"/>
            <w:left w:val="none" w:sz="0" w:space="0" w:color="auto"/>
            <w:bottom w:val="single" w:sz="6" w:space="0" w:color="CCCCCC"/>
            <w:right w:val="none" w:sz="0" w:space="0" w:color="auto"/>
          </w:divBdr>
          <w:divsChild>
            <w:div w:id="213837585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87841961">
      <w:bodyDiv w:val="1"/>
      <w:marLeft w:val="0"/>
      <w:marRight w:val="0"/>
      <w:marTop w:val="0"/>
      <w:marBottom w:val="0"/>
      <w:divBdr>
        <w:top w:val="none" w:sz="0" w:space="0" w:color="auto"/>
        <w:left w:val="none" w:sz="0" w:space="0" w:color="auto"/>
        <w:bottom w:val="none" w:sz="0" w:space="0" w:color="auto"/>
        <w:right w:val="none" w:sz="0" w:space="0" w:color="auto"/>
      </w:divBdr>
    </w:div>
    <w:div w:id="697852754">
      <w:bodyDiv w:val="1"/>
      <w:marLeft w:val="0"/>
      <w:marRight w:val="0"/>
      <w:marTop w:val="0"/>
      <w:marBottom w:val="0"/>
      <w:divBdr>
        <w:top w:val="none" w:sz="0" w:space="0" w:color="auto"/>
        <w:left w:val="none" w:sz="0" w:space="0" w:color="auto"/>
        <w:bottom w:val="none" w:sz="0" w:space="0" w:color="auto"/>
        <w:right w:val="none" w:sz="0" w:space="0" w:color="auto"/>
      </w:divBdr>
    </w:div>
    <w:div w:id="747193465">
      <w:bodyDiv w:val="1"/>
      <w:marLeft w:val="0"/>
      <w:marRight w:val="0"/>
      <w:marTop w:val="0"/>
      <w:marBottom w:val="0"/>
      <w:divBdr>
        <w:top w:val="none" w:sz="0" w:space="0" w:color="auto"/>
        <w:left w:val="none" w:sz="0" w:space="0" w:color="auto"/>
        <w:bottom w:val="none" w:sz="0" w:space="0" w:color="auto"/>
        <w:right w:val="none" w:sz="0" w:space="0" w:color="auto"/>
      </w:divBdr>
      <w:divsChild>
        <w:div w:id="2096169582">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749892577">
      <w:bodyDiv w:val="1"/>
      <w:marLeft w:val="0"/>
      <w:marRight w:val="0"/>
      <w:marTop w:val="0"/>
      <w:marBottom w:val="0"/>
      <w:divBdr>
        <w:top w:val="none" w:sz="0" w:space="0" w:color="auto"/>
        <w:left w:val="none" w:sz="0" w:space="0" w:color="auto"/>
        <w:bottom w:val="none" w:sz="0" w:space="0" w:color="auto"/>
        <w:right w:val="none" w:sz="0" w:space="0" w:color="auto"/>
      </w:divBdr>
      <w:divsChild>
        <w:div w:id="1732652603">
          <w:marLeft w:val="0"/>
          <w:marRight w:val="0"/>
          <w:marTop w:val="0"/>
          <w:marBottom w:val="0"/>
          <w:divBdr>
            <w:top w:val="none" w:sz="0" w:space="0" w:color="auto"/>
            <w:left w:val="none" w:sz="0" w:space="0" w:color="auto"/>
            <w:bottom w:val="none" w:sz="0" w:space="0" w:color="auto"/>
            <w:right w:val="none" w:sz="0" w:space="0" w:color="auto"/>
          </w:divBdr>
          <w:divsChild>
            <w:div w:id="865942091">
              <w:marLeft w:val="0"/>
              <w:marRight w:val="0"/>
              <w:marTop w:val="0"/>
              <w:marBottom w:val="0"/>
              <w:divBdr>
                <w:top w:val="none" w:sz="0" w:space="0" w:color="auto"/>
                <w:left w:val="none" w:sz="0" w:space="0" w:color="auto"/>
                <w:bottom w:val="none" w:sz="0" w:space="0" w:color="auto"/>
                <w:right w:val="none" w:sz="0" w:space="0" w:color="auto"/>
              </w:divBdr>
              <w:divsChild>
                <w:div w:id="195455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787203">
      <w:bodyDiv w:val="1"/>
      <w:marLeft w:val="0"/>
      <w:marRight w:val="0"/>
      <w:marTop w:val="0"/>
      <w:marBottom w:val="0"/>
      <w:divBdr>
        <w:top w:val="none" w:sz="0" w:space="0" w:color="auto"/>
        <w:left w:val="none" w:sz="0" w:space="0" w:color="auto"/>
        <w:bottom w:val="none" w:sz="0" w:space="0" w:color="auto"/>
        <w:right w:val="none" w:sz="0" w:space="0" w:color="auto"/>
      </w:divBdr>
      <w:divsChild>
        <w:div w:id="752168267">
          <w:marLeft w:val="0"/>
          <w:marRight w:val="0"/>
          <w:marTop w:val="0"/>
          <w:marBottom w:val="0"/>
          <w:divBdr>
            <w:top w:val="none" w:sz="0" w:space="0" w:color="auto"/>
            <w:left w:val="none" w:sz="0" w:space="0" w:color="auto"/>
            <w:bottom w:val="none" w:sz="0" w:space="0" w:color="auto"/>
            <w:right w:val="none" w:sz="0" w:space="0" w:color="auto"/>
          </w:divBdr>
          <w:divsChild>
            <w:div w:id="184371777">
              <w:marLeft w:val="0"/>
              <w:marRight w:val="0"/>
              <w:marTop w:val="0"/>
              <w:marBottom w:val="0"/>
              <w:divBdr>
                <w:top w:val="none" w:sz="0" w:space="0" w:color="auto"/>
                <w:left w:val="none" w:sz="0" w:space="0" w:color="auto"/>
                <w:bottom w:val="none" w:sz="0" w:space="0" w:color="auto"/>
                <w:right w:val="none" w:sz="0" w:space="0" w:color="auto"/>
              </w:divBdr>
              <w:divsChild>
                <w:div w:id="1304313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501660">
      <w:bodyDiv w:val="1"/>
      <w:marLeft w:val="0"/>
      <w:marRight w:val="0"/>
      <w:marTop w:val="0"/>
      <w:marBottom w:val="0"/>
      <w:divBdr>
        <w:top w:val="none" w:sz="0" w:space="0" w:color="auto"/>
        <w:left w:val="none" w:sz="0" w:space="0" w:color="auto"/>
        <w:bottom w:val="none" w:sz="0" w:space="0" w:color="auto"/>
        <w:right w:val="none" w:sz="0" w:space="0" w:color="auto"/>
      </w:divBdr>
    </w:div>
    <w:div w:id="1075862976">
      <w:bodyDiv w:val="1"/>
      <w:marLeft w:val="0"/>
      <w:marRight w:val="0"/>
      <w:marTop w:val="0"/>
      <w:marBottom w:val="0"/>
      <w:divBdr>
        <w:top w:val="none" w:sz="0" w:space="0" w:color="auto"/>
        <w:left w:val="none" w:sz="0" w:space="0" w:color="auto"/>
        <w:bottom w:val="none" w:sz="0" w:space="0" w:color="auto"/>
        <w:right w:val="none" w:sz="0" w:space="0" w:color="auto"/>
      </w:divBdr>
    </w:div>
    <w:div w:id="1449201460">
      <w:bodyDiv w:val="1"/>
      <w:marLeft w:val="0"/>
      <w:marRight w:val="0"/>
      <w:marTop w:val="0"/>
      <w:marBottom w:val="0"/>
      <w:divBdr>
        <w:top w:val="none" w:sz="0" w:space="0" w:color="auto"/>
        <w:left w:val="none" w:sz="0" w:space="0" w:color="auto"/>
        <w:bottom w:val="none" w:sz="0" w:space="0" w:color="auto"/>
        <w:right w:val="none" w:sz="0" w:space="0" w:color="auto"/>
      </w:divBdr>
    </w:div>
    <w:div w:id="1696686052">
      <w:bodyDiv w:val="1"/>
      <w:marLeft w:val="0"/>
      <w:marRight w:val="0"/>
      <w:marTop w:val="0"/>
      <w:marBottom w:val="0"/>
      <w:divBdr>
        <w:top w:val="none" w:sz="0" w:space="0" w:color="auto"/>
        <w:left w:val="none" w:sz="0" w:space="0" w:color="auto"/>
        <w:bottom w:val="none" w:sz="0" w:space="0" w:color="auto"/>
        <w:right w:val="none" w:sz="0" w:space="0" w:color="auto"/>
      </w:divBdr>
    </w:div>
    <w:div w:id="1965455397">
      <w:bodyDiv w:val="1"/>
      <w:marLeft w:val="0"/>
      <w:marRight w:val="0"/>
      <w:marTop w:val="0"/>
      <w:marBottom w:val="0"/>
      <w:divBdr>
        <w:top w:val="none" w:sz="0" w:space="0" w:color="auto"/>
        <w:left w:val="none" w:sz="0" w:space="0" w:color="auto"/>
        <w:bottom w:val="none" w:sz="0" w:space="0" w:color="auto"/>
        <w:right w:val="none" w:sz="0" w:space="0" w:color="auto"/>
      </w:divBdr>
      <w:divsChild>
        <w:div w:id="867529065">
          <w:marLeft w:val="0"/>
          <w:marRight w:val="0"/>
          <w:marTop w:val="0"/>
          <w:marBottom w:val="0"/>
          <w:divBdr>
            <w:top w:val="single" w:sz="6" w:space="0" w:color="5B616B"/>
            <w:left w:val="single" w:sz="6" w:space="0" w:color="5B616B"/>
            <w:bottom w:val="single" w:sz="6" w:space="0" w:color="5B616B"/>
            <w:right w:val="single" w:sz="6" w:space="0" w:color="5B616B"/>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oi.org/10.1093/oxfordjournals.aje.a118408"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F45B59-852F-46AB-9517-071BC2EB6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7</Pages>
  <Words>2183</Words>
  <Characters>12448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Tipih, Thomas (NIH/NIAID) [F]</dc:creator>
  <cp:keywords/>
  <dc:description/>
  <cp:lastModifiedBy>Rosenke, Kyle (NIH/NIAID) [F]</cp:lastModifiedBy>
  <cp:revision>8</cp:revision>
  <cp:lastPrinted>2024-08-17T18:28:00Z</cp:lastPrinted>
  <dcterms:created xsi:type="dcterms:W3CDTF">2024-09-23T19:56:00Z</dcterms:created>
  <dcterms:modified xsi:type="dcterms:W3CDTF">2024-10-02T15:22:00Z</dcterms:modified>
</cp:coreProperties>
</file>