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C70E9C" w14:textId="630EF3AB" w:rsidR="00982661" w:rsidRPr="00A458F4" w:rsidRDefault="00E43DC1" w:rsidP="00321AFC">
      <w:pPr>
        <w:jc w:val="center"/>
        <w:rPr>
          <w:rFonts w:ascii="Times New Roman" w:hAnsi="Times New Roman" w:cs="Times New Roman"/>
          <w:b/>
          <w:bCs/>
          <w:sz w:val="24"/>
          <w:szCs w:val="24"/>
        </w:rPr>
      </w:pPr>
      <w:bookmarkStart w:id="0" w:name="_Hlk174627310"/>
      <w:bookmarkEnd w:id="0"/>
      <w:r w:rsidRPr="00A458F4">
        <w:rPr>
          <w:rFonts w:ascii="Times New Roman" w:hAnsi="Times New Roman" w:cs="Times New Roman"/>
          <w:b/>
          <w:bCs/>
          <w:sz w:val="24"/>
          <w:szCs w:val="24"/>
        </w:rPr>
        <w:t>SUPPORTING INFORMATION</w:t>
      </w:r>
    </w:p>
    <w:p w14:paraId="2A2B96C1" w14:textId="07F7468E" w:rsidR="0018062A" w:rsidRPr="00A458F4" w:rsidRDefault="0018062A" w:rsidP="0018062A">
      <w:pPr>
        <w:spacing w:line="360" w:lineRule="auto"/>
        <w:jc w:val="both"/>
        <w:rPr>
          <w:rFonts w:ascii="Times New Roman" w:hAnsi="Times New Roman" w:cs="Times New Roman"/>
          <w:b/>
          <w:bCs/>
          <w:sz w:val="24"/>
          <w:szCs w:val="24"/>
        </w:rPr>
      </w:pPr>
      <w:r w:rsidRPr="00A458F4">
        <w:rPr>
          <w:rFonts w:ascii="Times New Roman" w:hAnsi="Times New Roman" w:cs="Times New Roman"/>
          <w:b/>
          <w:bCs/>
          <w:sz w:val="24"/>
          <w:szCs w:val="24"/>
        </w:rPr>
        <w:t>LD50 calculation</w:t>
      </w:r>
    </w:p>
    <w:p w14:paraId="65434526" w14:textId="3246B19F" w:rsidR="0018062A" w:rsidRPr="00A458F4" w:rsidRDefault="0018062A" w:rsidP="0018062A">
      <w:pPr>
        <w:spacing w:line="360" w:lineRule="auto"/>
        <w:jc w:val="both"/>
        <w:rPr>
          <w:rFonts w:ascii="Times New Roman" w:hAnsi="Times New Roman" w:cs="Times New Roman"/>
          <w:b/>
          <w:bCs/>
          <w:sz w:val="24"/>
          <w:szCs w:val="24"/>
        </w:rPr>
      </w:pPr>
      <w:r w:rsidRPr="00A458F4">
        <w:rPr>
          <w:rFonts w:ascii="Times New Roman" w:eastAsia="Times New Roman" w:hAnsi="Times New Roman" w:cs="Times New Roman"/>
          <w:sz w:val="24"/>
          <w:szCs w:val="24"/>
        </w:rPr>
        <w:t xml:space="preserve">The median lethal dose (LD50) was determined via the Miller–Tainter method </w:t>
      </w:r>
      <w:r w:rsidRPr="00A458F4">
        <w:rPr>
          <w:rFonts w:ascii="Times New Roman" w:eastAsia="Times New Roman" w:hAnsi="Times New Roman" w:cs="Times New Roman"/>
          <w:sz w:val="24"/>
          <w:szCs w:val="24"/>
        </w:rPr>
        <w:fldChar w:fldCharType="begin"/>
      </w:r>
      <w:r w:rsidR="00A458F4" w:rsidRPr="00A458F4">
        <w:rPr>
          <w:rFonts w:ascii="Times New Roman" w:eastAsia="Times New Roman" w:hAnsi="Times New Roman" w:cs="Times New Roman"/>
          <w:sz w:val="24"/>
          <w:szCs w:val="24"/>
        </w:rPr>
        <w:instrText xml:space="preserve"> ADDIN ZOTERO_ITEM CSL_CITATION {"citationID":"A6EDZSg8","properties":{"formattedCitation":"[1]","plainCitation":"[1]","noteIndex":0},"citationItems":[{"id":556,"uris":["http://zotero.org/users/10492986/items/CNPEU5XW","http://zotero.org/users/10492986/items/V2L3HZ7F"],"itemData":{"id":556,"type":"article-journal","abstract":"Acute toxicity is manifested in terms of effects which occur after a single administration or a relatively brief exposure to a substance or mixture. The evidence for acute toxicity is usually obtained from animal testing so acute toxicity is usually characterised in terms of lethality and exposure times used in experimental protocols. Mainly two hazardous classes for acute toxicity are reported that are known as “Acute toxicity” and “STOT-SE (Specific Target Organ Toxicity-Single Exposure)”. This classification is based upon the evident lethality which is commonly reported as LD50/LC50 value. STOT-SE should be considered where there is clear evidence of toxicity to a specific organ, especially when it is observed in the absence of lethality. Once the LD50/LC50 value is determined, then acute toxicity estimate (ATE) could be decided therefore accurate measurement of LD50 is cardinal to understand the dose responses in animal experimentations. Current review entails a diverse method for determination of acute toxicity along with their merits and demerits. Also, it unfolds why three alternative methods i.e., fixed dose procedure (FDP), acute toxicity class (ATC) method and up and down method revealed a wide acceptance from scientific community even though the classical methods were present.","container-title":"Hospice &amp; Palliative Medicine International Journal","DOI":"10.15406/hpmij.2022.05.00202","ISSN":"25764497","issue":"2","journalAbbreviation":"HPMIJ","language":"en","page":"21-24","source":"DOI.org (Crossref)","title":"The diverse ways to determine experimental dose in animals","volume":"5","author":[{"family":"Arya","given":"Jyoti"},{"family":"Bist","given":"Renu"}],"issued":{"date-parts":[["2022",8,9]]}}}],"schema":"https://github.com/citation-style-language/schema/raw/master/csl-citation.json"} </w:instrText>
      </w:r>
      <w:r w:rsidRPr="00A458F4">
        <w:rPr>
          <w:rFonts w:ascii="Times New Roman" w:eastAsia="Times New Roman" w:hAnsi="Times New Roman" w:cs="Times New Roman"/>
          <w:sz w:val="24"/>
          <w:szCs w:val="24"/>
        </w:rPr>
        <w:fldChar w:fldCharType="separate"/>
      </w:r>
      <w:r w:rsidR="00A458F4" w:rsidRPr="00A458F4">
        <w:rPr>
          <w:rFonts w:ascii="Times New Roman" w:hAnsi="Times New Roman" w:cs="Times New Roman"/>
          <w:sz w:val="24"/>
          <w:szCs w:val="24"/>
        </w:rPr>
        <w:t>[1]</w:t>
      </w:r>
      <w:r w:rsidRPr="00A458F4">
        <w:rPr>
          <w:rFonts w:ascii="Times New Roman" w:eastAsia="Times New Roman" w:hAnsi="Times New Roman" w:cs="Times New Roman"/>
          <w:sz w:val="24"/>
          <w:szCs w:val="24"/>
        </w:rPr>
        <w:fldChar w:fldCharType="end"/>
      </w:r>
      <w:r w:rsidRPr="00A458F4">
        <w:rPr>
          <w:rFonts w:ascii="Times New Roman" w:eastAsia="Times New Roman" w:hAnsi="Times New Roman" w:cs="Times New Roman"/>
          <w:sz w:val="24"/>
          <w:szCs w:val="24"/>
        </w:rPr>
        <w:t>. Specifically, the mortality rates of each experimental group were first converted to probit values via Finney's table</w:t>
      </w:r>
      <w:r w:rsidR="005E2B56" w:rsidRPr="00A458F4">
        <w:rPr>
          <w:rFonts w:ascii="Times New Roman" w:eastAsia="Times New Roman" w:hAnsi="Times New Roman" w:cs="Times New Roman"/>
          <w:sz w:val="24"/>
          <w:szCs w:val="24"/>
        </w:rPr>
        <w:t xml:space="preserve"> </w:t>
      </w:r>
      <w:r w:rsidRPr="00A458F4">
        <w:rPr>
          <w:rFonts w:ascii="Times New Roman" w:eastAsia="Times New Roman" w:hAnsi="Times New Roman" w:cs="Times New Roman"/>
          <w:sz w:val="24"/>
          <w:szCs w:val="24"/>
        </w:rPr>
        <w:fldChar w:fldCharType="begin"/>
      </w:r>
      <w:r w:rsidR="00A458F4" w:rsidRPr="00A458F4">
        <w:rPr>
          <w:rFonts w:ascii="Times New Roman" w:eastAsia="Times New Roman" w:hAnsi="Times New Roman" w:cs="Times New Roman"/>
          <w:sz w:val="24"/>
          <w:szCs w:val="24"/>
        </w:rPr>
        <w:instrText xml:space="preserve"> ADDIN ZOTERO_ITEM CSL_CITATION {"citationID":"msCZmsSF","properties":{"formattedCitation":"[2]","plainCitation":"[2]","noteIndex":0},"citationItems":[{"id":559,"uris":["http://zotero.org/users/10492986/items/R86S28RI"],"itemData":{"id":559,"type":"article-journal","abstract":"Many natural products could serve as the starting point in the development of modern medicines because of their numerous biological and pharmacological activities. However, some of them are known to carry toxicological properties as well. In order to achieve a safe treatment with plant products, numerous research studies have recently been focused on both pharmacology and toxicity of medicinal plants. Moreover, these studies employed efforts for alternative biological assays. Brine Shrimp Lethality Assay is the most convenient system for monitoring biological activities of various plant species. This method is very useful for preliminary assessment of toxicity of the plant extracts. Rapidness, simplicity and low requirements are several advantages of this assay. However, several conditions need to be completed, especially in the means of standardized experimental conditions (temperature, pH of the medium, salinity, aeration and light). The toxicity of herbal extracts using this assay has been determined in a concentration range of 10, 100 and 1000 µg/ml of the examined herbal extract. Most toxicity studies which use the Brine Shrimp Lethality Assay determine the toxicity after 24 hours of exposure to the tested sample. The median lethal concentration (LC50) of the test samples is obtained by a plot of percentage of the dead shrimps against the logarithm of the sample concentration. LC50 values are estimated using a probit regression analysis and compared with either Meyer’s or Clarkson’s toxicity criteria. Furthermore, the positive correlation between Meyer’s toxicity scale for Artemia salina and Gosselin, Smith and Hodge’s toxicity scale for higher animal models confirmed that the Brine Shrimp Lethality Assay is an excellent predictive tool for the toxic potential of plant extracts in humans.","container-title":"Macedonian Pharmaceutical Bulletin","DOI":"10.33320/maced.pharm.bull.2014.60.01.002","journalAbbreviation":"Macedonian Pharmaceutical Bulletin","page":"9-18","source":"ResearchGate","title":"Toxicological evaluation of the plant products using Brine Shrimp (Artemia salina L.) model","volume":"60","author":[{"family":"Hamidi","given":"Mentor"},{"family":"Jovanova","given":"Blagica"},{"family":"Kadifkova Panovska","given":"Tatjana"}],"issued":{"date-parts":[["2014",4,1]]}}}],"schema":"https://github.com/citation-style-language/schema/raw/master/csl-citation.json"} </w:instrText>
      </w:r>
      <w:r w:rsidRPr="00A458F4">
        <w:rPr>
          <w:rFonts w:ascii="Times New Roman" w:eastAsia="Times New Roman" w:hAnsi="Times New Roman" w:cs="Times New Roman"/>
          <w:sz w:val="24"/>
          <w:szCs w:val="24"/>
        </w:rPr>
        <w:fldChar w:fldCharType="separate"/>
      </w:r>
      <w:r w:rsidR="00A458F4" w:rsidRPr="00A458F4">
        <w:rPr>
          <w:rFonts w:ascii="Times New Roman" w:hAnsi="Times New Roman" w:cs="Times New Roman"/>
          <w:sz w:val="24"/>
          <w:szCs w:val="24"/>
        </w:rPr>
        <w:t>[2]</w:t>
      </w:r>
      <w:r w:rsidRPr="00A458F4">
        <w:rPr>
          <w:rFonts w:ascii="Times New Roman" w:eastAsia="Times New Roman" w:hAnsi="Times New Roman" w:cs="Times New Roman"/>
          <w:sz w:val="24"/>
          <w:szCs w:val="24"/>
        </w:rPr>
        <w:fldChar w:fldCharType="end"/>
      </w:r>
      <w:r w:rsidRPr="00A458F4">
        <w:rPr>
          <w:rFonts w:ascii="Times New Roman" w:eastAsia="Times New Roman" w:hAnsi="Times New Roman" w:cs="Times New Roman"/>
          <w:sz w:val="24"/>
          <w:szCs w:val="24"/>
        </w:rPr>
        <w:t xml:space="preserve"> (</w:t>
      </w:r>
      <w:bookmarkStart w:id="1" w:name="_Hlk168430301"/>
      <w:r w:rsidRPr="00A458F4">
        <w:rPr>
          <w:rFonts w:ascii="Times New Roman" w:eastAsia="Times New Roman" w:hAnsi="Times New Roman" w:cs="Times New Roman"/>
          <w:b/>
          <w:bCs/>
          <w:sz w:val="24"/>
          <w:szCs w:val="24"/>
        </w:rPr>
        <w:t>Supp. Table 1</w:t>
      </w:r>
      <w:r w:rsidRPr="00A458F4">
        <w:rPr>
          <w:rFonts w:ascii="Times New Roman" w:eastAsia="Times New Roman" w:hAnsi="Times New Roman" w:cs="Times New Roman"/>
          <w:sz w:val="24"/>
          <w:szCs w:val="24"/>
        </w:rPr>
        <w:t xml:space="preserve">). Afterward, a linear regression curve of the </w:t>
      </w:r>
      <w:bookmarkEnd w:id="1"/>
      <w:r w:rsidRPr="00A458F4">
        <w:rPr>
          <w:rFonts w:ascii="Times New Roman" w:eastAsia="Times New Roman" w:hAnsi="Times New Roman" w:cs="Times New Roman"/>
          <w:sz w:val="24"/>
          <w:szCs w:val="24"/>
        </w:rPr>
        <w:t>probit values and logarithmic values of the injected doses was established for the UC-MSC group (</w:t>
      </w:r>
      <w:r w:rsidRPr="00A458F4">
        <w:rPr>
          <w:rFonts w:ascii="Times New Roman" w:eastAsia="Times New Roman" w:hAnsi="Times New Roman" w:cs="Times New Roman"/>
          <w:b/>
          <w:bCs/>
          <w:sz w:val="24"/>
          <w:szCs w:val="24"/>
        </w:rPr>
        <w:t>Supp. Figure 1</w:t>
      </w:r>
      <w:r w:rsidRPr="00A458F4">
        <w:rPr>
          <w:rFonts w:ascii="Times New Roman" w:eastAsia="Times New Roman" w:hAnsi="Times New Roman" w:cs="Times New Roman"/>
          <w:sz w:val="24"/>
          <w:szCs w:val="24"/>
        </w:rPr>
        <w:t>) and the AD-MSC group (</w:t>
      </w:r>
      <w:r w:rsidRPr="00A458F4">
        <w:rPr>
          <w:rFonts w:ascii="Times New Roman" w:eastAsia="Times New Roman" w:hAnsi="Times New Roman" w:cs="Times New Roman"/>
          <w:b/>
          <w:bCs/>
          <w:sz w:val="24"/>
          <w:szCs w:val="24"/>
        </w:rPr>
        <w:t>Supp. Figure 2</w:t>
      </w:r>
      <w:r w:rsidRPr="00A458F4">
        <w:rPr>
          <w:rFonts w:ascii="Times New Roman" w:eastAsia="Times New Roman" w:hAnsi="Times New Roman" w:cs="Times New Roman"/>
          <w:sz w:val="24"/>
          <w:szCs w:val="24"/>
        </w:rPr>
        <w:t>). Finally, the Log10 (LD50) was obtained via interpolation from the linear equation, and the LD50 value was calculated.</w:t>
      </w:r>
    </w:p>
    <w:p w14:paraId="60C0B73E" w14:textId="3D319C07" w:rsidR="0018062A" w:rsidRPr="00A458F4" w:rsidRDefault="0018062A" w:rsidP="0018062A">
      <w:pPr>
        <w:spacing w:line="360" w:lineRule="auto"/>
        <w:jc w:val="both"/>
        <w:rPr>
          <w:rFonts w:ascii="Times New Roman" w:hAnsi="Times New Roman" w:cs="Times New Roman"/>
          <w:b/>
          <w:bCs/>
          <w:sz w:val="24"/>
          <w:szCs w:val="24"/>
        </w:rPr>
      </w:pPr>
      <w:r w:rsidRPr="00A458F4">
        <w:rPr>
          <w:rFonts w:ascii="Times New Roman" w:hAnsi="Times New Roman" w:cs="Times New Roman"/>
          <w:b/>
          <w:bCs/>
          <w:sz w:val="24"/>
          <w:szCs w:val="24"/>
        </w:rPr>
        <w:t xml:space="preserve">Supp. Table 1. Conversion of mortality rate to </w:t>
      </w:r>
      <w:r w:rsidRPr="00A458F4">
        <w:rPr>
          <w:rFonts w:ascii="Times New Roman" w:eastAsia="Calibri" w:hAnsi="Times New Roman" w:cs="Times New Roman"/>
          <w:b/>
          <w:bCs/>
          <w:sz w:val="24"/>
          <w:szCs w:val="24"/>
        </w:rPr>
        <w:t xml:space="preserve">a </w:t>
      </w:r>
      <w:r w:rsidRPr="00A458F4">
        <w:rPr>
          <w:rFonts w:ascii="Times New Roman" w:hAnsi="Times New Roman" w:cs="Times New Roman"/>
          <w:b/>
          <w:bCs/>
          <w:sz w:val="24"/>
          <w:szCs w:val="24"/>
        </w:rPr>
        <w:t>probit value</w:t>
      </w:r>
    </w:p>
    <w:tbl>
      <w:tblPr>
        <w:tblW w:w="7650" w:type="dxa"/>
        <w:tblInd w:w="113" w:type="dxa"/>
        <w:tblLook w:val="04A0" w:firstRow="1" w:lastRow="0" w:firstColumn="1" w:lastColumn="0" w:noHBand="0" w:noVBand="1"/>
      </w:tblPr>
      <w:tblGrid>
        <w:gridCol w:w="960"/>
        <w:gridCol w:w="1480"/>
        <w:gridCol w:w="1603"/>
        <w:gridCol w:w="1300"/>
        <w:gridCol w:w="1180"/>
        <w:gridCol w:w="1242"/>
      </w:tblGrid>
      <w:tr w:rsidR="0018062A" w:rsidRPr="00A458F4" w14:paraId="1050BDA5" w14:textId="77777777" w:rsidTr="007816BA">
        <w:trPr>
          <w:trHeight w:val="87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14:paraId="5C42A9B3" w14:textId="77777777" w:rsidR="0018062A" w:rsidRPr="00A458F4" w:rsidRDefault="0018062A" w:rsidP="007816BA">
            <w:pPr>
              <w:spacing w:after="0" w:line="240" w:lineRule="auto"/>
              <w:jc w:val="center"/>
              <w:rPr>
                <w:rFonts w:ascii="Times New Roman" w:eastAsia="Times New Roman" w:hAnsi="Times New Roman" w:cs="Times New Roman"/>
                <w:b/>
                <w:bCs/>
                <w:color w:val="000000"/>
                <w:sz w:val="24"/>
                <w:szCs w:val="24"/>
                <w:lang w:eastAsia="en-GB"/>
              </w:rPr>
            </w:pPr>
            <w:r w:rsidRPr="00A458F4">
              <w:rPr>
                <w:rFonts w:ascii="Times New Roman" w:eastAsia="Times New Roman" w:hAnsi="Times New Roman" w:cs="Times New Roman"/>
                <w:b/>
                <w:bCs/>
                <w:color w:val="000000"/>
                <w:sz w:val="24"/>
                <w:szCs w:val="24"/>
                <w:lang w:eastAsia="en-GB"/>
              </w:rPr>
              <w:t>Cell type</w:t>
            </w:r>
          </w:p>
        </w:tc>
        <w:tc>
          <w:tcPr>
            <w:tcW w:w="1480" w:type="dxa"/>
            <w:tcBorders>
              <w:top w:val="single" w:sz="4" w:space="0" w:color="auto"/>
              <w:left w:val="nil"/>
              <w:bottom w:val="single" w:sz="4" w:space="0" w:color="auto"/>
              <w:right w:val="single" w:sz="4" w:space="0" w:color="auto"/>
            </w:tcBorders>
            <w:shd w:val="clear" w:color="auto" w:fill="auto"/>
            <w:hideMark/>
          </w:tcPr>
          <w:p w14:paraId="0475329D" w14:textId="77777777" w:rsidR="0018062A" w:rsidRPr="00A458F4" w:rsidRDefault="0018062A" w:rsidP="007816BA">
            <w:pPr>
              <w:spacing w:after="0" w:line="240" w:lineRule="auto"/>
              <w:jc w:val="center"/>
              <w:rPr>
                <w:rFonts w:ascii="Times New Roman" w:eastAsia="Times New Roman" w:hAnsi="Times New Roman" w:cs="Times New Roman"/>
                <w:b/>
                <w:bCs/>
                <w:color w:val="000000"/>
                <w:sz w:val="24"/>
                <w:szCs w:val="24"/>
                <w:lang w:eastAsia="en-GB"/>
              </w:rPr>
            </w:pPr>
            <w:r w:rsidRPr="00A458F4">
              <w:rPr>
                <w:rFonts w:ascii="Times New Roman" w:eastAsia="Times New Roman" w:hAnsi="Times New Roman" w:cs="Times New Roman"/>
                <w:b/>
                <w:bCs/>
                <w:color w:val="000000"/>
                <w:sz w:val="24"/>
                <w:szCs w:val="24"/>
                <w:lang w:eastAsia="en-GB"/>
              </w:rPr>
              <w:t>MSC dose (x10</w:t>
            </w:r>
            <w:r w:rsidRPr="00A458F4">
              <w:rPr>
                <w:rFonts w:ascii="Times New Roman" w:eastAsia="Times New Roman" w:hAnsi="Times New Roman" w:cs="Times New Roman"/>
                <w:b/>
                <w:bCs/>
                <w:color w:val="000000"/>
                <w:sz w:val="24"/>
                <w:szCs w:val="24"/>
                <w:vertAlign w:val="superscript"/>
                <w:lang w:eastAsia="en-GB"/>
              </w:rPr>
              <w:t>6</w:t>
            </w:r>
            <w:r w:rsidRPr="00A458F4">
              <w:rPr>
                <w:rFonts w:ascii="Times New Roman" w:eastAsia="Times New Roman" w:hAnsi="Times New Roman" w:cs="Times New Roman"/>
                <w:b/>
                <w:bCs/>
                <w:color w:val="000000"/>
                <w:sz w:val="24"/>
                <w:szCs w:val="24"/>
                <w:lang w:eastAsia="en-GB"/>
              </w:rPr>
              <w:t xml:space="preserve"> cells/kg)</w:t>
            </w:r>
          </w:p>
        </w:tc>
        <w:tc>
          <w:tcPr>
            <w:tcW w:w="1488" w:type="dxa"/>
            <w:tcBorders>
              <w:top w:val="single" w:sz="4" w:space="0" w:color="auto"/>
              <w:left w:val="nil"/>
              <w:bottom w:val="single" w:sz="4" w:space="0" w:color="auto"/>
              <w:right w:val="single" w:sz="4" w:space="0" w:color="auto"/>
            </w:tcBorders>
            <w:shd w:val="clear" w:color="auto" w:fill="auto"/>
            <w:hideMark/>
          </w:tcPr>
          <w:p w14:paraId="1F236ACF" w14:textId="77777777" w:rsidR="0018062A" w:rsidRPr="00A458F4" w:rsidRDefault="0018062A" w:rsidP="007816BA">
            <w:pPr>
              <w:spacing w:after="0" w:line="240" w:lineRule="auto"/>
              <w:jc w:val="center"/>
              <w:rPr>
                <w:rFonts w:ascii="Times New Roman" w:eastAsia="Times New Roman" w:hAnsi="Times New Roman" w:cs="Times New Roman"/>
                <w:b/>
                <w:bCs/>
                <w:color w:val="000000"/>
                <w:sz w:val="24"/>
                <w:szCs w:val="24"/>
                <w:lang w:eastAsia="en-GB"/>
              </w:rPr>
            </w:pPr>
            <w:r w:rsidRPr="00A458F4">
              <w:rPr>
                <w:rFonts w:ascii="Times New Roman" w:eastAsia="Times New Roman" w:hAnsi="Times New Roman" w:cs="Times New Roman"/>
                <w:b/>
                <w:bCs/>
                <w:color w:val="000000"/>
                <w:sz w:val="24"/>
                <w:szCs w:val="24"/>
                <w:lang w:eastAsia="en-GB"/>
              </w:rPr>
              <w:t>No. of death animal/group</w:t>
            </w:r>
          </w:p>
        </w:tc>
        <w:tc>
          <w:tcPr>
            <w:tcW w:w="1300" w:type="dxa"/>
            <w:tcBorders>
              <w:top w:val="single" w:sz="4" w:space="0" w:color="auto"/>
              <w:left w:val="nil"/>
              <w:bottom w:val="single" w:sz="4" w:space="0" w:color="auto"/>
              <w:right w:val="single" w:sz="4" w:space="0" w:color="auto"/>
            </w:tcBorders>
            <w:shd w:val="clear" w:color="auto" w:fill="auto"/>
            <w:hideMark/>
          </w:tcPr>
          <w:p w14:paraId="2CC53C66" w14:textId="77777777" w:rsidR="0018062A" w:rsidRPr="00A458F4" w:rsidRDefault="0018062A" w:rsidP="007816BA">
            <w:pPr>
              <w:spacing w:after="0" w:line="240" w:lineRule="auto"/>
              <w:jc w:val="center"/>
              <w:rPr>
                <w:rFonts w:ascii="Times New Roman" w:eastAsia="Times New Roman" w:hAnsi="Times New Roman" w:cs="Times New Roman"/>
                <w:b/>
                <w:bCs/>
                <w:color w:val="000000"/>
                <w:sz w:val="24"/>
                <w:szCs w:val="24"/>
                <w:lang w:eastAsia="en-GB"/>
              </w:rPr>
            </w:pPr>
            <w:r w:rsidRPr="00A458F4">
              <w:rPr>
                <w:rFonts w:ascii="Times New Roman" w:eastAsia="Times New Roman" w:hAnsi="Times New Roman" w:cs="Times New Roman"/>
                <w:b/>
                <w:bCs/>
                <w:color w:val="000000"/>
                <w:sz w:val="24"/>
                <w:szCs w:val="24"/>
                <w:lang w:eastAsia="en-GB"/>
              </w:rPr>
              <w:t>Mortality rate (%)</w:t>
            </w:r>
          </w:p>
        </w:tc>
        <w:tc>
          <w:tcPr>
            <w:tcW w:w="1180" w:type="dxa"/>
            <w:tcBorders>
              <w:top w:val="single" w:sz="4" w:space="0" w:color="auto"/>
              <w:left w:val="nil"/>
              <w:bottom w:val="single" w:sz="4" w:space="0" w:color="auto"/>
              <w:right w:val="single" w:sz="4" w:space="0" w:color="auto"/>
            </w:tcBorders>
            <w:shd w:val="clear" w:color="auto" w:fill="auto"/>
            <w:hideMark/>
          </w:tcPr>
          <w:p w14:paraId="25AAED8C" w14:textId="77777777" w:rsidR="0018062A" w:rsidRPr="00A458F4" w:rsidRDefault="0018062A" w:rsidP="007816BA">
            <w:pPr>
              <w:spacing w:after="0" w:line="240" w:lineRule="auto"/>
              <w:jc w:val="center"/>
              <w:rPr>
                <w:rFonts w:ascii="Times New Roman" w:eastAsia="Times New Roman" w:hAnsi="Times New Roman" w:cs="Times New Roman"/>
                <w:b/>
                <w:bCs/>
                <w:color w:val="000000"/>
                <w:sz w:val="24"/>
                <w:szCs w:val="24"/>
                <w:lang w:eastAsia="en-GB"/>
              </w:rPr>
            </w:pPr>
            <w:r w:rsidRPr="00A458F4">
              <w:rPr>
                <w:rFonts w:ascii="Times New Roman" w:eastAsia="Times New Roman" w:hAnsi="Times New Roman" w:cs="Times New Roman"/>
                <w:b/>
                <w:bCs/>
                <w:color w:val="000000"/>
                <w:sz w:val="24"/>
                <w:szCs w:val="24"/>
                <w:lang w:eastAsia="en-GB"/>
              </w:rPr>
              <w:t>Probit value</w:t>
            </w:r>
          </w:p>
        </w:tc>
        <w:tc>
          <w:tcPr>
            <w:tcW w:w="1242" w:type="dxa"/>
            <w:tcBorders>
              <w:top w:val="single" w:sz="4" w:space="0" w:color="auto"/>
              <w:left w:val="nil"/>
              <w:bottom w:val="single" w:sz="4" w:space="0" w:color="auto"/>
              <w:right w:val="single" w:sz="4" w:space="0" w:color="auto"/>
            </w:tcBorders>
            <w:shd w:val="clear" w:color="auto" w:fill="auto"/>
            <w:hideMark/>
          </w:tcPr>
          <w:p w14:paraId="2967DB31" w14:textId="77777777" w:rsidR="0018062A" w:rsidRPr="00A458F4" w:rsidRDefault="0018062A" w:rsidP="007816BA">
            <w:pPr>
              <w:spacing w:after="0" w:line="240" w:lineRule="auto"/>
              <w:jc w:val="center"/>
              <w:rPr>
                <w:rFonts w:ascii="Times New Roman" w:eastAsia="Times New Roman" w:hAnsi="Times New Roman" w:cs="Times New Roman"/>
                <w:b/>
                <w:bCs/>
                <w:color w:val="000000"/>
                <w:sz w:val="24"/>
                <w:szCs w:val="24"/>
                <w:lang w:eastAsia="en-GB"/>
              </w:rPr>
            </w:pPr>
            <w:r w:rsidRPr="00A458F4">
              <w:rPr>
                <w:rFonts w:ascii="Times New Roman" w:eastAsia="Times New Roman" w:hAnsi="Times New Roman" w:cs="Times New Roman"/>
                <w:b/>
                <w:bCs/>
                <w:color w:val="000000"/>
                <w:sz w:val="24"/>
                <w:szCs w:val="24"/>
                <w:lang w:eastAsia="en-GB"/>
              </w:rPr>
              <w:t>Log10 MSC dose</w:t>
            </w:r>
          </w:p>
        </w:tc>
      </w:tr>
      <w:tr w:rsidR="0018062A" w:rsidRPr="00A458F4" w14:paraId="778F91EF" w14:textId="77777777" w:rsidTr="007816BA">
        <w:trPr>
          <w:trHeight w:val="290"/>
        </w:trPr>
        <w:tc>
          <w:tcPr>
            <w:tcW w:w="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4882A6D" w14:textId="77777777" w:rsidR="0018062A" w:rsidRPr="00A458F4" w:rsidRDefault="0018062A" w:rsidP="007816BA">
            <w:pPr>
              <w:spacing w:after="0" w:line="240" w:lineRule="auto"/>
              <w:jc w:val="center"/>
              <w:rPr>
                <w:rFonts w:ascii="Times New Roman" w:eastAsia="Times New Roman" w:hAnsi="Times New Roman" w:cs="Times New Roman"/>
                <w:b/>
                <w:bCs/>
                <w:color w:val="000000"/>
                <w:sz w:val="24"/>
                <w:szCs w:val="24"/>
                <w:lang w:eastAsia="en-GB"/>
              </w:rPr>
            </w:pPr>
            <w:r w:rsidRPr="00A458F4">
              <w:rPr>
                <w:rFonts w:ascii="Times New Roman" w:eastAsia="Times New Roman" w:hAnsi="Times New Roman" w:cs="Times New Roman"/>
                <w:b/>
                <w:bCs/>
                <w:color w:val="000000"/>
                <w:sz w:val="24"/>
                <w:szCs w:val="24"/>
                <w:lang w:eastAsia="en-GB"/>
              </w:rPr>
              <w:t>UC-MSCs</w:t>
            </w:r>
          </w:p>
        </w:tc>
        <w:tc>
          <w:tcPr>
            <w:tcW w:w="1480" w:type="dxa"/>
            <w:tcBorders>
              <w:top w:val="nil"/>
              <w:left w:val="nil"/>
              <w:bottom w:val="single" w:sz="4" w:space="0" w:color="auto"/>
              <w:right w:val="single" w:sz="4" w:space="0" w:color="auto"/>
            </w:tcBorders>
            <w:shd w:val="clear" w:color="auto" w:fill="auto"/>
            <w:noWrap/>
            <w:vAlign w:val="center"/>
            <w:hideMark/>
          </w:tcPr>
          <w:p w14:paraId="76D05603"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50</w:t>
            </w:r>
          </w:p>
        </w:tc>
        <w:tc>
          <w:tcPr>
            <w:tcW w:w="1488" w:type="dxa"/>
            <w:tcBorders>
              <w:top w:val="nil"/>
              <w:left w:val="nil"/>
              <w:bottom w:val="single" w:sz="4" w:space="0" w:color="auto"/>
              <w:right w:val="single" w:sz="4" w:space="0" w:color="auto"/>
            </w:tcBorders>
            <w:shd w:val="clear" w:color="auto" w:fill="auto"/>
            <w:noWrap/>
            <w:vAlign w:val="center"/>
            <w:hideMark/>
          </w:tcPr>
          <w:p w14:paraId="318096B2"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0</w:t>
            </w:r>
          </w:p>
        </w:tc>
        <w:tc>
          <w:tcPr>
            <w:tcW w:w="1300" w:type="dxa"/>
            <w:tcBorders>
              <w:top w:val="nil"/>
              <w:left w:val="nil"/>
              <w:bottom w:val="single" w:sz="4" w:space="0" w:color="auto"/>
              <w:right w:val="single" w:sz="4" w:space="0" w:color="auto"/>
            </w:tcBorders>
            <w:shd w:val="clear" w:color="auto" w:fill="auto"/>
            <w:noWrap/>
            <w:vAlign w:val="center"/>
            <w:hideMark/>
          </w:tcPr>
          <w:p w14:paraId="2D21E9D5"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0%</w:t>
            </w:r>
          </w:p>
        </w:tc>
        <w:tc>
          <w:tcPr>
            <w:tcW w:w="1180" w:type="dxa"/>
            <w:tcBorders>
              <w:top w:val="nil"/>
              <w:left w:val="nil"/>
              <w:bottom w:val="single" w:sz="4" w:space="0" w:color="auto"/>
              <w:right w:val="single" w:sz="4" w:space="0" w:color="auto"/>
            </w:tcBorders>
            <w:shd w:val="clear" w:color="auto" w:fill="auto"/>
            <w:noWrap/>
            <w:vAlign w:val="center"/>
            <w:hideMark/>
          </w:tcPr>
          <w:p w14:paraId="09144894"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0.00</w:t>
            </w:r>
          </w:p>
        </w:tc>
        <w:tc>
          <w:tcPr>
            <w:tcW w:w="1242" w:type="dxa"/>
            <w:tcBorders>
              <w:top w:val="nil"/>
              <w:left w:val="nil"/>
              <w:bottom w:val="single" w:sz="4" w:space="0" w:color="auto"/>
              <w:right w:val="single" w:sz="4" w:space="0" w:color="auto"/>
            </w:tcBorders>
            <w:shd w:val="clear" w:color="auto" w:fill="auto"/>
            <w:noWrap/>
            <w:vAlign w:val="center"/>
            <w:hideMark/>
          </w:tcPr>
          <w:p w14:paraId="6A311215"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1.7</w:t>
            </w:r>
          </w:p>
        </w:tc>
      </w:tr>
      <w:tr w:rsidR="0018062A" w:rsidRPr="00A458F4" w14:paraId="52742A78" w14:textId="77777777" w:rsidTr="007816BA">
        <w:trPr>
          <w:trHeight w:val="290"/>
        </w:trPr>
        <w:tc>
          <w:tcPr>
            <w:tcW w:w="960" w:type="dxa"/>
            <w:vMerge/>
            <w:tcBorders>
              <w:top w:val="nil"/>
              <w:left w:val="single" w:sz="4" w:space="0" w:color="auto"/>
              <w:bottom w:val="single" w:sz="4" w:space="0" w:color="auto"/>
              <w:right w:val="single" w:sz="4" w:space="0" w:color="auto"/>
            </w:tcBorders>
            <w:vAlign w:val="center"/>
            <w:hideMark/>
          </w:tcPr>
          <w:p w14:paraId="59DE63A7" w14:textId="77777777" w:rsidR="0018062A" w:rsidRPr="00A458F4" w:rsidRDefault="0018062A" w:rsidP="007816BA">
            <w:pPr>
              <w:spacing w:after="0" w:line="240" w:lineRule="auto"/>
              <w:rPr>
                <w:rFonts w:ascii="Times New Roman" w:eastAsia="Times New Roman" w:hAnsi="Times New Roman" w:cs="Times New Roman"/>
                <w:b/>
                <w:bCs/>
                <w:color w:val="000000"/>
                <w:sz w:val="24"/>
                <w:szCs w:val="24"/>
                <w:lang w:eastAsia="en-GB"/>
              </w:rPr>
            </w:pPr>
          </w:p>
        </w:tc>
        <w:tc>
          <w:tcPr>
            <w:tcW w:w="1480" w:type="dxa"/>
            <w:tcBorders>
              <w:top w:val="nil"/>
              <w:left w:val="nil"/>
              <w:bottom w:val="single" w:sz="4" w:space="0" w:color="auto"/>
              <w:right w:val="single" w:sz="4" w:space="0" w:color="auto"/>
            </w:tcBorders>
            <w:shd w:val="clear" w:color="auto" w:fill="auto"/>
            <w:noWrap/>
            <w:vAlign w:val="center"/>
            <w:hideMark/>
          </w:tcPr>
          <w:p w14:paraId="43A1D1D0"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200</w:t>
            </w:r>
          </w:p>
        </w:tc>
        <w:tc>
          <w:tcPr>
            <w:tcW w:w="1488" w:type="dxa"/>
            <w:tcBorders>
              <w:top w:val="nil"/>
              <w:left w:val="nil"/>
              <w:bottom w:val="single" w:sz="4" w:space="0" w:color="auto"/>
              <w:right w:val="single" w:sz="4" w:space="0" w:color="auto"/>
            </w:tcBorders>
            <w:shd w:val="clear" w:color="auto" w:fill="auto"/>
            <w:noWrap/>
            <w:vAlign w:val="center"/>
            <w:hideMark/>
          </w:tcPr>
          <w:p w14:paraId="31FAF1BA"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2</w:t>
            </w:r>
          </w:p>
        </w:tc>
        <w:tc>
          <w:tcPr>
            <w:tcW w:w="1300" w:type="dxa"/>
            <w:tcBorders>
              <w:top w:val="nil"/>
              <w:left w:val="nil"/>
              <w:bottom w:val="single" w:sz="4" w:space="0" w:color="auto"/>
              <w:right w:val="single" w:sz="4" w:space="0" w:color="auto"/>
            </w:tcBorders>
            <w:shd w:val="clear" w:color="auto" w:fill="auto"/>
            <w:noWrap/>
            <w:vAlign w:val="center"/>
            <w:hideMark/>
          </w:tcPr>
          <w:p w14:paraId="03184C42"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33%</w:t>
            </w:r>
          </w:p>
        </w:tc>
        <w:tc>
          <w:tcPr>
            <w:tcW w:w="1180" w:type="dxa"/>
            <w:tcBorders>
              <w:top w:val="nil"/>
              <w:left w:val="nil"/>
              <w:bottom w:val="single" w:sz="4" w:space="0" w:color="auto"/>
              <w:right w:val="single" w:sz="4" w:space="0" w:color="auto"/>
            </w:tcBorders>
            <w:shd w:val="clear" w:color="auto" w:fill="auto"/>
            <w:noWrap/>
            <w:vAlign w:val="center"/>
            <w:hideMark/>
          </w:tcPr>
          <w:p w14:paraId="563231BA"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4.56</w:t>
            </w:r>
          </w:p>
        </w:tc>
        <w:tc>
          <w:tcPr>
            <w:tcW w:w="1242" w:type="dxa"/>
            <w:tcBorders>
              <w:top w:val="nil"/>
              <w:left w:val="nil"/>
              <w:bottom w:val="single" w:sz="4" w:space="0" w:color="auto"/>
              <w:right w:val="single" w:sz="4" w:space="0" w:color="auto"/>
            </w:tcBorders>
            <w:shd w:val="clear" w:color="auto" w:fill="auto"/>
            <w:noWrap/>
            <w:vAlign w:val="center"/>
            <w:hideMark/>
          </w:tcPr>
          <w:p w14:paraId="5EAA9DCA"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2.3</w:t>
            </w:r>
          </w:p>
        </w:tc>
      </w:tr>
      <w:tr w:rsidR="0018062A" w:rsidRPr="00A458F4" w14:paraId="7F3754C5" w14:textId="77777777" w:rsidTr="007816BA">
        <w:trPr>
          <w:trHeight w:val="290"/>
        </w:trPr>
        <w:tc>
          <w:tcPr>
            <w:tcW w:w="960" w:type="dxa"/>
            <w:vMerge/>
            <w:tcBorders>
              <w:top w:val="nil"/>
              <w:left w:val="single" w:sz="4" w:space="0" w:color="auto"/>
              <w:bottom w:val="single" w:sz="4" w:space="0" w:color="auto"/>
              <w:right w:val="single" w:sz="4" w:space="0" w:color="auto"/>
            </w:tcBorders>
            <w:vAlign w:val="center"/>
            <w:hideMark/>
          </w:tcPr>
          <w:p w14:paraId="4D8E2080" w14:textId="77777777" w:rsidR="0018062A" w:rsidRPr="00A458F4" w:rsidRDefault="0018062A" w:rsidP="007816BA">
            <w:pPr>
              <w:spacing w:after="0" w:line="240" w:lineRule="auto"/>
              <w:rPr>
                <w:rFonts w:ascii="Times New Roman" w:eastAsia="Times New Roman" w:hAnsi="Times New Roman" w:cs="Times New Roman"/>
                <w:b/>
                <w:bCs/>
                <w:color w:val="000000"/>
                <w:sz w:val="24"/>
                <w:szCs w:val="24"/>
                <w:lang w:eastAsia="en-GB"/>
              </w:rPr>
            </w:pPr>
          </w:p>
        </w:tc>
        <w:tc>
          <w:tcPr>
            <w:tcW w:w="1480" w:type="dxa"/>
            <w:tcBorders>
              <w:top w:val="nil"/>
              <w:left w:val="nil"/>
              <w:bottom w:val="single" w:sz="4" w:space="0" w:color="auto"/>
              <w:right w:val="single" w:sz="4" w:space="0" w:color="auto"/>
            </w:tcBorders>
            <w:shd w:val="clear" w:color="auto" w:fill="auto"/>
            <w:noWrap/>
            <w:vAlign w:val="center"/>
            <w:hideMark/>
          </w:tcPr>
          <w:p w14:paraId="60819F59"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500</w:t>
            </w:r>
          </w:p>
        </w:tc>
        <w:tc>
          <w:tcPr>
            <w:tcW w:w="1488" w:type="dxa"/>
            <w:tcBorders>
              <w:top w:val="nil"/>
              <w:left w:val="nil"/>
              <w:bottom w:val="single" w:sz="4" w:space="0" w:color="auto"/>
              <w:right w:val="single" w:sz="4" w:space="0" w:color="auto"/>
            </w:tcBorders>
            <w:shd w:val="clear" w:color="auto" w:fill="auto"/>
            <w:noWrap/>
            <w:vAlign w:val="center"/>
            <w:hideMark/>
          </w:tcPr>
          <w:p w14:paraId="67CAF2CB"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2</w:t>
            </w:r>
          </w:p>
        </w:tc>
        <w:tc>
          <w:tcPr>
            <w:tcW w:w="1300" w:type="dxa"/>
            <w:tcBorders>
              <w:top w:val="nil"/>
              <w:left w:val="nil"/>
              <w:bottom w:val="single" w:sz="4" w:space="0" w:color="auto"/>
              <w:right w:val="single" w:sz="4" w:space="0" w:color="auto"/>
            </w:tcBorders>
            <w:shd w:val="clear" w:color="auto" w:fill="auto"/>
            <w:noWrap/>
            <w:vAlign w:val="center"/>
            <w:hideMark/>
          </w:tcPr>
          <w:p w14:paraId="6FD1514D"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33%</w:t>
            </w:r>
          </w:p>
        </w:tc>
        <w:tc>
          <w:tcPr>
            <w:tcW w:w="1180" w:type="dxa"/>
            <w:tcBorders>
              <w:top w:val="nil"/>
              <w:left w:val="nil"/>
              <w:bottom w:val="single" w:sz="4" w:space="0" w:color="auto"/>
              <w:right w:val="single" w:sz="4" w:space="0" w:color="auto"/>
            </w:tcBorders>
            <w:shd w:val="clear" w:color="auto" w:fill="auto"/>
            <w:noWrap/>
            <w:vAlign w:val="center"/>
            <w:hideMark/>
          </w:tcPr>
          <w:p w14:paraId="4C28E4F8"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4.56</w:t>
            </w:r>
          </w:p>
        </w:tc>
        <w:tc>
          <w:tcPr>
            <w:tcW w:w="1242" w:type="dxa"/>
            <w:tcBorders>
              <w:top w:val="nil"/>
              <w:left w:val="nil"/>
              <w:bottom w:val="single" w:sz="4" w:space="0" w:color="auto"/>
              <w:right w:val="single" w:sz="4" w:space="0" w:color="auto"/>
            </w:tcBorders>
            <w:shd w:val="clear" w:color="auto" w:fill="auto"/>
            <w:noWrap/>
            <w:vAlign w:val="center"/>
            <w:hideMark/>
          </w:tcPr>
          <w:p w14:paraId="57E4CA72"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2.7</w:t>
            </w:r>
          </w:p>
        </w:tc>
      </w:tr>
      <w:tr w:rsidR="0018062A" w:rsidRPr="00A458F4" w14:paraId="7553E907" w14:textId="77777777" w:rsidTr="007816BA">
        <w:trPr>
          <w:trHeight w:val="290"/>
        </w:trPr>
        <w:tc>
          <w:tcPr>
            <w:tcW w:w="960" w:type="dxa"/>
            <w:vMerge/>
            <w:tcBorders>
              <w:top w:val="nil"/>
              <w:left w:val="single" w:sz="4" w:space="0" w:color="auto"/>
              <w:bottom w:val="single" w:sz="4" w:space="0" w:color="auto"/>
              <w:right w:val="single" w:sz="4" w:space="0" w:color="auto"/>
            </w:tcBorders>
            <w:vAlign w:val="center"/>
            <w:hideMark/>
          </w:tcPr>
          <w:p w14:paraId="08BC1636" w14:textId="77777777" w:rsidR="0018062A" w:rsidRPr="00A458F4" w:rsidRDefault="0018062A" w:rsidP="007816BA">
            <w:pPr>
              <w:spacing w:after="0" w:line="240" w:lineRule="auto"/>
              <w:rPr>
                <w:rFonts w:ascii="Times New Roman" w:eastAsia="Times New Roman" w:hAnsi="Times New Roman" w:cs="Times New Roman"/>
                <w:b/>
                <w:bCs/>
                <w:color w:val="000000"/>
                <w:sz w:val="24"/>
                <w:szCs w:val="24"/>
                <w:lang w:eastAsia="en-GB"/>
              </w:rPr>
            </w:pPr>
          </w:p>
        </w:tc>
        <w:tc>
          <w:tcPr>
            <w:tcW w:w="1480" w:type="dxa"/>
            <w:tcBorders>
              <w:top w:val="nil"/>
              <w:left w:val="nil"/>
              <w:bottom w:val="single" w:sz="4" w:space="0" w:color="auto"/>
              <w:right w:val="single" w:sz="4" w:space="0" w:color="auto"/>
            </w:tcBorders>
            <w:shd w:val="clear" w:color="auto" w:fill="auto"/>
            <w:noWrap/>
            <w:vAlign w:val="center"/>
            <w:hideMark/>
          </w:tcPr>
          <w:p w14:paraId="32ACC6D9"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1000</w:t>
            </w:r>
          </w:p>
        </w:tc>
        <w:tc>
          <w:tcPr>
            <w:tcW w:w="1488" w:type="dxa"/>
            <w:tcBorders>
              <w:top w:val="nil"/>
              <w:left w:val="nil"/>
              <w:bottom w:val="single" w:sz="4" w:space="0" w:color="auto"/>
              <w:right w:val="single" w:sz="4" w:space="0" w:color="auto"/>
            </w:tcBorders>
            <w:shd w:val="clear" w:color="auto" w:fill="auto"/>
            <w:noWrap/>
            <w:vAlign w:val="center"/>
            <w:hideMark/>
          </w:tcPr>
          <w:p w14:paraId="29553346"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4</w:t>
            </w:r>
          </w:p>
        </w:tc>
        <w:tc>
          <w:tcPr>
            <w:tcW w:w="1300" w:type="dxa"/>
            <w:tcBorders>
              <w:top w:val="nil"/>
              <w:left w:val="nil"/>
              <w:bottom w:val="single" w:sz="4" w:space="0" w:color="auto"/>
              <w:right w:val="single" w:sz="4" w:space="0" w:color="auto"/>
            </w:tcBorders>
            <w:shd w:val="clear" w:color="auto" w:fill="auto"/>
            <w:noWrap/>
            <w:vAlign w:val="center"/>
            <w:hideMark/>
          </w:tcPr>
          <w:p w14:paraId="449CBFFF"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67%</w:t>
            </w:r>
          </w:p>
        </w:tc>
        <w:tc>
          <w:tcPr>
            <w:tcW w:w="1180" w:type="dxa"/>
            <w:tcBorders>
              <w:top w:val="nil"/>
              <w:left w:val="nil"/>
              <w:bottom w:val="single" w:sz="4" w:space="0" w:color="auto"/>
              <w:right w:val="single" w:sz="4" w:space="0" w:color="auto"/>
            </w:tcBorders>
            <w:shd w:val="clear" w:color="auto" w:fill="auto"/>
            <w:noWrap/>
            <w:vAlign w:val="center"/>
            <w:hideMark/>
          </w:tcPr>
          <w:p w14:paraId="4C7E82FC"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5.44</w:t>
            </w:r>
          </w:p>
        </w:tc>
        <w:tc>
          <w:tcPr>
            <w:tcW w:w="1242" w:type="dxa"/>
            <w:tcBorders>
              <w:top w:val="nil"/>
              <w:left w:val="nil"/>
              <w:bottom w:val="single" w:sz="4" w:space="0" w:color="auto"/>
              <w:right w:val="single" w:sz="4" w:space="0" w:color="auto"/>
            </w:tcBorders>
            <w:shd w:val="clear" w:color="auto" w:fill="auto"/>
            <w:noWrap/>
            <w:vAlign w:val="center"/>
            <w:hideMark/>
          </w:tcPr>
          <w:p w14:paraId="2C73E639"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3.0</w:t>
            </w:r>
          </w:p>
        </w:tc>
      </w:tr>
      <w:tr w:rsidR="0018062A" w:rsidRPr="00A458F4" w14:paraId="25E460F8" w14:textId="77777777" w:rsidTr="007816BA">
        <w:trPr>
          <w:trHeight w:val="290"/>
        </w:trPr>
        <w:tc>
          <w:tcPr>
            <w:tcW w:w="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F1FA6F5" w14:textId="77777777" w:rsidR="0018062A" w:rsidRPr="00A458F4" w:rsidRDefault="0018062A" w:rsidP="007816BA">
            <w:pPr>
              <w:spacing w:after="0" w:line="240" w:lineRule="auto"/>
              <w:jc w:val="center"/>
              <w:rPr>
                <w:rFonts w:ascii="Times New Roman" w:eastAsia="Times New Roman" w:hAnsi="Times New Roman" w:cs="Times New Roman"/>
                <w:b/>
                <w:bCs/>
                <w:color w:val="000000"/>
                <w:sz w:val="24"/>
                <w:szCs w:val="24"/>
                <w:lang w:eastAsia="en-GB"/>
              </w:rPr>
            </w:pPr>
            <w:r w:rsidRPr="00A458F4">
              <w:rPr>
                <w:rFonts w:ascii="Times New Roman" w:eastAsia="Times New Roman" w:hAnsi="Times New Roman" w:cs="Times New Roman"/>
                <w:b/>
                <w:bCs/>
                <w:color w:val="000000"/>
                <w:sz w:val="24"/>
                <w:szCs w:val="24"/>
                <w:lang w:eastAsia="en-GB"/>
              </w:rPr>
              <w:t>AD-MSCs</w:t>
            </w:r>
          </w:p>
        </w:tc>
        <w:tc>
          <w:tcPr>
            <w:tcW w:w="1480" w:type="dxa"/>
            <w:tcBorders>
              <w:top w:val="nil"/>
              <w:left w:val="nil"/>
              <w:bottom w:val="single" w:sz="4" w:space="0" w:color="auto"/>
              <w:right w:val="single" w:sz="4" w:space="0" w:color="auto"/>
            </w:tcBorders>
            <w:shd w:val="clear" w:color="auto" w:fill="auto"/>
            <w:noWrap/>
            <w:vAlign w:val="center"/>
            <w:hideMark/>
          </w:tcPr>
          <w:p w14:paraId="6C54D0C1"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50</w:t>
            </w:r>
          </w:p>
        </w:tc>
        <w:tc>
          <w:tcPr>
            <w:tcW w:w="1488" w:type="dxa"/>
            <w:tcBorders>
              <w:top w:val="nil"/>
              <w:left w:val="nil"/>
              <w:bottom w:val="single" w:sz="4" w:space="0" w:color="auto"/>
              <w:right w:val="single" w:sz="4" w:space="0" w:color="auto"/>
            </w:tcBorders>
            <w:shd w:val="clear" w:color="auto" w:fill="auto"/>
            <w:noWrap/>
            <w:vAlign w:val="center"/>
            <w:hideMark/>
          </w:tcPr>
          <w:p w14:paraId="0CD96E75"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0</w:t>
            </w:r>
          </w:p>
        </w:tc>
        <w:tc>
          <w:tcPr>
            <w:tcW w:w="1300" w:type="dxa"/>
            <w:tcBorders>
              <w:top w:val="nil"/>
              <w:left w:val="nil"/>
              <w:bottom w:val="single" w:sz="4" w:space="0" w:color="auto"/>
              <w:right w:val="single" w:sz="4" w:space="0" w:color="auto"/>
            </w:tcBorders>
            <w:shd w:val="clear" w:color="auto" w:fill="auto"/>
            <w:noWrap/>
            <w:vAlign w:val="center"/>
            <w:hideMark/>
          </w:tcPr>
          <w:p w14:paraId="0C6F392D"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0%</w:t>
            </w:r>
          </w:p>
        </w:tc>
        <w:tc>
          <w:tcPr>
            <w:tcW w:w="1180" w:type="dxa"/>
            <w:tcBorders>
              <w:top w:val="nil"/>
              <w:left w:val="nil"/>
              <w:bottom w:val="single" w:sz="4" w:space="0" w:color="auto"/>
              <w:right w:val="single" w:sz="4" w:space="0" w:color="auto"/>
            </w:tcBorders>
            <w:shd w:val="clear" w:color="auto" w:fill="auto"/>
            <w:noWrap/>
            <w:vAlign w:val="center"/>
            <w:hideMark/>
          </w:tcPr>
          <w:p w14:paraId="21F12F71"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0.00</w:t>
            </w:r>
          </w:p>
        </w:tc>
        <w:tc>
          <w:tcPr>
            <w:tcW w:w="1242" w:type="dxa"/>
            <w:tcBorders>
              <w:top w:val="nil"/>
              <w:left w:val="nil"/>
              <w:bottom w:val="single" w:sz="4" w:space="0" w:color="auto"/>
              <w:right w:val="single" w:sz="4" w:space="0" w:color="auto"/>
            </w:tcBorders>
            <w:shd w:val="clear" w:color="auto" w:fill="auto"/>
            <w:noWrap/>
            <w:vAlign w:val="center"/>
            <w:hideMark/>
          </w:tcPr>
          <w:p w14:paraId="3CB5CF74"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1.7</w:t>
            </w:r>
          </w:p>
        </w:tc>
      </w:tr>
      <w:tr w:rsidR="0018062A" w:rsidRPr="00A458F4" w14:paraId="4FF96C86" w14:textId="77777777" w:rsidTr="007816BA">
        <w:trPr>
          <w:trHeight w:val="290"/>
        </w:trPr>
        <w:tc>
          <w:tcPr>
            <w:tcW w:w="960" w:type="dxa"/>
            <w:vMerge/>
            <w:tcBorders>
              <w:top w:val="nil"/>
              <w:left w:val="single" w:sz="4" w:space="0" w:color="auto"/>
              <w:bottom w:val="single" w:sz="4" w:space="0" w:color="auto"/>
              <w:right w:val="single" w:sz="4" w:space="0" w:color="auto"/>
            </w:tcBorders>
            <w:vAlign w:val="center"/>
            <w:hideMark/>
          </w:tcPr>
          <w:p w14:paraId="4568DD0A" w14:textId="77777777" w:rsidR="0018062A" w:rsidRPr="00A458F4" w:rsidRDefault="0018062A" w:rsidP="007816BA">
            <w:pPr>
              <w:spacing w:after="0" w:line="240" w:lineRule="auto"/>
              <w:rPr>
                <w:rFonts w:ascii="Times New Roman" w:eastAsia="Times New Roman" w:hAnsi="Times New Roman" w:cs="Times New Roman"/>
                <w:b/>
                <w:bCs/>
                <w:color w:val="000000"/>
                <w:sz w:val="24"/>
                <w:szCs w:val="24"/>
                <w:lang w:eastAsia="en-GB"/>
              </w:rPr>
            </w:pPr>
          </w:p>
        </w:tc>
        <w:tc>
          <w:tcPr>
            <w:tcW w:w="1480" w:type="dxa"/>
            <w:tcBorders>
              <w:top w:val="nil"/>
              <w:left w:val="nil"/>
              <w:bottom w:val="single" w:sz="4" w:space="0" w:color="auto"/>
              <w:right w:val="single" w:sz="4" w:space="0" w:color="auto"/>
            </w:tcBorders>
            <w:shd w:val="clear" w:color="auto" w:fill="auto"/>
            <w:noWrap/>
            <w:vAlign w:val="center"/>
            <w:hideMark/>
          </w:tcPr>
          <w:p w14:paraId="62F4A564"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200</w:t>
            </w:r>
          </w:p>
        </w:tc>
        <w:tc>
          <w:tcPr>
            <w:tcW w:w="1488" w:type="dxa"/>
            <w:tcBorders>
              <w:top w:val="nil"/>
              <w:left w:val="nil"/>
              <w:bottom w:val="single" w:sz="4" w:space="0" w:color="auto"/>
              <w:right w:val="single" w:sz="4" w:space="0" w:color="auto"/>
            </w:tcBorders>
            <w:shd w:val="clear" w:color="auto" w:fill="auto"/>
            <w:noWrap/>
            <w:vAlign w:val="center"/>
            <w:hideMark/>
          </w:tcPr>
          <w:p w14:paraId="5E79E895"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2</w:t>
            </w:r>
          </w:p>
        </w:tc>
        <w:tc>
          <w:tcPr>
            <w:tcW w:w="1300" w:type="dxa"/>
            <w:tcBorders>
              <w:top w:val="nil"/>
              <w:left w:val="nil"/>
              <w:bottom w:val="single" w:sz="4" w:space="0" w:color="auto"/>
              <w:right w:val="single" w:sz="4" w:space="0" w:color="auto"/>
            </w:tcBorders>
            <w:shd w:val="clear" w:color="auto" w:fill="auto"/>
            <w:noWrap/>
            <w:vAlign w:val="center"/>
            <w:hideMark/>
          </w:tcPr>
          <w:p w14:paraId="05DC949E"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33%</w:t>
            </w:r>
          </w:p>
        </w:tc>
        <w:tc>
          <w:tcPr>
            <w:tcW w:w="1180" w:type="dxa"/>
            <w:tcBorders>
              <w:top w:val="nil"/>
              <w:left w:val="nil"/>
              <w:bottom w:val="single" w:sz="4" w:space="0" w:color="auto"/>
              <w:right w:val="single" w:sz="4" w:space="0" w:color="auto"/>
            </w:tcBorders>
            <w:shd w:val="clear" w:color="auto" w:fill="auto"/>
            <w:noWrap/>
            <w:vAlign w:val="center"/>
            <w:hideMark/>
          </w:tcPr>
          <w:p w14:paraId="7A3E27DE"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4.56</w:t>
            </w:r>
          </w:p>
        </w:tc>
        <w:tc>
          <w:tcPr>
            <w:tcW w:w="1242" w:type="dxa"/>
            <w:tcBorders>
              <w:top w:val="nil"/>
              <w:left w:val="nil"/>
              <w:bottom w:val="single" w:sz="4" w:space="0" w:color="auto"/>
              <w:right w:val="single" w:sz="4" w:space="0" w:color="auto"/>
            </w:tcBorders>
            <w:shd w:val="clear" w:color="auto" w:fill="auto"/>
            <w:noWrap/>
            <w:vAlign w:val="center"/>
            <w:hideMark/>
          </w:tcPr>
          <w:p w14:paraId="3D8C71E0"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2.3</w:t>
            </w:r>
          </w:p>
        </w:tc>
      </w:tr>
      <w:tr w:rsidR="0018062A" w:rsidRPr="00A458F4" w14:paraId="00B90CCF" w14:textId="77777777" w:rsidTr="007816BA">
        <w:trPr>
          <w:trHeight w:val="290"/>
        </w:trPr>
        <w:tc>
          <w:tcPr>
            <w:tcW w:w="960" w:type="dxa"/>
            <w:vMerge/>
            <w:tcBorders>
              <w:top w:val="nil"/>
              <w:left w:val="single" w:sz="4" w:space="0" w:color="auto"/>
              <w:bottom w:val="single" w:sz="4" w:space="0" w:color="auto"/>
              <w:right w:val="single" w:sz="4" w:space="0" w:color="auto"/>
            </w:tcBorders>
            <w:vAlign w:val="center"/>
            <w:hideMark/>
          </w:tcPr>
          <w:p w14:paraId="2EC53BD4" w14:textId="77777777" w:rsidR="0018062A" w:rsidRPr="00A458F4" w:rsidRDefault="0018062A" w:rsidP="007816BA">
            <w:pPr>
              <w:spacing w:after="0" w:line="240" w:lineRule="auto"/>
              <w:rPr>
                <w:rFonts w:ascii="Times New Roman" w:eastAsia="Times New Roman" w:hAnsi="Times New Roman" w:cs="Times New Roman"/>
                <w:b/>
                <w:bCs/>
                <w:color w:val="000000"/>
                <w:sz w:val="24"/>
                <w:szCs w:val="24"/>
                <w:lang w:eastAsia="en-GB"/>
              </w:rPr>
            </w:pPr>
          </w:p>
        </w:tc>
        <w:tc>
          <w:tcPr>
            <w:tcW w:w="1480" w:type="dxa"/>
            <w:tcBorders>
              <w:top w:val="nil"/>
              <w:left w:val="nil"/>
              <w:bottom w:val="single" w:sz="4" w:space="0" w:color="auto"/>
              <w:right w:val="single" w:sz="4" w:space="0" w:color="auto"/>
            </w:tcBorders>
            <w:shd w:val="clear" w:color="auto" w:fill="auto"/>
            <w:noWrap/>
            <w:vAlign w:val="center"/>
            <w:hideMark/>
          </w:tcPr>
          <w:p w14:paraId="5F95041D"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500</w:t>
            </w:r>
          </w:p>
        </w:tc>
        <w:tc>
          <w:tcPr>
            <w:tcW w:w="1488" w:type="dxa"/>
            <w:tcBorders>
              <w:top w:val="nil"/>
              <w:left w:val="nil"/>
              <w:bottom w:val="single" w:sz="4" w:space="0" w:color="auto"/>
              <w:right w:val="single" w:sz="4" w:space="0" w:color="auto"/>
            </w:tcBorders>
            <w:shd w:val="clear" w:color="auto" w:fill="auto"/>
            <w:noWrap/>
            <w:vAlign w:val="center"/>
            <w:hideMark/>
          </w:tcPr>
          <w:p w14:paraId="72CBAD0A"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1</w:t>
            </w:r>
          </w:p>
        </w:tc>
        <w:tc>
          <w:tcPr>
            <w:tcW w:w="1300" w:type="dxa"/>
            <w:tcBorders>
              <w:top w:val="nil"/>
              <w:left w:val="nil"/>
              <w:bottom w:val="single" w:sz="4" w:space="0" w:color="auto"/>
              <w:right w:val="single" w:sz="4" w:space="0" w:color="auto"/>
            </w:tcBorders>
            <w:shd w:val="clear" w:color="auto" w:fill="auto"/>
            <w:noWrap/>
            <w:vAlign w:val="center"/>
            <w:hideMark/>
          </w:tcPr>
          <w:p w14:paraId="0ABA570A"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17%</w:t>
            </w:r>
          </w:p>
        </w:tc>
        <w:tc>
          <w:tcPr>
            <w:tcW w:w="1180" w:type="dxa"/>
            <w:tcBorders>
              <w:top w:val="nil"/>
              <w:left w:val="nil"/>
              <w:bottom w:val="single" w:sz="4" w:space="0" w:color="auto"/>
              <w:right w:val="single" w:sz="4" w:space="0" w:color="auto"/>
            </w:tcBorders>
            <w:shd w:val="clear" w:color="auto" w:fill="auto"/>
            <w:noWrap/>
            <w:vAlign w:val="center"/>
            <w:hideMark/>
          </w:tcPr>
          <w:p w14:paraId="29A9DE98"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4.05</w:t>
            </w:r>
          </w:p>
        </w:tc>
        <w:tc>
          <w:tcPr>
            <w:tcW w:w="1242" w:type="dxa"/>
            <w:tcBorders>
              <w:top w:val="nil"/>
              <w:left w:val="nil"/>
              <w:bottom w:val="single" w:sz="4" w:space="0" w:color="auto"/>
              <w:right w:val="single" w:sz="4" w:space="0" w:color="auto"/>
            </w:tcBorders>
            <w:shd w:val="clear" w:color="auto" w:fill="auto"/>
            <w:noWrap/>
            <w:vAlign w:val="center"/>
            <w:hideMark/>
          </w:tcPr>
          <w:p w14:paraId="74CD3D64"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2.7</w:t>
            </w:r>
          </w:p>
        </w:tc>
      </w:tr>
      <w:tr w:rsidR="0018062A" w:rsidRPr="00A458F4" w14:paraId="34FC3271" w14:textId="77777777" w:rsidTr="007816BA">
        <w:trPr>
          <w:trHeight w:val="290"/>
        </w:trPr>
        <w:tc>
          <w:tcPr>
            <w:tcW w:w="960" w:type="dxa"/>
            <w:vMerge/>
            <w:tcBorders>
              <w:top w:val="nil"/>
              <w:left w:val="single" w:sz="4" w:space="0" w:color="auto"/>
              <w:bottom w:val="single" w:sz="4" w:space="0" w:color="auto"/>
              <w:right w:val="single" w:sz="4" w:space="0" w:color="auto"/>
            </w:tcBorders>
            <w:vAlign w:val="center"/>
            <w:hideMark/>
          </w:tcPr>
          <w:p w14:paraId="562D0ED4" w14:textId="77777777" w:rsidR="0018062A" w:rsidRPr="00A458F4" w:rsidRDefault="0018062A" w:rsidP="007816BA">
            <w:pPr>
              <w:spacing w:after="0" w:line="240" w:lineRule="auto"/>
              <w:rPr>
                <w:rFonts w:ascii="Times New Roman" w:eastAsia="Times New Roman" w:hAnsi="Times New Roman" w:cs="Times New Roman"/>
                <w:b/>
                <w:bCs/>
                <w:color w:val="000000"/>
                <w:sz w:val="24"/>
                <w:szCs w:val="24"/>
                <w:lang w:eastAsia="en-GB"/>
              </w:rPr>
            </w:pPr>
          </w:p>
        </w:tc>
        <w:tc>
          <w:tcPr>
            <w:tcW w:w="1480" w:type="dxa"/>
            <w:tcBorders>
              <w:top w:val="nil"/>
              <w:left w:val="nil"/>
              <w:bottom w:val="single" w:sz="4" w:space="0" w:color="auto"/>
              <w:right w:val="single" w:sz="4" w:space="0" w:color="auto"/>
            </w:tcBorders>
            <w:shd w:val="clear" w:color="auto" w:fill="auto"/>
            <w:noWrap/>
            <w:vAlign w:val="center"/>
            <w:hideMark/>
          </w:tcPr>
          <w:p w14:paraId="199ECC9C"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1000</w:t>
            </w:r>
          </w:p>
        </w:tc>
        <w:tc>
          <w:tcPr>
            <w:tcW w:w="1488" w:type="dxa"/>
            <w:tcBorders>
              <w:top w:val="nil"/>
              <w:left w:val="nil"/>
              <w:bottom w:val="single" w:sz="4" w:space="0" w:color="auto"/>
              <w:right w:val="single" w:sz="4" w:space="0" w:color="auto"/>
            </w:tcBorders>
            <w:shd w:val="clear" w:color="auto" w:fill="auto"/>
            <w:noWrap/>
            <w:vAlign w:val="center"/>
            <w:hideMark/>
          </w:tcPr>
          <w:p w14:paraId="7C1C49B2"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3</w:t>
            </w:r>
          </w:p>
        </w:tc>
        <w:tc>
          <w:tcPr>
            <w:tcW w:w="1300" w:type="dxa"/>
            <w:tcBorders>
              <w:top w:val="nil"/>
              <w:left w:val="nil"/>
              <w:bottom w:val="single" w:sz="4" w:space="0" w:color="auto"/>
              <w:right w:val="single" w:sz="4" w:space="0" w:color="auto"/>
            </w:tcBorders>
            <w:shd w:val="clear" w:color="auto" w:fill="auto"/>
            <w:noWrap/>
            <w:vAlign w:val="center"/>
            <w:hideMark/>
          </w:tcPr>
          <w:p w14:paraId="64442760"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50%</w:t>
            </w:r>
          </w:p>
        </w:tc>
        <w:tc>
          <w:tcPr>
            <w:tcW w:w="1180" w:type="dxa"/>
            <w:tcBorders>
              <w:top w:val="nil"/>
              <w:left w:val="nil"/>
              <w:bottom w:val="single" w:sz="4" w:space="0" w:color="auto"/>
              <w:right w:val="single" w:sz="4" w:space="0" w:color="auto"/>
            </w:tcBorders>
            <w:shd w:val="clear" w:color="auto" w:fill="auto"/>
            <w:noWrap/>
            <w:vAlign w:val="center"/>
            <w:hideMark/>
          </w:tcPr>
          <w:p w14:paraId="25A77581"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5.00</w:t>
            </w:r>
          </w:p>
        </w:tc>
        <w:tc>
          <w:tcPr>
            <w:tcW w:w="1242" w:type="dxa"/>
            <w:tcBorders>
              <w:top w:val="nil"/>
              <w:left w:val="nil"/>
              <w:bottom w:val="single" w:sz="4" w:space="0" w:color="auto"/>
              <w:right w:val="single" w:sz="4" w:space="0" w:color="auto"/>
            </w:tcBorders>
            <w:shd w:val="clear" w:color="auto" w:fill="auto"/>
            <w:noWrap/>
            <w:vAlign w:val="center"/>
            <w:hideMark/>
          </w:tcPr>
          <w:p w14:paraId="2453915C" w14:textId="77777777" w:rsidR="0018062A" w:rsidRPr="00A458F4" w:rsidRDefault="0018062A" w:rsidP="007816BA">
            <w:pPr>
              <w:spacing w:after="0" w:line="240" w:lineRule="auto"/>
              <w:jc w:val="center"/>
              <w:rPr>
                <w:rFonts w:ascii="Times New Roman" w:eastAsia="Times New Roman" w:hAnsi="Times New Roman" w:cs="Times New Roman"/>
                <w:color w:val="000000"/>
                <w:sz w:val="24"/>
                <w:szCs w:val="24"/>
                <w:lang w:eastAsia="en-GB"/>
              </w:rPr>
            </w:pPr>
            <w:r w:rsidRPr="00A458F4">
              <w:rPr>
                <w:rFonts w:ascii="Times New Roman" w:eastAsia="Times New Roman" w:hAnsi="Times New Roman" w:cs="Times New Roman"/>
                <w:color w:val="000000"/>
                <w:sz w:val="24"/>
                <w:szCs w:val="24"/>
                <w:lang w:eastAsia="en-GB"/>
              </w:rPr>
              <w:t>3.0</w:t>
            </w:r>
          </w:p>
        </w:tc>
      </w:tr>
    </w:tbl>
    <w:p w14:paraId="4A27DF7C" w14:textId="77777777" w:rsidR="0018062A" w:rsidRPr="00A458F4" w:rsidRDefault="0018062A" w:rsidP="0018062A">
      <w:pPr>
        <w:rPr>
          <w:rFonts w:ascii="Times New Roman" w:hAnsi="Times New Roman" w:cs="Times New Roman"/>
          <w:b/>
          <w:bCs/>
          <w:sz w:val="24"/>
          <w:szCs w:val="24"/>
          <w:vertAlign w:val="superscript"/>
        </w:rPr>
      </w:pPr>
    </w:p>
    <w:p w14:paraId="76B567FE" w14:textId="333B8319" w:rsidR="0018062A" w:rsidRPr="00A458F4" w:rsidRDefault="0018062A" w:rsidP="0018062A">
      <w:pPr>
        <w:spacing w:line="360" w:lineRule="auto"/>
        <w:jc w:val="both"/>
        <w:rPr>
          <w:rFonts w:ascii="Times New Roman" w:hAnsi="Times New Roman" w:cs="Times New Roman"/>
          <w:b/>
          <w:bCs/>
          <w:sz w:val="24"/>
          <w:szCs w:val="24"/>
        </w:rPr>
      </w:pPr>
      <w:r w:rsidRPr="00A458F4">
        <w:rPr>
          <w:rFonts w:ascii="Times New Roman" w:hAnsi="Times New Roman" w:cs="Times New Roman"/>
          <w:b/>
          <w:bCs/>
          <w:noProof/>
          <w:sz w:val="24"/>
          <w:szCs w:val="24"/>
        </w:rPr>
        <w:drawing>
          <wp:anchor distT="0" distB="0" distL="114300" distR="114300" simplePos="0" relativeHeight="251659264" behindDoc="0" locked="0" layoutInCell="1" allowOverlap="1" wp14:anchorId="1594BC39" wp14:editId="3F0A9029">
            <wp:simplePos x="0" y="0"/>
            <wp:positionH relativeFrom="column">
              <wp:posOffset>1037617</wp:posOffset>
            </wp:positionH>
            <wp:positionV relativeFrom="paragraph">
              <wp:posOffset>621831</wp:posOffset>
            </wp:positionV>
            <wp:extent cx="3194050" cy="1619885"/>
            <wp:effectExtent l="0" t="0" r="6350" b="0"/>
            <wp:wrapTopAndBottom/>
            <wp:docPr id="899065038" name="Picture 1"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065038" name="Picture 1" descr="A graph of a number of numbers&#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3194050" cy="1619885"/>
                    </a:xfrm>
                    <a:prstGeom prst="rect">
                      <a:avLst/>
                    </a:prstGeom>
                    <a:noFill/>
                  </pic:spPr>
                </pic:pic>
              </a:graphicData>
            </a:graphic>
            <wp14:sizeRelH relativeFrom="page">
              <wp14:pctWidth>0</wp14:pctWidth>
            </wp14:sizeRelH>
            <wp14:sizeRelV relativeFrom="page">
              <wp14:pctHeight>0</wp14:pctHeight>
            </wp14:sizeRelV>
          </wp:anchor>
        </w:drawing>
      </w:r>
      <w:r w:rsidRPr="00A458F4">
        <w:rPr>
          <w:rFonts w:ascii="Times New Roman" w:hAnsi="Times New Roman" w:cs="Times New Roman"/>
          <w:b/>
          <w:bCs/>
          <w:sz w:val="24"/>
          <w:szCs w:val="24"/>
        </w:rPr>
        <w:t>Supp. Figure 1. Linear regression curve of probit values and logarithmic values of UC-MSC doses</w:t>
      </w:r>
    </w:p>
    <w:p w14:paraId="46146BC1" w14:textId="77777777" w:rsidR="00907046" w:rsidRPr="00A458F4" w:rsidRDefault="00907046" w:rsidP="0018062A">
      <w:pPr>
        <w:spacing w:line="360" w:lineRule="auto"/>
        <w:jc w:val="both"/>
        <w:rPr>
          <w:rFonts w:ascii="Times New Roman" w:hAnsi="Times New Roman" w:cs="Times New Roman"/>
          <w:sz w:val="24"/>
          <w:szCs w:val="24"/>
        </w:rPr>
      </w:pPr>
    </w:p>
    <w:p w14:paraId="28637436" w14:textId="630EB3CB" w:rsidR="0018062A" w:rsidRPr="00A458F4" w:rsidRDefault="0018062A" w:rsidP="0018062A">
      <w:pPr>
        <w:spacing w:line="360" w:lineRule="auto"/>
        <w:jc w:val="both"/>
        <w:rPr>
          <w:rFonts w:ascii="Times New Roman" w:hAnsi="Times New Roman" w:cs="Times New Roman"/>
          <w:sz w:val="24"/>
          <w:szCs w:val="24"/>
        </w:rPr>
      </w:pPr>
      <w:r w:rsidRPr="00A458F4">
        <w:rPr>
          <w:rFonts w:ascii="Times New Roman" w:hAnsi="Times New Roman" w:cs="Times New Roman"/>
          <w:sz w:val="24"/>
          <w:szCs w:val="24"/>
        </w:rPr>
        <w:t>Log10 (LD50) = x = (probit 50% + 6.1179)/4.0243 = (5 + 6.1179)/4.0243 = 2.76</w:t>
      </w:r>
    </w:p>
    <w:p w14:paraId="0A6DF5B1" w14:textId="77777777" w:rsidR="0018062A" w:rsidRPr="00A458F4" w:rsidRDefault="0018062A" w:rsidP="0018062A">
      <w:pPr>
        <w:spacing w:line="360" w:lineRule="auto"/>
        <w:jc w:val="both"/>
        <w:rPr>
          <w:rFonts w:ascii="Times New Roman" w:hAnsi="Times New Roman" w:cs="Times New Roman"/>
          <w:sz w:val="24"/>
          <w:szCs w:val="24"/>
        </w:rPr>
      </w:pPr>
      <w:r w:rsidRPr="00A458F4">
        <w:rPr>
          <w:rFonts w:ascii="Times New Roman" w:hAnsi="Times New Roman" w:cs="Times New Roman"/>
          <w:sz w:val="24"/>
          <w:szCs w:val="24"/>
        </w:rPr>
        <w:t xml:space="preserve">Therefore, </w:t>
      </w:r>
      <w:r w:rsidRPr="00A458F4">
        <w:rPr>
          <w:rFonts w:ascii="Times New Roman" w:eastAsia="Calibri" w:hAnsi="Times New Roman" w:cs="Times New Roman"/>
          <w:sz w:val="24"/>
          <w:szCs w:val="24"/>
        </w:rPr>
        <w:t xml:space="preserve">the </w:t>
      </w:r>
      <w:r w:rsidRPr="00A458F4">
        <w:rPr>
          <w:rFonts w:ascii="Times New Roman" w:hAnsi="Times New Roman" w:cs="Times New Roman"/>
          <w:sz w:val="24"/>
          <w:szCs w:val="24"/>
        </w:rPr>
        <w:t>LD50 (UC-MSCs) = 10</w:t>
      </w:r>
      <w:r w:rsidRPr="00A458F4">
        <w:rPr>
          <w:rFonts w:ascii="Times New Roman" w:hAnsi="Times New Roman" w:cs="Times New Roman"/>
          <w:sz w:val="24"/>
          <w:szCs w:val="24"/>
          <w:vertAlign w:val="superscript"/>
        </w:rPr>
        <w:t>2.76</w:t>
      </w:r>
      <w:r w:rsidRPr="00A458F4">
        <w:rPr>
          <w:rFonts w:ascii="Times New Roman" w:eastAsia="Calibri" w:hAnsi="Times New Roman" w:cs="Times New Roman"/>
          <w:sz w:val="24"/>
          <w:szCs w:val="24"/>
          <w:vertAlign w:val="superscript"/>
        </w:rPr>
        <w:t xml:space="preserve"> </w:t>
      </w:r>
      <w:r w:rsidRPr="00A458F4">
        <w:rPr>
          <w:rFonts w:ascii="Times New Roman" w:hAnsi="Times New Roman" w:cs="Times New Roman"/>
          <w:sz w:val="24"/>
          <w:szCs w:val="24"/>
        </w:rPr>
        <w:t>= 575 (x10</w:t>
      </w:r>
      <w:r w:rsidRPr="00A458F4">
        <w:rPr>
          <w:rFonts w:ascii="Times New Roman" w:hAnsi="Times New Roman" w:cs="Times New Roman"/>
          <w:sz w:val="24"/>
          <w:szCs w:val="24"/>
          <w:vertAlign w:val="superscript"/>
        </w:rPr>
        <w:t>6</w:t>
      </w:r>
      <w:r w:rsidRPr="00A458F4">
        <w:rPr>
          <w:rFonts w:ascii="Times New Roman" w:hAnsi="Times New Roman" w:cs="Times New Roman"/>
          <w:sz w:val="24"/>
          <w:szCs w:val="24"/>
        </w:rPr>
        <w:t xml:space="preserve"> cells/kg)</w:t>
      </w:r>
      <w:r w:rsidRPr="00A458F4">
        <w:rPr>
          <w:rFonts w:ascii="Times New Roman" w:eastAsia="Calibri" w:hAnsi="Times New Roman" w:cs="Times New Roman"/>
          <w:sz w:val="24"/>
          <w:szCs w:val="24"/>
        </w:rPr>
        <w:t>.</w:t>
      </w:r>
    </w:p>
    <w:p w14:paraId="37773203" w14:textId="0D2125A9" w:rsidR="0018062A" w:rsidRPr="00A458F4" w:rsidRDefault="00907046" w:rsidP="0018062A">
      <w:pPr>
        <w:rPr>
          <w:rFonts w:ascii="Times New Roman" w:hAnsi="Times New Roman" w:cs="Times New Roman"/>
          <w:b/>
          <w:bCs/>
          <w:sz w:val="24"/>
          <w:szCs w:val="24"/>
        </w:rPr>
      </w:pPr>
      <w:r w:rsidRPr="00A458F4">
        <w:rPr>
          <w:rFonts w:ascii="Times New Roman" w:hAnsi="Times New Roman" w:cs="Times New Roman"/>
          <w:b/>
          <w:bCs/>
          <w:noProof/>
          <w:sz w:val="24"/>
          <w:szCs w:val="24"/>
        </w:rPr>
        <w:lastRenderedPageBreak/>
        <w:drawing>
          <wp:anchor distT="0" distB="0" distL="114300" distR="114300" simplePos="0" relativeHeight="251660288" behindDoc="0" locked="0" layoutInCell="1" allowOverlap="1" wp14:anchorId="0246E532" wp14:editId="79CD21FA">
            <wp:simplePos x="0" y="0"/>
            <wp:positionH relativeFrom="column">
              <wp:posOffset>993913</wp:posOffset>
            </wp:positionH>
            <wp:positionV relativeFrom="paragraph">
              <wp:posOffset>480060</wp:posOffset>
            </wp:positionV>
            <wp:extent cx="3154045" cy="1594485"/>
            <wp:effectExtent l="0" t="0" r="8255" b="5715"/>
            <wp:wrapTopAndBottom/>
            <wp:docPr id="352805500" name="Picture 2" descr="A graph of a number of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805500" name="Picture 2" descr="A graph of a number of numbers and a lin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3154045" cy="1594485"/>
                    </a:xfrm>
                    <a:prstGeom prst="rect">
                      <a:avLst/>
                    </a:prstGeom>
                    <a:noFill/>
                  </pic:spPr>
                </pic:pic>
              </a:graphicData>
            </a:graphic>
          </wp:anchor>
        </w:drawing>
      </w:r>
      <w:r w:rsidR="0018062A" w:rsidRPr="00A458F4">
        <w:rPr>
          <w:rFonts w:ascii="Times New Roman" w:hAnsi="Times New Roman" w:cs="Times New Roman"/>
          <w:b/>
          <w:bCs/>
          <w:sz w:val="24"/>
          <w:szCs w:val="24"/>
        </w:rPr>
        <w:t>Supp. Figure 2. Linear regression curve of probit values and logarithmic values of AD-MSC doses</w:t>
      </w:r>
    </w:p>
    <w:p w14:paraId="72C66518" w14:textId="40A25666" w:rsidR="0018062A" w:rsidRPr="00A458F4" w:rsidRDefault="0018062A" w:rsidP="0018062A">
      <w:pPr>
        <w:rPr>
          <w:rFonts w:ascii="Times New Roman" w:hAnsi="Times New Roman" w:cs="Times New Roman"/>
          <w:b/>
          <w:bCs/>
          <w:sz w:val="24"/>
          <w:szCs w:val="24"/>
        </w:rPr>
      </w:pPr>
    </w:p>
    <w:p w14:paraId="402138EA" w14:textId="77777777" w:rsidR="0018062A" w:rsidRPr="00A458F4" w:rsidRDefault="0018062A" w:rsidP="0018062A">
      <w:pPr>
        <w:spacing w:line="360" w:lineRule="auto"/>
        <w:jc w:val="both"/>
        <w:rPr>
          <w:rFonts w:ascii="Times New Roman" w:hAnsi="Times New Roman" w:cs="Times New Roman"/>
          <w:sz w:val="24"/>
          <w:szCs w:val="24"/>
        </w:rPr>
      </w:pPr>
      <w:r w:rsidRPr="00A458F4">
        <w:rPr>
          <w:rFonts w:ascii="Times New Roman" w:hAnsi="Times New Roman" w:cs="Times New Roman"/>
          <w:sz w:val="24"/>
          <w:szCs w:val="24"/>
        </w:rPr>
        <w:t>Log10 (LD50) = x = (probit 50% + 5.3505)/3.6099 = (5 + 5.3505)/3.6099 = 2.87</w:t>
      </w:r>
    </w:p>
    <w:p w14:paraId="559131C3" w14:textId="77777777" w:rsidR="0018062A" w:rsidRPr="00A458F4" w:rsidRDefault="0018062A" w:rsidP="0018062A">
      <w:pPr>
        <w:spacing w:line="360" w:lineRule="auto"/>
        <w:jc w:val="both"/>
        <w:rPr>
          <w:rFonts w:ascii="Times New Roman" w:hAnsi="Times New Roman" w:cs="Times New Roman"/>
          <w:sz w:val="24"/>
          <w:szCs w:val="24"/>
        </w:rPr>
      </w:pPr>
      <w:r w:rsidRPr="00A458F4">
        <w:rPr>
          <w:rFonts w:ascii="Times New Roman" w:hAnsi="Times New Roman" w:cs="Times New Roman"/>
          <w:sz w:val="24"/>
          <w:szCs w:val="24"/>
        </w:rPr>
        <w:t>Therefore, LD50 (AD-MSCs) = 10</w:t>
      </w:r>
      <w:r w:rsidRPr="00A458F4">
        <w:rPr>
          <w:rFonts w:ascii="Times New Roman" w:hAnsi="Times New Roman" w:cs="Times New Roman"/>
          <w:sz w:val="24"/>
          <w:szCs w:val="24"/>
          <w:vertAlign w:val="superscript"/>
        </w:rPr>
        <w:t xml:space="preserve">2.87 </w:t>
      </w:r>
      <w:r w:rsidRPr="00A458F4">
        <w:rPr>
          <w:rFonts w:ascii="Times New Roman" w:hAnsi="Times New Roman" w:cs="Times New Roman"/>
          <w:sz w:val="24"/>
          <w:szCs w:val="24"/>
        </w:rPr>
        <w:t>= 741 (x10</w:t>
      </w:r>
      <w:r w:rsidRPr="00A458F4">
        <w:rPr>
          <w:rFonts w:ascii="Times New Roman" w:hAnsi="Times New Roman" w:cs="Times New Roman"/>
          <w:sz w:val="24"/>
          <w:szCs w:val="24"/>
          <w:vertAlign w:val="superscript"/>
        </w:rPr>
        <w:t>6</w:t>
      </w:r>
      <w:r w:rsidRPr="00A458F4">
        <w:rPr>
          <w:rFonts w:ascii="Times New Roman" w:hAnsi="Times New Roman" w:cs="Times New Roman"/>
          <w:sz w:val="24"/>
          <w:szCs w:val="24"/>
        </w:rPr>
        <w:t xml:space="preserve"> cells/kg)</w:t>
      </w:r>
    </w:p>
    <w:p w14:paraId="3E2EEDFE" w14:textId="77777777" w:rsidR="0018062A" w:rsidRPr="00A458F4" w:rsidRDefault="0018062A" w:rsidP="0018062A">
      <w:pPr>
        <w:rPr>
          <w:rFonts w:ascii="Times New Roman" w:hAnsi="Times New Roman" w:cs="Times New Roman"/>
          <w:b/>
          <w:bCs/>
          <w:sz w:val="24"/>
          <w:szCs w:val="24"/>
        </w:rPr>
      </w:pPr>
    </w:p>
    <w:p w14:paraId="296CEF2F" w14:textId="76A16807" w:rsidR="0018062A" w:rsidRPr="00A458F4" w:rsidRDefault="0018062A" w:rsidP="00F02808">
      <w:pPr>
        <w:jc w:val="both"/>
        <w:rPr>
          <w:rFonts w:ascii="Times New Roman" w:hAnsi="Times New Roman" w:cs="Times New Roman"/>
          <w:b/>
          <w:bCs/>
          <w:sz w:val="24"/>
          <w:szCs w:val="24"/>
          <w:vertAlign w:val="superscript"/>
        </w:rPr>
      </w:pPr>
      <w:r w:rsidRPr="00A458F4">
        <w:rPr>
          <w:rFonts w:ascii="Times New Roman" w:hAnsi="Times New Roman" w:cs="Times New Roman"/>
          <w:b/>
          <w:bCs/>
          <w:sz w:val="24"/>
          <w:szCs w:val="24"/>
        </w:rPr>
        <w:t>References</w:t>
      </w:r>
    </w:p>
    <w:p w14:paraId="0908C4FB" w14:textId="77777777" w:rsidR="00A458F4" w:rsidRPr="00A458F4" w:rsidRDefault="0048252C" w:rsidP="00A458F4">
      <w:pPr>
        <w:pStyle w:val="Bibliography"/>
        <w:rPr>
          <w:rFonts w:ascii="Times New Roman" w:hAnsi="Times New Roman" w:cs="Times New Roman"/>
          <w:sz w:val="24"/>
          <w:szCs w:val="24"/>
        </w:rPr>
      </w:pPr>
      <w:r w:rsidRPr="00A458F4">
        <w:rPr>
          <w:rFonts w:ascii="Times New Roman" w:hAnsi="Times New Roman" w:cs="Times New Roman"/>
          <w:b/>
          <w:bCs/>
          <w:sz w:val="24"/>
          <w:szCs w:val="24"/>
          <w:vertAlign w:val="superscript"/>
        </w:rPr>
        <w:fldChar w:fldCharType="begin"/>
      </w:r>
      <w:r w:rsidR="00A458F4" w:rsidRPr="00A458F4">
        <w:rPr>
          <w:rFonts w:ascii="Times New Roman" w:hAnsi="Times New Roman" w:cs="Times New Roman"/>
          <w:b/>
          <w:bCs/>
          <w:sz w:val="24"/>
          <w:szCs w:val="24"/>
          <w:vertAlign w:val="superscript"/>
        </w:rPr>
        <w:instrText xml:space="preserve"> ADDIN ZOTERO_BIBL {"uncited":[],"omitted":[],"custom":[]} CSL_BIBLIOGRAPHY </w:instrText>
      </w:r>
      <w:r w:rsidRPr="00A458F4">
        <w:rPr>
          <w:rFonts w:ascii="Times New Roman" w:hAnsi="Times New Roman" w:cs="Times New Roman"/>
          <w:b/>
          <w:bCs/>
          <w:sz w:val="24"/>
          <w:szCs w:val="24"/>
          <w:vertAlign w:val="superscript"/>
        </w:rPr>
        <w:fldChar w:fldCharType="separate"/>
      </w:r>
      <w:r w:rsidR="00A458F4" w:rsidRPr="00A458F4">
        <w:rPr>
          <w:rFonts w:ascii="Times New Roman" w:hAnsi="Times New Roman" w:cs="Times New Roman"/>
          <w:sz w:val="24"/>
          <w:szCs w:val="24"/>
        </w:rPr>
        <w:t xml:space="preserve">1. </w:t>
      </w:r>
      <w:r w:rsidR="00A458F4" w:rsidRPr="00A458F4">
        <w:rPr>
          <w:rFonts w:ascii="Times New Roman" w:hAnsi="Times New Roman" w:cs="Times New Roman"/>
          <w:sz w:val="24"/>
          <w:szCs w:val="24"/>
        </w:rPr>
        <w:tab/>
        <w:t xml:space="preserve">Arya J, Bist R. The diverse ways to determine experimental dose in animals. HPMIJ. 2022 Aug 9;5(2):21–4. </w:t>
      </w:r>
    </w:p>
    <w:p w14:paraId="307980D7" w14:textId="77777777" w:rsidR="00A458F4" w:rsidRPr="00A458F4" w:rsidRDefault="00A458F4" w:rsidP="00A458F4">
      <w:pPr>
        <w:pStyle w:val="Bibliography"/>
        <w:rPr>
          <w:rFonts w:ascii="Times New Roman" w:hAnsi="Times New Roman" w:cs="Times New Roman"/>
          <w:sz w:val="24"/>
          <w:szCs w:val="24"/>
        </w:rPr>
      </w:pPr>
      <w:r w:rsidRPr="00A458F4">
        <w:rPr>
          <w:rFonts w:ascii="Times New Roman" w:hAnsi="Times New Roman" w:cs="Times New Roman"/>
          <w:sz w:val="24"/>
          <w:szCs w:val="24"/>
        </w:rPr>
        <w:t xml:space="preserve">2. </w:t>
      </w:r>
      <w:r w:rsidRPr="00A458F4">
        <w:rPr>
          <w:rFonts w:ascii="Times New Roman" w:hAnsi="Times New Roman" w:cs="Times New Roman"/>
          <w:sz w:val="24"/>
          <w:szCs w:val="24"/>
        </w:rPr>
        <w:tab/>
        <w:t xml:space="preserve">Hamidi M, </w:t>
      </w:r>
      <w:proofErr w:type="spellStart"/>
      <w:r w:rsidRPr="00A458F4">
        <w:rPr>
          <w:rFonts w:ascii="Times New Roman" w:hAnsi="Times New Roman" w:cs="Times New Roman"/>
          <w:sz w:val="24"/>
          <w:szCs w:val="24"/>
        </w:rPr>
        <w:t>Jovanova</w:t>
      </w:r>
      <w:proofErr w:type="spellEnd"/>
      <w:r w:rsidRPr="00A458F4">
        <w:rPr>
          <w:rFonts w:ascii="Times New Roman" w:hAnsi="Times New Roman" w:cs="Times New Roman"/>
          <w:sz w:val="24"/>
          <w:szCs w:val="24"/>
        </w:rPr>
        <w:t xml:space="preserve"> B, </w:t>
      </w:r>
      <w:proofErr w:type="spellStart"/>
      <w:r w:rsidRPr="00A458F4">
        <w:rPr>
          <w:rFonts w:ascii="Times New Roman" w:hAnsi="Times New Roman" w:cs="Times New Roman"/>
          <w:sz w:val="24"/>
          <w:szCs w:val="24"/>
        </w:rPr>
        <w:t>Kadifkova</w:t>
      </w:r>
      <w:proofErr w:type="spellEnd"/>
      <w:r w:rsidRPr="00A458F4">
        <w:rPr>
          <w:rFonts w:ascii="Times New Roman" w:hAnsi="Times New Roman" w:cs="Times New Roman"/>
          <w:sz w:val="24"/>
          <w:szCs w:val="24"/>
        </w:rPr>
        <w:t xml:space="preserve"> </w:t>
      </w:r>
      <w:proofErr w:type="spellStart"/>
      <w:r w:rsidRPr="00A458F4">
        <w:rPr>
          <w:rFonts w:ascii="Times New Roman" w:hAnsi="Times New Roman" w:cs="Times New Roman"/>
          <w:sz w:val="24"/>
          <w:szCs w:val="24"/>
        </w:rPr>
        <w:t>Panovska</w:t>
      </w:r>
      <w:proofErr w:type="spellEnd"/>
      <w:r w:rsidRPr="00A458F4">
        <w:rPr>
          <w:rFonts w:ascii="Times New Roman" w:hAnsi="Times New Roman" w:cs="Times New Roman"/>
          <w:sz w:val="24"/>
          <w:szCs w:val="24"/>
        </w:rPr>
        <w:t xml:space="preserve"> T. Toxicological evaluation of the plant products using Brine Shrimp (Artemia salina L.) model. Macedonian Pharmaceutical Bulletin. 2014 Apr </w:t>
      </w:r>
      <w:proofErr w:type="gramStart"/>
      <w:r w:rsidRPr="00A458F4">
        <w:rPr>
          <w:rFonts w:ascii="Times New Roman" w:hAnsi="Times New Roman" w:cs="Times New Roman"/>
          <w:sz w:val="24"/>
          <w:szCs w:val="24"/>
        </w:rPr>
        <w:t>1;60:9</w:t>
      </w:r>
      <w:proofErr w:type="gramEnd"/>
      <w:r w:rsidRPr="00A458F4">
        <w:rPr>
          <w:rFonts w:ascii="Times New Roman" w:hAnsi="Times New Roman" w:cs="Times New Roman"/>
          <w:sz w:val="24"/>
          <w:szCs w:val="24"/>
        </w:rPr>
        <w:t xml:space="preserve">–18. </w:t>
      </w:r>
    </w:p>
    <w:p w14:paraId="2B564E69" w14:textId="6B3E6224" w:rsidR="00A2684D" w:rsidRPr="00A458F4" w:rsidRDefault="0048252C" w:rsidP="00F02808">
      <w:pPr>
        <w:jc w:val="both"/>
        <w:rPr>
          <w:rFonts w:ascii="Times New Roman" w:hAnsi="Times New Roman" w:cs="Times New Roman"/>
          <w:b/>
          <w:bCs/>
          <w:sz w:val="24"/>
          <w:szCs w:val="24"/>
          <w:vertAlign w:val="superscript"/>
        </w:rPr>
      </w:pPr>
      <w:r w:rsidRPr="00A458F4">
        <w:rPr>
          <w:rFonts w:ascii="Times New Roman" w:hAnsi="Times New Roman" w:cs="Times New Roman"/>
          <w:b/>
          <w:bCs/>
          <w:sz w:val="24"/>
          <w:szCs w:val="24"/>
          <w:vertAlign w:val="superscript"/>
        </w:rPr>
        <w:fldChar w:fldCharType="end"/>
      </w:r>
    </w:p>
    <w:sectPr w:rsidR="00A2684D" w:rsidRPr="00A458F4" w:rsidSect="001806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84D"/>
    <w:rsid w:val="0018062A"/>
    <w:rsid w:val="001D400C"/>
    <w:rsid w:val="00212213"/>
    <w:rsid w:val="002F33ED"/>
    <w:rsid w:val="00321AFC"/>
    <w:rsid w:val="00412E6B"/>
    <w:rsid w:val="0048252C"/>
    <w:rsid w:val="004909A3"/>
    <w:rsid w:val="005821E1"/>
    <w:rsid w:val="005E1919"/>
    <w:rsid w:val="005E2B56"/>
    <w:rsid w:val="005F47AF"/>
    <w:rsid w:val="006B0074"/>
    <w:rsid w:val="00861183"/>
    <w:rsid w:val="00895AB7"/>
    <w:rsid w:val="00907046"/>
    <w:rsid w:val="00982661"/>
    <w:rsid w:val="00A2684D"/>
    <w:rsid w:val="00A458F4"/>
    <w:rsid w:val="00AD57C5"/>
    <w:rsid w:val="00BD03D0"/>
    <w:rsid w:val="00C730E7"/>
    <w:rsid w:val="00DF0F41"/>
    <w:rsid w:val="00E43DC1"/>
    <w:rsid w:val="00E743F0"/>
    <w:rsid w:val="00F02808"/>
    <w:rsid w:val="00F06045"/>
    <w:rsid w:val="00F621D9"/>
    <w:rsid w:val="00FB4D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9B21C"/>
  <w15:chartTrackingRefBased/>
  <w15:docId w15:val="{BFA22F10-C329-4A86-AA9F-388091C1E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062A"/>
    <w:pPr>
      <w:spacing w:line="259" w:lineRule="auto"/>
    </w:pPr>
    <w:rPr>
      <w:kern w:val="0"/>
      <w:sz w:val="22"/>
      <w:szCs w:val="22"/>
      <w:lang w:val="en-US"/>
      <w14:ligatures w14:val="none"/>
    </w:rPr>
  </w:style>
  <w:style w:type="paragraph" w:styleId="Heading1">
    <w:name w:val="heading 1"/>
    <w:basedOn w:val="Normal"/>
    <w:next w:val="Normal"/>
    <w:link w:val="Heading1Char"/>
    <w:uiPriority w:val="9"/>
    <w:qFormat/>
    <w:rsid w:val="00A2684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14:ligatures w14:val="standardContextual"/>
    </w:rPr>
  </w:style>
  <w:style w:type="paragraph" w:styleId="Heading2">
    <w:name w:val="heading 2"/>
    <w:basedOn w:val="Normal"/>
    <w:next w:val="Normal"/>
    <w:link w:val="Heading2Char"/>
    <w:uiPriority w:val="9"/>
    <w:semiHidden/>
    <w:unhideWhenUsed/>
    <w:qFormat/>
    <w:rsid w:val="00A2684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A2684D"/>
    <w:pPr>
      <w:keepNext/>
      <w:keepLines/>
      <w:spacing w:before="160" w:after="80" w:line="278" w:lineRule="auto"/>
      <w:outlineLvl w:val="2"/>
    </w:pPr>
    <w:rPr>
      <w:rFonts w:eastAsiaTheme="majorEastAsia" w:cstheme="majorBidi"/>
      <w:color w:val="0F4761" w:themeColor="accent1" w:themeShade="BF"/>
      <w:kern w:val="2"/>
      <w:sz w:val="28"/>
      <w:szCs w:val="28"/>
      <w:lang w:val="en-GB"/>
      <w14:ligatures w14:val="standardContextual"/>
    </w:rPr>
  </w:style>
  <w:style w:type="paragraph" w:styleId="Heading4">
    <w:name w:val="heading 4"/>
    <w:basedOn w:val="Normal"/>
    <w:next w:val="Normal"/>
    <w:link w:val="Heading4Char"/>
    <w:uiPriority w:val="9"/>
    <w:semiHidden/>
    <w:unhideWhenUsed/>
    <w:qFormat/>
    <w:rsid w:val="00A2684D"/>
    <w:pPr>
      <w:keepNext/>
      <w:keepLines/>
      <w:spacing w:before="80" w:after="40" w:line="278" w:lineRule="auto"/>
      <w:outlineLvl w:val="3"/>
    </w:pPr>
    <w:rPr>
      <w:rFonts w:eastAsiaTheme="majorEastAsia" w:cstheme="majorBidi"/>
      <w:i/>
      <w:iCs/>
      <w:color w:val="0F4761" w:themeColor="accent1" w:themeShade="BF"/>
      <w:kern w:val="2"/>
      <w:sz w:val="24"/>
      <w:szCs w:val="24"/>
      <w:lang w:val="en-GB"/>
      <w14:ligatures w14:val="standardContextual"/>
    </w:rPr>
  </w:style>
  <w:style w:type="paragraph" w:styleId="Heading5">
    <w:name w:val="heading 5"/>
    <w:basedOn w:val="Normal"/>
    <w:next w:val="Normal"/>
    <w:link w:val="Heading5Char"/>
    <w:uiPriority w:val="9"/>
    <w:semiHidden/>
    <w:unhideWhenUsed/>
    <w:qFormat/>
    <w:rsid w:val="00A2684D"/>
    <w:pPr>
      <w:keepNext/>
      <w:keepLines/>
      <w:spacing w:before="80" w:after="40" w:line="278" w:lineRule="auto"/>
      <w:outlineLvl w:val="4"/>
    </w:pPr>
    <w:rPr>
      <w:rFonts w:eastAsiaTheme="majorEastAsia" w:cstheme="majorBidi"/>
      <w:color w:val="0F4761" w:themeColor="accent1" w:themeShade="BF"/>
      <w:kern w:val="2"/>
      <w:sz w:val="24"/>
      <w:szCs w:val="24"/>
      <w:lang w:val="en-GB"/>
      <w14:ligatures w14:val="standardContextual"/>
    </w:rPr>
  </w:style>
  <w:style w:type="paragraph" w:styleId="Heading6">
    <w:name w:val="heading 6"/>
    <w:basedOn w:val="Normal"/>
    <w:next w:val="Normal"/>
    <w:link w:val="Heading6Char"/>
    <w:uiPriority w:val="9"/>
    <w:semiHidden/>
    <w:unhideWhenUsed/>
    <w:qFormat/>
    <w:rsid w:val="00A2684D"/>
    <w:pPr>
      <w:keepNext/>
      <w:keepLines/>
      <w:spacing w:before="40" w:after="0" w:line="278" w:lineRule="auto"/>
      <w:outlineLvl w:val="5"/>
    </w:pPr>
    <w:rPr>
      <w:rFonts w:eastAsiaTheme="majorEastAsia" w:cstheme="majorBidi"/>
      <w:i/>
      <w:iCs/>
      <w:color w:val="595959" w:themeColor="text1" w:themeTint="A6"/>
      <w:kern w:val="2"/>
      <w:sz w:val="24"/>
      <w:szCs w:val="24"/>
      <w:lang w:val="en-GB"/>
      <w14:ligatures w14:val="standardContextual"/>
    </w:rPr>
  </w:style>
  <w:style w:type="paragraph" w:styleId="Heading7">
    <w:name w:val="heading 7"/>
    <w:basedOn w:val="Normal"/>
    <w:next w:val="Normal"/>
    <w:link w:val="Heading7Char"/>
    <w:uiPriority w:val="9"/>
    <w:semiHidden/>
    <w:unhideWhenUsed/>
    <w:qFormat/>
    <w:rsid w:val="00A2684D"/>
    <w:pPr>
      <w:keepNext/>
      <w:keepLines/>
      <w:spacing w:before="40" w:after="0" w:line="278" w:lineRule="auto"/>
      <w:outlineLvl w:val="6"/>
    </w:pPr>
    <w:rPr>
      <w:rFonts w:eastAsiaTheme="majorEastAsia" w:cstheme="majorBidi"/>
      <w:color w:val="595959" w:themeColor="text1" w:themeTint="A6"/>
      <w:kern w:val="2"/>
      <w:sz w:val="24"/>
      <w:szCs w:val="24"/>
      <w:lang w:val="en-GB"/>
      <w14:ligatures w14:val="standardContextual"/>
    </w:rPr>
  </w:style>
  <w:style w:type="paragraph" w:styleId="Heading8">
    <w:name w:val="heading 8"/>
    <w:basedOn w:val="Normal"/>
    <w:next w:val="Normal"/>
    <w:link w:val="Heading8Char"/>
    <w:uiPriority w:val="9"/>
    <w:semiHidden/>
    <w:unhideWhenUsed/>
    <w:qFormat/>
    <w:rsid w:val="00A2684D"/>
    <w:pPr>
      <w:keepNext/>
      <w:keepLines/>
      <w:spacing w:after="0" w:line="278" w:lineRule="auto"/>
      <w:outlineLvl w:val="7"/>
    </w:pPr>
    <w:rPr>
      <w:rFonts w:eastAsiaTheme="majorEastAsia" w:cstheme="majorBidi"/>
      <w:i/>
      <w:iCs/>
      <w:color w:val="272727" w:themeColor="text1" w:themeTint="D8"/>
      <w:kern w:val="2"/>
      <w:sz w:val="24"/>
      <w:szCs w:val="24"/>
      <w:lang w:val="en-GB"/>
      <w14:ligatures w14:val="standardContextual"/>
    </w:rPr>
  </w:style>
  <w:style w:type="paragraph" w:styleId="Heading9">
    <w:name w:val="heading 9"/>
    <w:basedOn w:val="Normal"/>
    <w:next w:val="Normal"/>
    <w:link w:val="Heading9Char"/>
    <w:uiPriority w:val="9"/>
    <w:semiHidden/>
    <w:unhideWhenUsed/>
    <w:qFormat/>
    <w:rsid w:val="00A2684D"/>
    <w:pPr>
      <w:keepNext/>
      <w:keepLines/>
      <w:spacing w:after="0" w:line="278" w:lineRule="auto"/>
      <w:outlineLvl w:val="8"/>
    </w:pPr>
    <w:rPr>
      <w:rFonts w:eastAsiaTheme="majorEastAsia" w:cstheme="majorBidi"/>
      <w:color w:val="272727" w:themeColor="text1" w:themeTint="D8"/>
      <w:kern w:val="2"/>
      <w:sz w:val="24"/>
      <w:szCs w:val="24"/>
      <w:lang w:val="en-GB"/>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8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68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68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68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68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68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68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68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684D"/>
    <w:rPr>
      <w:rFonts w:eastAsiaTheme="majorEastAsia" w:cstheme="majorBidi"/>
      <w:color w:val="272727" w:themeColor="text1" w:themeTint="D8"/>
    </w:rPr>
  </w:style>
  <w:style w:type="paragraph" w:styleId="Title">
    <w:name w:val="Title"/>
    <w:basedOn w:val="Normal"/>
    <w:next w:val="Normal"/>
    <w:link w:val="TitleChar"/>
    <w:uiPriority w:val="10"/>
    <w:qFormat/>
    <w:rsid w:val="00A2684D"/>
    <w:pPr>
      <w:spacing w:after="80" w:line="240" w:lineRule="auto"/>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A268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684D"/>
    <w:pPr>
      <w:numPr>
        <w:ilvl w:val="1"/>
      </w:numPr>
      <w:spacing w:line="278" w:lineRule="auto"/>
    </w:pPr>
    <w:rPr>
      <w:rFonts w:eastAsiaTheme="majorEastAsia"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A268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684D"/>
    <w:pPr>
      <w:spacing w:before="160" w:line="278" w:lineRule="auto"/>
      <w:jc w:val="center"/>
    </w:pPr>
    <w:rPr>
      <w:i/>
      <w:iCs/>
      <w:color w:val="404040" w:themeColor="text1" w:themeTint="BF"/>
      <w:kern w:val="2"/>
      <w:sz w:val="24"/>
      <w:szCs w:val="24"/>
      <w:lang w:val="en-GB"/>
      <w14:ligatures w14:val="standardContextual"/>
    </w:rPr>
  </w:style>
  <w:style w:type="character" w:customStyle="1" w:styleId="QuoteChar">
    <w:name w:val="Quote Char"/>
    <w:basedOn w:val="DefaultParagraphFont"/>
    <w:link w:val="Quote"/>
    <w:uiPriority w:val="29"/>
    <w:rsid w:val="00A2684D"/>
    <w:rPr>
      <w:i/>
      <w:iCs/>
      <w:color w:val="404040" w:themeColor="text1" w:themeTint="BF"/>
    </w:rPr>
  </w:style>
  <w:style w:type="paragraph" w:styleId="ListParagraph">
    <w:name w:val="List Paragraph"/>
    <w:basedOn w:val="Normal"/>
    <w:uiPriority w:val="34"/>
    <w:qFormat/>
    <w:rsid w:val="00A2684D"/>
    <w:pPr>
      <w:spacing w:line="278" w:lineRule="auto"/>
      <w:ind w:left="720"/>
      <w:contextualSpacing/>
    </w:pPr>
    <w:rPr>
      <w:kern w:val="2"/>
      <w:sz w:val="24"/>
      <w:szCs w:val="24"/>
      <w:lang w:val="en-GB"/>
      <w14:ligatures w14:val="standardContextual"/>
    </w:rPr>
  </w:style>
  <w:style w:type="character" w:styleId="IntenseEmphasis">
    <w:name w:val="Intense Emphasis"/>
    <w:basedOn w:val="DefaultParagraphFont"/>
    <w:uiPriority w:val="21"/>
    <w:qFormat/>
    <w:rsid w:val="00A2684D"/>
    <w:rPr>
      <w:i/>
      <w:iCs/>
      <w:color w:val="0F4761" w:themeColor="accent1" w:themeShade="BF"/>
    </w:rPr>
  </w:style>
  <w:style w:type="paragraph" w:styleId="IntenseQuote">
    <w:name w:val="Intense Quote"/>
    <w:basedOn w:val="Normal"/>
    <w:next w:val="Normal"/>
    <w:link w:val="IntenseQuoteChar"/>
    <w:uiPriority w:val="30"/>
    <w:qFormat/>
    <w:rsid w:val="00A2684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GB"/>
      <w14:ligatures w14:val="standardContextual"/>
    </w:rPr>
  </w:style>
  <w:style w:type="character" w:customStyle="1" w:styleId="IntenseQuoteChar">
    <w:name w:val="Intense Quote Char"/>
    <w:basedOn w:val="DefaultParagraphFont"/>
    <w:link w:val="IntenseQuote"/>
    <w:uiPriority w:val="30"/>
    <w:rsid w:val="00A2684D"/>
    <w:rPr>
      <w:i/>
      <w:iCs/>
      <w:color w:val="0F4761" w:themeColor="accent1" w:themeShade="BF"/>
    </w:rPr>
  </w:style>
  <w:style w:type="character" w:styleId="IntenseReference">
    <w:name w:val="Intense Reference"/>
    <w:basedOn w:val="DefaultParagraphFont"/>
    <w:uiPriority w:val="32"/>
    <w:qFormat/>
    <w:rsid w:val="00A2684D"/>
    <w:rPr>
      <w:b/>
      <w:bCs/>
      <w:smallCaps/>
      <w:color w:val="0F4761" w:themeColor="accent1" w:themeShade="BF"/>
      <w:spacing w:val="5"/>
    </w:rPr>
  </w:style>
  <w:style w:type="paragraph" w:styleId="Bibliography">
    <w:name w:val="Bibliography"/>
    <w:basedOn w:val="Normal"/>
    <w:next w:val="Normal"/>
    <w:uiPriority w:val="37"/>
    <w:unhideWhenUsed/>
    <w:rsid w:val="0018062A"/>
    <w:pPr>
      <w:tabs>
        <w:tab w:val="left" w:pos="384"/>
      </w:tabs>
      <w:spacing w:after="240" w:line="240" w:lineRule="auto"/>
      <w:ind w:left="384" w:hanging="384"/>
    </w:pPr>
  </w:style>
  <w:style w:type="character" w:styleId="Hyperlink">
    <w:name w:val="Hyperlink"/>
    <w:basedOn w:val="DefaultParagraphFont"/>
    <w:uiPriority w:val="99"/>
    <w:unhideWhenUsed/>
    <w:rsid w:val="00982661"/>
    <w:rPr>
      <w:color w:val="467886" w:themeColor="hyperlink"/>
      <w:u w:val="single"/>
    </w:rPr>
  </w:style>
  <w:style w:type="character" w:styleId="UnresolvedMention">
    <w:name w:val="Unresolved Mention"/>
    <w:basedOn w:val="DefaultParagraphFont"/>
    <w:uiPriority w:val="99"/>
    <w:semiHidden/>
    <w:unhideWhenUsed/>
    <w:rsid w:val="009826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992</Words>
  <Characters>5661</Characters>
  <Application>Microsoft Office Word</Application>
  <DocSecurity>0</DocSecurity>
  <Lines>47</Lines>
  <Paragraphs>13</Paragraphs>
  <ScaleCrop>false</ScaleCrop>
  <Company/>
  <LinksUpToDate>false</LinksUpToDate>
  <CharactersWithSpaces>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nhung dinh</dc:creator>
  <cp:keywords/>
  <dc:description/>
  <cp:lastModifiedBy>nhung dinh</cp:lastModifiedBy>
  <cp:revision>28</cp:revision>
  <dcterms:created xsi:type="dcterms:W3CDTF">2024-08-13T09:24:00Z</dcterms:created>
  <dcterms:modified xsi:type="dcterms:W3CDTF">2024-09-20T09:27:00Z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id="8vklg2p4"/&gt;&lt;style id="http://www.zotero.org/styles/vancouver-brackets" locale="en-US" hasBibliography="1" bibliographyStyleHasBeenSet="1"/&gt;&lt;prefs&gt;&lt;pref name="fieldType" value="Field"/&gt;&lt;/prefs&gt;&lt;/d</vt:lpwstr>
  </property>
  <property fmtid="{D5CDD505-2E9C-101B-9397-08002B2CF9AE}" pid="3" name="ZOTERO_PREF_2">
    <vt:lpwstr>ata&gt;</vt:lpwstr>
  </property>
</Properties>
</file>