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608FD" w14:textId="08FA0805" w:rsidR="006630C7" w:rsidRPr="006630C7" w:rsidRDefault="006630C7" w:rsidP="006630C7">
      <w:pPr>
        <w:keepNext/>
        <w:keepLines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eastAsia="Arial"/>
          <w:b/>
          <w:kern w:val="0"/>
          <w:szCs w:val="32"/>
          <w:lang w:eastAsia="en-GB"/>
          <w14:ligatures w14:val="none"/>
        </w:rPr>
      </w:pPr>
      <w:r w:rsidRPr="006630C7">
        <w:rPr>
          <w:rFonts w:eastAsia="Arial"/>
          <w:b/>
          <w:kern w:val="0"/>
          <w:szCs w:val="32"/>
          <w:lang w:eastAsia="en-GB"/>
          <w14:ligatures w14:val="none"/>
        </w:rPr>
        <w:t xml:space="preserve">Table </w:t>
      </w:r>
      <w:r w:rsidR="00056006">
        <w:rPr>
          <w:rFonts w:eastAsia="Arial"/>
          <w:b/>
          <w:kern w:val="0"/>
          <w:szCs w:val="32"/>
          <w:lang w:eastAsia="en-GB"/>
          <w14:ligatures w14:val="none"/>
        </w:rPr>
        <w:t>2</w:t>
      </w:r>
      <w:r w:rsidRPr="006630C7">
        <w:rPr>
          <w:rFonts w:eastAsia="Arial"/>
          <w:b/>
          <w:kern w:val="0"/>
          <w:szCs w:val="32"/>
          <w:lang w:eastAsia="en-GB"/>
          <w14:ligatures w14:val="none"/>
        </w:rPr>
        <w:t>: Study quality evaluation based on CASP</w:t>
      </w:r>
      <w:r w:rsidRPr="006630C7">
        <w:rPr>
          <w:rFonts w:eastAsia="Arial"/>
          <w:b/>
          <w:kern w:val="0"/>
          <w:szCs w:val="32"/>
          <w:vertAlign w:val="superscript"/>
          <w:lang w:eastAsia="en-GB"/>
          <w14:ligatures w14:val="none"/>
        </w:rPr>
        <w:t xml:space="preserve"> a</w:t>
      </w:r>
      <w:r w:rsidRPr="006630C7">
        <w:rPr>
          <w:rFonts w:eastAsia="Arial"/>
          <w:b/>
          <w:kern w:val="0"/>
          <w:szCs w:val="32"/>
          <w:lang w:eastAsia="en-GB"/>
          <w14:ligatures w14:val="none"/>
        </w:rPr>
        <w:t xml:space="preserve"> criteria</w:t>
      </w:r>
    </w:p>
    <w:tbl>
      <w:tblPr>
        <w:tblStyle w:val="PlainTable11"/>
        <w:tblW w:w="13855" w:type="dxa"/>
        <w:tblLayout w:type="fixed"/>
        <w:tblLook w:val="04A0" w:firstRow="1" w:lastRow="0" w:firstColumn="1" w:lastColumn="0" w:noHBand="0" w:noVBand="1"/>
      </w:tblPr>
      <w:tblGrid>
        <w:gridCol w:w="1075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3240"/>
      </w:tblGrid>
      <w:tr w:rsidR="006630C7" w:rsidRPr="006630C7" w14:paraId="7BA870AA" w14:textId="77777777" w:rsidTr="00663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C538BD5" w14:textId="77777777" w:rsidR="006630C7" w:rsidRPr="006630C7" w:rsidRDefault="006630C7" w:rsidP="006630C7">
            <w:pPr>
              <w:rPr>
                <w:rFonts w:ascii="Times New Roman" w:hAnsi="Times New Roman" w:cs="Times New Roman"/>
              </w:rPr>
            </w:pPr>
            <w:r w:rsidRPr="006630C7">
              <w:rPr>
                <w:rFonts w:ascii="Times New Roman" w:eastAsia="Calibri" w:hAnsi="Times New Roman" w:cs="Times New Roman"/>
              </w:rPr>
              <w:t>Study/ CASP criteria</w:t>
            </w:r>
          </w:p>
        </w:tc>
        <w:tc>
          <w:tcPr>
            <w:tcW w:w="1060" w:type="dxa"/>
          </w:tcPr>
          <w:p w14:paraId="6C282D83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MS Mincho" w:hAnsi="Times New Roman" w:cs="Times New Roman"/>
                <w:sz w:val="18"/>
                <w:szCs w:val="18"/>
              </w:rPr>
              <w:t>Was there a clear statement of the aims of the research?</w:t>
            </w:r>
          </w:p>
        </w:tc>
        <w:tc>
          <w:tcPr>
            <w:tcW w:w="1060" w:type="dxa"/>
          </w:tcPr>
          <w:p w14:paraId="5C66F133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mbria" w:hAnsi="Times New Roman" w:cs="Times New Roman"/>
                <w:sz w:val="18"/>
                <w:szCs w:val="18"/>
              </w:rPr>
              <w:t>Is a qualitative methodology</w:t>
            </w:r>
          </w:p>
          <w:p w14:paraId="7440200B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mbria" w:hAnsi="Times New Roman" w:cs="Times New Roman"/>
                <w:sz w:val="18"/>
                <w:szCs w:val="18"/>
              </w:rPr>
              <w:t>appropriate?</w:t>
            </w:r>
          </w:p>
        </w:tc>
        <w:tc>
          <w:tcPr>
            <w:tcW w:w="1060" w:type="dxa"/>
          </w:tcPr>
          <w:p w14:paraId="5B1A4320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Was the research design</w:t>
            </w:r>
          </w:p>
          <w:p w14:paraId="198E09A7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appropriate to address</w:t>
            </w:r>
          </w:p>
          <w:p w14:paraId="79151C23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the aims of the research</w:t>
            </w:r>
          </w:p>
        </w:tc>
        <w:tc>
          <w:tcPr>
            <w:tcW w:w="1060" w:type="dxa"/>
          </w:tcPr>
          <w:p w14:paraId="39E56E11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Was the recruitment strategy</w:t>
            </w:r>
          </w:p>
          <w:p w14:paraId="31BC45B0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appropriate</w:t>
            </w:r>
          </w:p>
          <w:p w14:paraId="1ECA3DAB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to the aims of the</w:t>
            </w:r>
          </w:p>
          <w:p w14:paraId="4FAC7C99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research?</w:t>
            </w:r>
          </w:p>
        </w:tc>
        <w:tc>
          <w:tcPr>
            <w:tcW w:w="1060" w:type="dxa"/>
          </w:tcPr>
          <w:p w14:paraId="2734CB41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Were the data collected in a way</w:t>
            </w:r>
          </w:p>
          <w:p w14:paraId="2F665601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that addressed the research</w:t>
            </w:r>
          </w:p>
          <w:p w14:paraId="03FE3298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issue?</w:t>
            </w:r>
          </w:p>
        </w:tc>
        <w:tc>
          <w:tcPr>
            <w:tcW w:w="1060" w:type="dxa"/>
          </w:tcPr>
          <w:p w14:paraId="49E7969C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630C7">
              <w:rPr>
                <w:rFonts w:ascii="Times New Roman" w:hAnsi="Times New Roman" w:cs="Times New Roman"/>
                <w:sz w:val="16"/>
                <w:szCs w:val="16"/>
              </w:rPr>
              <w:t>Has the relationship between</w:t>
            </w:r>
          </w:p>
          <w:p w14:paraId="5489AAA6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630C7">
              <w:rPr>
                <w:rFonts w:ascii="Times New Roman" w:hAnsi="Times New Roman" w:cs="Times New Roman"/>
                <w:sz w:val="16"/>
                <w:szCs w:val="16"/>
              </w:rPr>
              <w:t>the researcher and</w:t>
            </w:r>
          </w:p>
          <w:p w14:paraId="40648330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630C7">
              <w:rPr>
                <w:rFonts w:ascii="Times New Roman" w:hAnsi="Times New Roman" w:cs="Times New Roman"/>
                <w:sz w:val="16"/>
                <w:szCs w:val="16"/>
              </w:rPr>
              <w:t>participants</w:t>
            </w:r>
          </w:p>
          <w:p w14:paraId="6B099CF4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630C7">
              <w:rPr>
                <w:rFonts w:ascii="Times New Roman" w:hAnsi="Times New Roman" w:cs="Times New Roman"/>
                <w:sz w:val="16"/>
                <w:szCs w:val="16"/>
              </w:rPr>
              <w:t>been adequately</w:t>
            </w:r>
          </w:p>
          <w:p w14:paraId="6AD738A5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630C7">
              <w:rPr>
                <w:rFonts w:ascii="Times New Roman" w:hAnsi="Times New Roman" w:cs="Times New Roman"/>
                <w:sz w:val="16"/>
                <w:szCs w:val="16"/>
              </w:rPr>
              <w:t>considered?</w:t>
            </w:r>
          </w:p>
        </w:tc>
        <w:tc>
          <w:tcPr>
            <w:tcW w:w="1060" w:type="dxa"/>
          </w:tcPr>
          <w:p w14:paraId="5DA50375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Have ethical issues been</w:t>
            </w:r>
          </w:p>
          <w:p w14:paraId="1E82808A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taken into consideration?</w:t>
            </w:r>
          </w:p>
        </w:tc>
        <w:tc>
          <w:tcPr>
            <w:tcW w:w="1060" w:type="dxa"/>
          </w:tcPr>
          <w:p w14:paraId="0F89EA3B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Was the data analysis</w:t>
            </w:r>
          </w:p>
          <w:p w14:paraId="38EB8079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sufficiently rigorous?</w:t>
            </w:r>
          </w:p>
        </w:tc>
        <w:tc>
          <w:tcPr>
            <w:tcW w:w="1060" w:type="dxa"/>
          </w:tcPr>
          <w:p w14:paraId="3DAC6DC9" w14:textId="77777777" w:rsidR="006630C7" w:rsidRPr="006630C7" w:rsidRDefault="006630C7" w:rsidP="006630C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Is there a clear statement</w:t>
            </w:r>
          </w:p>
          <w:p w14:paraId="1AFC8AF8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>of findings?</w:t>
            </w:r>
          </w:p>
        </w:tc>
        <w:tc>
          <w:tcPr>
            <w:tcW w:w="3240" w:type="dxa"/>
          </w:tcPr>
          <w:p w14:paraId="656C027D" w14:textId="77777777" w:rsidR="006630C7" w:rsidRPr="006630C7" w:rsidRDefault="006630C7" w:rsidP="00663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hAnsi="Times New Roman" w:cs="Times New Roman"/>
                <w:sz w:val="18"/>
                <w:szCs w:val="18"/>
              </w:rPr>
              <w:t xml:space="preserve">How valuable is the research? </w:t>
            </w:r>
            <w:r w:rsidRPr="00663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"/>
              </w:rPr>
              <w:t>b</w:t>
            </w:r>
          </w:p>
        </w:tc>
      </w:tr>
      <w:tr w:rsidR="006630C7" w:rsidRPr="006630C7" w14:paraId="7103A239" w14:textId="77777777" w:rsidTr="00663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7F7223F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Wallhed Finn et al. (2014)</w:t>
            </w:r>
          </w:p>
        </w:tc>
        <w:tc>
          <w:tcPr>
            <w:tcW w:w="1060" w:type="dxa"/>
            <w:vAlign w:val="center"/>
          </w:tcPr>
          <w:p w14:paraId="2EE9815C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F148249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0D6F885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208E387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A0D8A63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482B15D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 xml:space="preserve">ID </w:t>
            </w: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60" w:type="dxa"/>
            <w:vAlign w:val="center"/>
          </w:tcPr>
          <w:p w14:paraId="74DAF581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F0942F6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15A9CD3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3C3F331A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highlights the need to increase public</w:t>
            </w:r>
          </w:p>
          <w:p w14:paraId="5F984E60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dvOT8608a8d1+27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health literacy around alcohol use and the need for treatment services to take stigmatization into account</w:t>
            </w:r>
          </w:p>
        </w:tc>
      </w:tr>
      <w:tr w:rsidR="006630C7" w:rsidRPr="006630C7" w14:paraId="1343D733" w14:textId="77777777" w:rsidTr="00663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3734D62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Madden et al. (2019)</w:t>
            </w:r>
          </w:p>
        </w:tc>
        <w:tc>
          <w:tcPr>
            <w:tcW w:w="1060" w:type="dxa"/>
            <w:vAlign w:val="center"/>
          </w:tcPr>
          <w:p w14:paraId="696C78FF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1D70BE3" w14:textId="77777777" w:rsid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dvOT8608a8d1+27" w:hAnsi="Segoe UI Symbol" w:cs="Segoe UI Symbol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  <w:p w14:paraId="016ACB06" w14:textId="77777777" w:rsidR="000613E6" w:rsidRPr="006630C7" w:rsidRDefault="000613E6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78FB465F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AC79642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5DC4F00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FCF717D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441B4FB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7C8E297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0A999CA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157DB98B" w14:textId="77777777" w:rsidR="006630C7" w:rsidRPr="006630C7" w:rsidRDefault="006630C7" w:rsidP="00663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dvOT8608a8d1+27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This research shows how a one-way style of risk communication can result in people not being unconvinced by (or resigned to) future harms to their health from alcohol use</w:t>
            </w:r>
          </w:p>
        </w:tc>
      </w:tr>
      <w:tr w:rsidR="006630C7" w:rsidRPr="006630C7" w14:paraId="638527ED" w14:textId="77777777" w:rsidTr="00663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CA380DE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Khadjesari et al. (2018)</w:t>
            </w:r>
          </w:p>
        </w:tc>
        <w:tc>
          <w:tcPr>
            <w:tcW w:w="1060" w:type="dxa"/>
            <w:vAlign w:val="center"/>
          </w:tcPr>
          <w:p w14:paraId="1793871D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1B31B6F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F303822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7E63CC8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6B6829E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2BDEFEB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1060" w:type="dxa"/>
            <w:vAlign w:val="center"/>
          </w:tcPr>
          <w:p w14:paraId="5BA9E269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F5FC065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764ABE6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2C235BCA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 xml:space="preserve">This research shows how primary care patients drinking above guidelines other problematic drinking based on a range of issues including dependence, control and responsibilities </w:t>
            </w:r>
          </w:p>
        </w:tc>
      </w:tr>
      <w:tr w:rsidR="006630C7" w:rsidRPr="006630C7" w14:paraId="64D985FF" w14:textId="77777777" w:rsidTr="00663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6599D3F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Emslie et al. (2012)</w:t>
            </w:r>
          </w:p>
        </w:tc>
        <w:tc>
          <w:tcPr>
            <w:tcW w:w="1060" w:type="dxa"/>
            <w:vAlign w:val="center"/>
          </w:tcPr>
          <w:p w14:paraId="36F22DD0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3D459AF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4814F3E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FC9A7A1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2630CED7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97BD19E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Times New Roman" w:eastAsia="Calibri Light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060" w:type="dxa"/>
            <w:vAlign w:val="center"/>
          </w:tcPr>
          <w:p w14:paraId="5E256720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BF21076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06E76E6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58D4554E" w14:textId="77777777" w:rsidR="006630C7" w:rsidRPr="006630C7" w:rsidRDefault="006630C7" w:rsidP="00663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This research explores how men and women in early mid-life perceive drinking and excessive alcohol consumption</w:t>
            </w:r>
          </w:p>
        </w:tc>
      </w:tr>
      <w:tr w:rsidR="006630C7" w:rsidRPr="006630C7" w14:paraId="34455D7D" w14:textId="77777777" w:rsidTr="00663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7F680B9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Thurnell-Read (2017)</w:t>
            </w:r>
          </w:p>
        </w:tc>
        <w:tc>
          <w:tcPr>
            <w:tcW w:w="1060" w:type="dxa"/>
            <w:vAlign w:val="center"/>
          </w:tcPr>
          <w:p w14:paraId="16B50111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8F6A412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9011789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9F0CA2B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588C6EF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B44AD91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4C37F5A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Times New Roman" w:eastAsia="Calibri Light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060" w:type="dxa"/>
            <w:vAlign w:val="center"/>
          </w:tcPr>
          <w:p w14:paraId="2AF953EC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A154F5D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5E927953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considers the role of social class in connection with drinking identities</w:t>
            </w:r>
          </w:p>
        </w:tc>
      </w:tr>
      <w:tr w:rsidR="006630C7" w:rsidRPr="006630C7" w14:paraId="6B665247" w14:textId="77777777" w:rsidTr="00663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420534F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Khadjesari et al. (2015)</w:t>
            </w:r>
          </w:p>
        </w:tc>
        <w:tc>
          <w:tcPr>
            <w:tcW w:w="1060" w:type="dxa"/>
            <w:vAlign w:val="center"/>
          </w:tcPr>
          <w:p w14:paraId="4728E1CE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66B6917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1AB553F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4F22D14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9B80DEA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4FAA5F3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EBD09E3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530FC31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347BC84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0217F032" w14:textId="77777777" w:rsidR="006630C7" w:rsidRPr="006630C7" w:rsidRDefault="006630C7" w:rsidP="00663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explored experiences of people seeking help for their drinking via an online programme</w:t>
            </w:r>
          </w:p>
        </w:tc>
      </w:tr>
      <w:tr w:rsidR="006630C7" w:rsidRPr="006630C7" w14:paraId="0F3A4DA7" w14:textId="77777777" w:rsidTr="00663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F6F5CC3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Biagioni (2017)</w:t>
            </w:r>
          </w:p>
        </w:tc>
        <w:tc>
          <w:tcPr>
            <w:tcW w:w="1060" w:type="dxa"/>
            <w:vAlign w:val="center"/>
          </w:tcPr>
          <w:p w14:paraId="7E46960E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4F78288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6578787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6F72413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22FEB89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36B995A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Times New Roman" w:eastAsia="Calibri Light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060" w:type="dxa"/>
            <w:vAlign w:val="center"/>
          </w:tcPr>
          <w:p w14:paraId="51E6B61D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AE54BA6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993D0AE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66B997F2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finds young drinkers only perceive</w:t>
            </w:r>
          </w:p>
          <w:p w14:paraId="79071EF7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consumption as risky when exceeding their ‘normal’</w:t>
            </w:r>
          </w:p>
          <w:p w14:paraId="213BD3D5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thresholds</w:t>
            </w:r>
          </w:p>
        </w:tc>
      </w:tr>
      <w:tr w:rsidR="006630C7" w:rsidRPr="006630C7" w14:paraId="094ADCBF" w14:textId="77777777" w:rsidTr="00663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AC1A6C8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lastRenderedPageBreak/>
              <w:t>Davies et al. (2022)</w:t>
            </w:r>
          </w:p>
        </w:tc>
        <w:tc>
          <w:tcPr>
            <w:tcW w:w="1060" w:type="dxa"/>
            <w:vAlign w:val="center"/>
          </w:tcPr>
          <w:p w14:paraId="02281975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76545F7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339F1DE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100BA06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3ED52FE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295B9CE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Times New Roman" w:eastAsia="Calibri Light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060" w:type="dxa"/>
            <w:vAlign w:val="center"/>
          </w:tcPr>
          <w:p w14:paraId="55060461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2E2D055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25F3794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09E3F56C" w14:textId="77777777" w:rsidR="006630C7" w:rsidRPr="006630C7" w:rsidRDefault="006630C7" w:rsidP="00663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demonstrates the limitations of responsible drinking messaging for regulating drinking behaviours</w:t>
            </w:r>
          </w:p>
        </w:tc>
      </w:tr>
      <w:tr w:rsidR="006630C7" w:rsidRPr="006630C7" w14:paraId="35357991" w14:textId="77777777" w:rsidTr="00663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8033AD2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 xml:space="preserve">Brierley-(2014) </w:t>
            </w:r>
          </w:p>
        </w:tc>
        <w:tc>
          <w:tcPr>
            <w:tcW w:w="1060" w:type="dxa"/>
            <w:vAlign w:val="center"/>
          </w:tcPr>
          <w:p w14:paraId="4EF43CF1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AD2BB4D" w14:textId="77777777" w:rsidR="006630C7" w:rsidRPr="006630C7" w:rsidRDefault="006630C7" w:rsidP="006630C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16832F7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25781E33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C2B56A8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5A8337C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0CC0EB0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F5C4C7B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2EEDCA8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3093E7EF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finds differences between the perceived ‘capital’ of different types of alcohol</w:t>
            </w:r>
          </w:p>
        </w:tc>
      </w:tr>
      <w:tr w:rsidR="006630C7" w:rsidRPr="006630C7" w14:paraId="22CAA1DF" w14:textId="77777777" w:rsidTr="00663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5F857CED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Melia et al.  (2021)</w:t>
            </w:r>
          </w:p>
        </w:tc>
        <w:tc>
          <w:tcPr>
            <w:tcW w:w="1060" w:type="dxa"/>
            <w:vAlign w:val="center"/>
          </w:tcPr>
          <w:p w14:paraId="1F16745B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3B7A7BE2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4EF691D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FA05979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5954BED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B8E9C30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90AB628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AFAD267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366AA44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149E9519" w14:textId="77777777" w:rsidR="006630C7" w:rsidRPr="006630C7" w:rsidRDefault="006630C7" w:rsidP="00663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 xml:space="preserve">The research shows how the boundary of acceptable alcohol use is locally constructed, context-dependent and mutable </w:t>
            </w:r>
          </w:p>
        </w:tc>
      </w:tr>
      <w:tr w:rsidR="006630C7" w:rsidRPr="006630C7" w14:paraId="2CA76778" w14:textId="77777777" w:rsidTr="00663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52B0ADEB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Larsen et al. (2022)</w:t>
            </w:r>
          </w:p>
        </w:tc>
        <w:tc>
          <w:tcPr>
            <w:tcW w:w="1060" w:type="dxa"/>
            <w:vAlign w:val="center"/>
          </w:tcPr>
          <w:p w14:paraId="5F0CFC44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036AC20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333333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C75FEED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5C17F85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B45FEB7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7496D72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6F8ACBF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D07D84F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101F5AB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433A3F9E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identifies how mid-life men perceive health harms associated with alcohol use</w:t>
            </w:r>
          </w:p>
        </w:tc>
      </w:tr>
      <w:tr w:rsidR="006630C7" w:rsidRPr="006630C7" w14:paraId="32F3C810" w14:textId="77777777" w:rsidTr="00663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D392815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Wilson et al. (2013)</w:t>
            </w:r>
          </w:p>
        </w:tc>
        <w:tc>
          <w:tcPr>
            <w:tcW w:w="1060" w:type="dxa"/>
            <w:vAlign w:val="center"/>
          </w:tcPr>
          <w:p w14:paraId="04C37E08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AC6A88F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23D63DF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82D2765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74D2F2C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71790E3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E1E2F80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71135F1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A4F1C85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1805D61D" w14:textId="77777777" w:rsidR="006630C7" w:rsidRPr="006630C7" w:rsidRDefault="006630C7" w:rsidP="00663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models best practices for recruiting diverse participants via a national charity (Age UK)</w:t>
            </w:r>
          </w:p>
        </w:tc>
      </w:tr>
      <w:tr w:rsidR="006630C7" w:rsidRPr="006630C7" w14:paraId="2D46FEF5" w14:textId="77777777" w:rsidTr="00663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D4EEA20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O’May et al.  (2016)</w:t>
            </w:r>
          </w:p>
        </w:tc>
        <w:tc>
          <w:tcPr>
            <w:tcW w:w="1060" w:type="dxa"/>
            <w:vAlign w:val="center"/>
          </w:tcPr>
          <w:p w14:paraId="67789F12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97B6064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2D2D908E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80F6237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137AE87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202F1CA7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A6B0191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627FBC9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6F2F4E8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71AA4C88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highlights the value of preventive and anticipatory approaches in reducing alcohol-related harms</w:t>
            </w:r>
          </w:p>
        </w:tc>
      </w:tr>
      <w:tr w:rsidR="006630C7" w:rsidRPr="006630C7" w14:paraId="4F907016" w14:textId="77777777" w:rsidTr="00663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7AFD918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 xml:space="preserve">Orford et al.(2002) </w:t>
            </w:r>
          </w:p>
        </w:tc>
        <w:tc>
          <w:tcPr>
            <w:tcW w:w="1060" w:type="dxa"/>
            <w:vAlign w:val="center"/>
          </w:tcPr>
          <w:p w14:paraId="50282A43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2FEA1D30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36E93E7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42CDA1E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7B8522B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53507FA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E7FB8D1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Times New Roman" w:eastAsia="Calibri Light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060" w:type="dxa"/>
            <w:vAlign w:val="center"/>
          </w:tcPr>
          <w:p w14:paraId="64E21033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F947268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0CF5DF9E" w14:textId="77777777" w:rsidR="006630C7" w:rsidRPr="006630C7" w:rsidRDefault="006630C7" w:rsidP="00663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This research identifies a typology of benefits and drawbacks participants perceived in relation to their drinking</w:t>
            </w:r>
          </w:p>
        </w:tc>
      </w:tr>
      <w:tr w:rsidR="006630C7" w:rsidRPr="006630C7" w14:paraId="759E439D" w14:textId="77777777" w:rsidTr="00663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328E4F7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Lin et al. (2017)</w:t>
            </w:r>
          </w:p>
        </w:tc>
        <w:tc>
          <w:tcPr>
            <w:tcW w:w="1060" w:type="dxa"/>
            <w:vAlign w:val="center"/>
          </w:tcPr>
          <w:p w14:paraId="02E4C3EE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D3D4007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1CE19B8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ABD9C21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71B9A99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90695AE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Times New Roman" w:eastAsia="Calibri Light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060" w:type="dxa"/>
            <w:vAlign w:val="center"/>
          </w:tcPr>
          <w:p w14:paraId="1CA91399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D6190D4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2FDC9FD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1D3AD8DC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 xml:space="preserve">The research focuses on family members of patients with harmful drinking, not just the patients themselves </w:t>
            </w:r>
          </w:p>
        </w:tc>
      </w:tr>
      <w:tr w:rsidR="006630C7" w:rsidRPr="006630C7" w14:paraId="7BCFB39F" w14:textId="77777777" w:rsidTr="006630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5394DA1E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Pettigrew et al. (2016)</w:t>
            </w:r>
          </w:p>
        </w:tc>
        <w:tc>
          <w:tcPr>
            <w:tcW w:w="1060" w:type="dxa"/>
            <w:vAlign w:val="center"/>
          </w:tcPr>
          <w:p w14:paraId="108082F3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2D2C53C9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896FFA4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3DA0433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DE01FA0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6A2A03C8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Times New Roman" w:eastAsia="Calibri Light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060" w:type="dxa"/>
            <w:vAlign w:val="center"/>
          </w:tcPr>
          <w:p w14:paraId="68DFF482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2B40BCB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00357285" w14:textId="77777777" w:rsidR="006630C7" w:rsidRPr="006630C7" w:rsidRDefault="006630C7" w:rsidP="006630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1D7710E4" w14:textId="77777777" w:rsidR="006630C7" w:rsidRPr="006630C7" w:rsidRDefault="006630C7" w:rsidP="00663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The research assesses how young drinkers respond to 'responsible drinking’ adverts</w:t>
            </w:r>
          </w:p>
        </w:tc>
      </w:tr>
      <w:tr w:rsidR="006630C7" w:rsidRPr="006630C7" w14:paraId="56356B7F" w14:textId="77777777" w:rsidTr="00663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A2ADD36" w14:textId="77777777" w:rsidR="006630C7" w:rsidRPr="006630C7" w:rsidRDefault="006630C7" w:rsidP="006630C7">
            <w:pPr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b w:val="0"/>
                <w:bCs w:val="0"/>
                <w:sz w:val="18"/>
                <w:szCs w:val="18"/>
              </w:rPr>
              <w:t>Gough et al. (2020)</w:t>
            </w:r>
          </w:p>
        </w:tc>
        <w:tc>
          <w:tcPr>
            <w:tcW w:w="1060" w:type="dxa"/>
            <w:vAlign w:val="center"/>
          </w:tcPr>
          <w:p w14:paraId="0975439A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72AF1C65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42E14A66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57F000B2" w14:textId="77777777" w:rsidR="006630C7" w:rsidRPr="006630C7" w:rsidRDefault="006630C7" w:rsidP="006630C7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2D579E1B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5594BCD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DBDB0B8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color w:val="000000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113153FF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060" w:type="dxa"/>
            <w:vAlign w:val="center"/>
          </w:tcPr>
          <w:p w14:paraId="2C700640" w14:textId="77777777" w:rsidR="006630C7" w:rsidRPr="006630C7" w:rsidRDefault="006630C7" w:rsidP="0066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20"/>
                <w:szCs w:val="20"/>
              </w:rPr>
            </w:pPr>
            <w:r w:rsidRPr="006630C7">
              <w:rPr>
                <w:rFonts w:ascii="Segoe UI Symbol" w:eastAsia="AdvOT8608a8d1+27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3240" w:type="dxa"/>
            <w:vAlign w:val="center"/>
          </w:tcPr>
          <w:p w14:paraId="60AC89F5" w14:textId="77777777" w:rsidR="006630C7" w:rsidRPr="006630C7" w:rsidRDefault="006630C7" w:rsidP="00663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 w:cs="Times New Roman"/>
                <w:sz w:val="18"/>
                <w:szCs w:val="18"/>
              </w:rPr>
            </w:pPr>
            <w:r w:rsidRPr="006630C7">
              <w:rPr>
                <w:rFonts w:ascii="Times New Roman" w:eastAsia="Calibri Light" w:hAnsi="Times New Roman" w:cs="Times New Roman"/>
                <w:sz w:val="18"/>
                <w:szCs w:val="18"/>
              </w:rPr>
              <w:t>This paper reports on a qualitative interview study with older drinkers focusing on the various discursive strategies they use to rationalise their drinking</w:t>
            </w:r>
          </w:p>
        </w:tc>
      </w:tr>
    </w:tbl>
    <w:p w14:paraId="5A69CBC4" w14:textId="77777777" w:rsidR="006630C7" w:rsidRPr="006630C7" w:rsidRDefault="006630C7" w:rsidP="006630C7">
      <w:pPr>
        <w:spacing w:after="0" w:line="276" w:lineRule="auto"/>
        <w:rPr>
          <w:rFonts w:eastAsia="Times New Roman"/>
          <w:color w:val="000000"/>
          <w:kern w:val="0"/>
          <w:lang w:val="en" w:eastAsia="en-GB"/>
          <w14:ligatures w14:val="none"/>
        </w:rPr>
      </w:pPr>
      <w:r w:rsidRPr="006630C7">
        <w:rPr>
          <w:rFonts w:eastAsia="Arial"/>
          <w:kern w:val="0"/>
          <w:sz w:val="22"/>
          <w:szCs w:val="22"/>
          <w:vertAlign w:val="superscript"/>
          <w:lang w:eastAsia="en-GB"/>
          <w14:ligatures w14:val="none"/>
        </w:rPr>
        <w:lastRenderedPageBreak/>
        <w:t>a</w:t>
      </w:r>
      <w:r w:rsidRPr="006630C7">
        <w:rPr>
          <w:rFonts w:eastAsia="Arial"/>
          <w:kern w:val="0"/>
          <w:sz w:val="22"/>
          <w:szCs w:val="22"/>
          <w:lang w:eastAsia="en-GB"/>
          <w14:ligatures w14:val="none"/>
        </w:rPr>
        <w:t xml:space="preserve"> </w:t>
      </w:r>
      <w:r w:rsidRPr="006630C7">
        <w:rPr>
          <w:rFonts w:eastAsia="Times New Roman"/>
          <w:color w:val="000000"/>
          <w:kern w:val="0"/>
          <w:sz w:val="22"/>
          <w:szCs w:val="22"/>
          <w:lang w:val="en" w:eastAsia="en-GB"/>
          <w14:ligatures w14:val="none"/>
        </w:rPr>
        <w:t xml:space="preserve">Critical appraisal skills program </w:t>
      </w:r>
      <w:r w:rsidRPr="006630C7">
        <w:rPr>
          <w:rFonts w:eastAsia="Times New Roman"/>
          <w:color w:val="000000"/>
          <w:kern w:val="0"/>
          <w:lang w:val="en" w:eastAsia="en-GB"/>
          <w14:ligatures w14:val="none"/>
        </w:rPr>
        <w:fldChar w:fldCharType="begin" w:fldLock="1"/>
      </w:r>
      <w:r w:rsidRPr="006630C7">
        <w:rPr>
          <w:rFonts w:eastAsia="Times New Roman"/>
          <w:color w:val="000000"/>
          <w:kern w:val="0"/>
          <w:lang w:val="en" w:eastAsia="en-GB"/>
          <w14:ligatures w14:val="none"/>
        </w:rPr>
        <w:instrText>ADDIN CSL_CITATION {"citationItems":[{"id":"ITEM-1","itemData":{"URL":"https://casp-uk.net/casp-tools-checklists/qualitative-studies-checklist/","id":"ITEM-1","issued":{"date-parts":[["0"]]},"title":"Critical Appraisal Skills Programme","type":"webpage"},"uris":["http://www.mendeley.com/documents/?uuid=9ad2ba3d-746f-4a4f-b039-dbf2300d545b"]}],"mendeley":{"formattedCitation":"(&lt;i&gt;Critical Appraisal Skills Programme&lt;/i&gt;, no date)","plainTextFormattedCitation":"(Critical Appraisal Skills Programme, no date)","previouslyFormattedCitation":"&lt;sup&gt;27&lt;/sup&gt;"},"properties":{"noteIndex":0},"schema":"https://github.com/citation-style-language/schema/raw/master/csl-citation.json"}</w:instrText>
      </w:r>
      <w:r w:rsidRPr="006630C7">
        <w:rPr>
          <w:rFonts w:eastAsia="Times New Roman"/>
          <w:color w:val="000000"/>
          <w:kern w:val="0"/>
          <w:lang w:val="en" w:eastAsia="en-GB"/>
          <w14:ligatures w14:val="none"/>
        </w:rPr>
        <w:fldChar w:fldCharType="separate"/>
      </w:r>
      <w:r w:rsidRPr="006630C7">
        <w:rPr>
          <w:rFonts w:eastAsia="Times New Roman"/>
          <w:noProof/>
          <w:color w:val="000000"/>
          <w:kern w:val="0"/>
          <w:lang w:val="en" w:eastAsia="en-GB"/>
          <w14:ligatures w14:val="none"/>
        </w:rPr>
        <w:t>(</w:t>
      </w:r>
      <w:r w:rsidRPr="006630C7">
        <w:rPr>
          <w:rFonts w:eastAsia="Times New Roman"/>
          <w:i/>
          <w:noProof/>
          <w:color w:val="000000"/>
          <w:kern w:val="0"/>
          <w:lang w:val="en" w:eastAsia="en-GB"/>
          <w14:ligatures w14:val="none"/>
        </w:rPr>
        <w:t>Critical Appraisal Skills Programme</w:t>
      </w:r>
      <w:r w:rsidRPr="006630C7">
        <w:rPr>
          <w:rFonts w:eastAsia="Times New Roman"/>
          <w:noProof/>
          <w:color w:val="000000"/>
          <w:kern w:val="0"/>
          <w:lang w:val="en" w:eastAsia="en-GB"/>
          <w14:ligatures w14:val="none"/>
        </w:rPr>
        <w:t>, no date)</w:t>
      </w:r>
      <w:r w:rsidRPr="006630C7">
        <w:rPr>
          <w:rFonts w:eastAsia="Times New Roman"/>
          <w:color w:val="000000"/>
          <w:kern w:val="0"/>
          <w:lang w:val="en" w:eastAsia="en-GB"/>
          <w14:ligatures w14:val="none"/>
        </w:rPr>
        <w:fldChar w:fldCharType="end"/>
      </w:r>
    </w:p>
    <w:p w14:paraId="27BAF5DF" w14:textId="77777777" w:rsidR="006630C7" w:rsidRPr="006630C7" w:rsidRDefault="006630C7" w:rsidP="006630C7">
      <w:pPr>
        <w:spacing w:after="0" w:line="276" w:lineRule="auto"/>
        <w:rPr>
          <w:rFonts w:eastAsia="Arial"/>
          <w:kern w:val="0"/>
          <w:sz w:val="22"/>
          <w:szCs w:val="22"/>
          <w:lang w:eastAsia="en-GB"/>
          <w14:ligatures w14:val="none"/>
        </w:rPr>
      </w:pPr>
      <w:r w:rsidRPr="006630C7">
        <w:rPr>
          <w:rFonts w:eastAsia="Times New Roman"/>
          <w:color w:val="000000"/>
          <w:kern w:val="0"/>
          <w:vertAlign w:val="superscript"/>
          <w:lang w:val="en" w:eastAsia="en-GB"/>
          <w14:ligatures w14:val="none"/>
        </w:rPr>
        <w:t xml:space="preserve">b </w:t>
      </w:r>
      <w:r w:rsidRPr="006630C7">
        <w:rPr>
          <w:rFonts w:eastAsia="Times New Roman"/>
          <w:color w:val="000000"/>
          <w:kern w:val="0"/>
          <w:sz w:val="22"/>
          <w:szCs w:val="22"/>
          <w:lang w:val="en" w:eastAsia="en-GB"/>
          <w14:ligatures w14:val="none"/>
        </w:rPr>
        <w:t>Evaluation based on the assessed value of the research in relation to our specific research question (see 1.2)</w:t>
      </w:r>
    </w:p>
    <w:p w14:paraId="4A77336B" w14:textId="77777777" w:rsidR="006630C7" w:rsidRPr="006630C7" w:rsidRDefault="006630C7" w:rsidP="006630C7">
      <w:pPr>
        <w:spacing w:after="0" w:line="276" w:lineRule="auto"/>
        <w:rPr>
          <w:rFonts w:eastAsia="Arial"/>
          <w:kern w:val="0"/>
          <w:sz w:val="22"/>
          <w:szCs w:val="22"/>
          <w:lang w:eastAsia="en-GB"/>
          <w14:ligatures w14:val="none"/>
        </w:rPr>
      </w:pPr>
      <w:r w:rsidRPr="006630C7">
        <w:rPr>
          <w:rFonts w:eastAsia="Arial"/>
          <w:kern w:val="0"/>
          <w:sz w:val="22"/>
          <w:szCs w:val="22"/>
          <w:vertAlign w:val="superscript"/>
          <w:lang w:eastAsia="en-GB"/>
          <w14:ligatures w14:val="none"/>
        </w:rPr>
        <w:t>c</w:t>
      </w:r>
      <w:r w:rsidRPr="006630C7">
        <w:rPr>
          <w:rFonts w:eastAsia="Arial"/>
          <w:kern w:val="0"/>
          <w:sz w:val="22"/>
          <w:szCs w:val="22"/>
          <w:lang w:eastAsia="en-GB"/>
          <w14:ligatures w14:val="none"/>
        </w:rPr>
        <w:t xml:space="preserve"> Insufficient detail</w:t>
      </w:r>
    </w:p>
    <w:p w14:paraId="59FC6DAE" w14:textId="77777777" w:rsidR="006630C7" w:rsidRPr="006630C7" w:rsidRDefault="006630C7" w:rsidP="006630C7">
      <w:pPr>
        <w:spacing w:after="0" w:line="276" w:lineRule="auto"/>
        <w:rPr>
          <w:rFonts w:eastAsia="Times New Roman"/>
          <w:kern w:val="0"/>
          <w:lang w:eastAsia="en-GB"/>
          <w14:ligatures w14:val="none"/>
        </w:rPr>
      </w:pPr>
    </w:p>
    <w:p w14:paraId="440895EF" w14:textId="77777777" w:rsidR="006630C7" w:rsidRPr="006630C7" w:rsidRDefault="006630C7" w:rsidP="006630C7">
      <w:pPr>
        <w:spacing w:after="0" w:line="276" w:lineRule="auto"/>
        <w:rPr>
          <w:rFonts w:eastAsia="Times New Roman"/>
          <w:kern w:val="0"/>
          <w:lang w:eastAsia="en-GB"/>
          <w14:ligatures w14:val="none"/>
        </w:rPr>
      </w:pPr>
    </w:p>
    <w:p w14:paraId="186CD6FB" w14:textId="77777777" w:rsidR="006630C7" w:rsidRPr="006630C7" w:rsidRDefault="006630C7" w:rsidP="006630C7">
      <w:pPr>
        <w:spacing w:after="0" w:line="276" w:lineRule="auto"/>
        <w:rPr>
          <w:rFonts w:eastAsia="Times New Roman"/>
          <w:kern w:val="0"/>
          <w:lang w:eastAsia="en-GB"/>
          <w14:ligatures w14:val="none"/>
        </w:rPr>
      </w:pPr>
    </w:p>
    <w:p w14:paraId="228016E7" w14:textId="77777777" w:rsidR="006630C7" w:rsidRPr="006630C7" w:rsidRDefault="006630C7" w:rsidP="006630C7">
      <w:pPr>
        <w:spacing w:after="0" w:line="276" w:lineRule="auto"/>
        <w:rPr>
          <w:rFonts w:eastAsia="Times New Roman"/>
          <w:kern w:val="0"/>
          <w:lang w:eastAsia="en-GB"/>
          <w14:ligatures w14:val="none"/>
        </w:rPr>
      </w:pPr>
    </w:p>
    <w:p w14:paraId="26FB6CD8" w14:textId="77777777" w:rsidR="006630C7" w:rsidRPr="006630C7" w:rsidRDefault="006630C7" w:rsidP="006630C7">
      <w:pPr>
        <w:spacing w:after="0" w:line="276" w:lineRule="auto"/>
        <w:rPr>
          <w:rFonts w:eastAsia="Times New Roman"/>
          <w:kern w:val="0"/>
          <w:lang w:eastAsia="en-GB"/>
          <w14:ligatures w14:val="none"/>
        </w:rPr>
      </w:pPr>
    </w:p>
    <w:p w14:paraId="1E1DEBB0" w14:textId="77777777" w:rsidR="00867FE2" w:rsidRDefault="00867FE2"/>
    <w:sectPr w:rsidR="00867FE2" w:rsidSect="006630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vOT8608a8d1+27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C7"/>
    <w:rsid w:val="00056006"/>
    <w:rsid w:val="000613E6"/>
    <w:rsid w:val="001A19E1"/>
    <w:rsid w:val="00285238"/>
    <w:rsid w:val="00554CD1"/>
    <w:rsid w:val="005671F8"/>
    <w:rsid w:val="006630C7"/>
    <w:rsid w:val="00681501"/>
    <w:rsid w:val="00774C6A"/>
    <w:rsid w:val="00867FE2"/>
    <w:rsid w:val="009C7252"/>
    <w:rsid w:val="00ED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1C842"/>
  <w15:chartTrackingRefBased/>
  <w15:docId w15:val="{94EAC19D-DD8B-4852-A793-76AAAFC0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0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0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0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0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0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0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0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0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0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0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0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0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0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0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0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0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0C7"/>
    <w:rPr>
      <w:b/>
      <w:bCs/>
      <w:smallCaps/>
      <w:color w:val="0F4761" w:themeColor="accent1" w:themeShade="BF"/>
      <w:spacing w:val="5"/>
    </w:rPr>
  </w:style>
  <w:style w:type="table" w:customStyle="1" w:styleId="PlainTable11">
    <w:name w:val="Plain Table 11"/>
    <w:basedOn w:val="TableNormal"/>
    <w:next w:val="PlainTable1"/>
    <w:uiPriority w:val="41"/>
    <w:rsid w:val="006630C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6630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Morris</dc:creator>
  <cp:keywords/>
  <dc:description/>
  <cp:lastModifiedBy>James Morris</cp:lastModifiedBy>
  <cp:revision>3</cp:revision>
  <dcterms:created xsi:type="dcterms:W3CDTF">2024-09-19T15:31:00Z</dcterms:created>
  <dcterms:modified xsi:type="dcterms:W3CDTF">2024-09-20T11:47:00Z</dcterms:modified>
</cp:coreProperties>
</file>