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077" w:rsidRPr="00CC1FA6" w:rsidRDefault="00F27077" w:rsidP="00F27077">
      <w:pPr>
        <w:pStyle w:val="Caption"/>
      </w:pPr>
      <w:r w:rsidRPr="00CC1FA6">
        <w:t xml:space="preserve">Supplementary Table 1: Baseline (Day 0) characteristics of patients according to </w:t>
      </w:r>
      <w:r>
        <w:t xml:space="preserve">the </w:t>
      </w:r>
      <w:r w:rsidRPr="00CC1FA6">
        <w:t>clusters (N=9</w:t>
      </w:r>
      <w:r>
        <w:t>7</w:t>
      </w:r>
      <w:r w:rsidRPr="00CC1FA6">
        <w:t>)</w:t>
      </w:r>
    </w:p>
    <w:tbl>
      <w:tblPr>
        <w:tblW w:w="4915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0"/>
        <w:gridCol w:w="3556"/>
        <w:gridCol w:w="1742"/>
        <w:gridCol w:w="1742"/>
        <w:gridCol w:w="1742"/>
        <w:gridCol w:w="1742"/>
        <w:gridCol w:w="1289"/>
      </w:tblGrid>
      <w:tr w:rsidR="00F27077" w:rsidRPr="00CC1FA6" w:rsidTr="00E10B5A">
        <w:trPr>
          <w:cantSplit/>
          <w:tblHeader/>
        </w:trPr>
        <w:tc>
          <w:tcPr>
            <w:tcW w:w="2009" w:type="pct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both"/>
              <w:rPr>
                <w:b/>
                <w:bCs/>
              </w:rPr>
            </w:pP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 xml:space="preserve">Cluster I </w:t>
            </w:r>
            <w:r w:rsidRPr="00CC1FA6">
              <w:rPr>
                <w:b/>
                <w:bCs/>
              </w:rPr>
              <w:br/>
              <w:t>(N=41)</w:t>
            </w: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 xml:space="preserve">Cluster II </w:t>
            </w:r>
            <w:r w:rsidRPr="00CC1FA6">
              <w:rPr>
                <w:b/>
                <w:bCs/>
              </w:rPr>
              <w:br/>
              <w:t>(N=22)</w:t>
            </w: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 xml:space="preserve">Cluster III </w:t>
            </w:r>
            <w:r w:rsidRPr="00CC1FA6">
              <w:rPr>
                <w:b/>
                <w:bCs/>
              </w:rPr>
              <w:br/>
              <w:t>(N=16)</w:t>
            </w: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 xml:space="preserve">Cluster IV </w:t>
            </w:r>
            <w:r w:rsidRPr="00CC1FA6">
              <w:rPr>
                <w:b/>
                <w:bCs/>
              </w:rPr>
              <w:br/>
              <w:t>(N=18)</w:t>
            </w:r>
          </w:p>
        </w:tc>
        <w:tc>
          <w:tcPr>
            <w:tcW w:w="46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  <w:i/>
                <w:iCs/>
              </w:rPr>
            </w:pPr>
            <w:r w:rsidRPr="00CC1FA6">
              <w:rPr>
                <w:b/>
                <w:bCs/>
                <w:i/>
                <w:iCs/>
              </w:rPr>
              <w:t>p-value</w:t>
            </w:r>
          </w:p>
        </w:tc>
      </w:tr>
      <w:tr w:rsidR="00F27077" w:rsidRPr="00CC1FA6" w:rsidTr="00E10B5A">
        <w:trPr>
          <w:cantSplit/>
          <w:tblHeader/>
        </w:trPr>
        <w:tc>
          <w:tcPr>
            <w:tcW w:w="2009" w:type="pct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both"/>
              <w:rPr>
                <w:b/>
                <w:bCs/>
              </w:rPr>
            </w:pPr>
            <w:r w:rsidRPr="00CC1FA6">
              <w:rPr>
                <w:b/>
                <w:bCs/>
              </w:rPr>
              <w:t>Characteristics</w:t>
            </w: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Mean (SD)</w:t>
            </w: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Mean (SD)</w:t>
            </w: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Mean (SD)</w:t>
            </w:r>
          </w:p>
        </w:tc>
        <w:tc>
          <w:tcPr>
            <w:tcW w:w="631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Mean (SD)</w:t>
            </w:r>
          </w:p>
        </w:tc>
        <w:tc>
          <w:tcPr>
            <w:tcW w:w="46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  <w:vAlign w:val="bottom"/>
          </w:tcPr>
          <w:p w:rsidR="00F27077" w:rsidRPr="00CC1FA6" w:rsidRDefault="00F27077" w:rsidP="00E10B5A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Age (years)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63.3 (9.5)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63.6 (11.0)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61.6 (7.9)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62.4 (5.0)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  <w:r w:rsidRPr="00CC1FA6">
              <w:rPr>
                <w:i/>
                <w:iCs/>
              </w:rPr>
              <w:t xml:space="preserve">0.897 </w:t>
            </w:r>
            <w:r w:rsidRPr="008D0DC6">
              <w:rPr>
                <w:rFonts w:cs="Times New Roman"/>
                <w:i/>
                <w:iCs/>
                <w:vertAlign w:val="superscript"/>
              </w:rPr>
              <w:t>†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Weight (kg)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70.6 (11.6)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80.0 (14.3)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72.2 (12.7)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71.9 (15.6)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  <w:r w:rsidRPr="00CC1FA6">
              <w:rPr>
                <w:i/>
                <w:iCs/>
              </w:rPr>
              <w:t xml:space="preserve">0.059 </w:t>
            </w:r>
            <w:r w:rsidRPr="008D0DC6">
              <w:rPr>
                <w:rFonts w:cs="Times New Roman"/>
                <w:i/>
                <w:iCs/>
                <w:vertAlign w:val="superscript"/>
              </w:rPr>
              <w:t>†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Height (cm)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166.2 (7.7)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169.0 (10.0)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160.6 (9.1)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167.7 (10.0)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  <w:r w:rsidRPr="00CC1FA6">
              <w:rPr>
                <w:b/>
                <w:bCs/>
                <w:i/>
                <w:iCs/>
              </w:rPr>
              <w:t xml:space="preserve">0.037 </w:t>
            </w:r>
            <w:r w:rsidRPr="008D0DC6">
              <w:rPr>
                <w:rFonts w:cs="Times New Roman"/>
                <w:b/>
                <w:bCs/>
                <w:i/>
                <w:iCs/>
                <w:vertAlign w:val="superscript"/>
              </w:rPr>
              <w:t>†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BMI (kg/m²)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25.5 (3.5)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28.0 (4.2)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27.9 (4.1)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25.4 (4.1)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  <w:r w:rsidRPr="00CC1FA6">
              <w:rPr>
                <w:b/>
                <w:bCs/>
                <w:i/>
                <w:iCs/>
              </w:rPr>
              <w:t xml:space="preserve">0.028 </w:t>
            </w:r>
            <w:r w:rsidRPr="008D0DC6">
              <w:rPr>
                <w:rFonts w:cs="Times New Roman"/>
                <w:b/>
                <w:bCs/>
                <w:i/>
                <w:iCs/>
                <w:vertAlign w:val="superscript"/>
              </w:rPr>
              <w:t>†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  <w:rPr>
                <w:b/>
                <w:bCs/>
              </w:rPr>
            </w:pPr>
            <w:r w:rsidRPr="00CC1FA6">
              <w:rPr>
                <w:b/>
                <w:bCs/>
              </w:rPr>
              <w:t>Characteristics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  <w:rPr>
                <w:b/>
                <w:bCs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N (%)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N (%)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N (%)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</w:rPr>
            </w:pPr>
            <w:r w:rsidRPr="00CC1FA6">
              <w:rPr>
                <w:b/>
                <w:bCs/>
              </w:rPr>
              <w:t>N (%)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  <w:i/>
                <w:iCs/>
              </w:rPr>
            </w:pPr>
            <w:r w:rsidRPr="00CC1FA6">
              <w:rPr>
                <w:b/>
                <w:bCs/>
                <w:i/>
                <w:iCs/>
              </w:rPr>
              <w:t>p-value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Sex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Female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32 (78.0%)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12 (54.5%)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14 (87.5%)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10 (55.6%)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  <w:i/>
                <w:iCs/>
              </w:rPr>
            </w:pPr>
            <w:r w:rsidRPr="00CC1FA6">
              <w:rPr>
                <w:b/>
                <w:bCs/>
                <w:i/>
                <w:iCs/>
              </w:rPr>
              <w:t>0.049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8D0DC6">
              <w:rPr>
                <w:b/>
                <w:bCs/>
                <w:i/>
                <w:iCs/>
                <w:vertAlign w:val="superscript"/>
              </w:rPr>
              <w:t>*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Male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9 (22.0%)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10 (45.5%)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2 (12.5%)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8 (44.4%)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BMI (classes)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18.5-25.0 kg/m² (normal)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18 (43.9%)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7 (31.8%)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4 (25.0%)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1271F0" w:rsidRDefault="00F27077" w:rsidP="00E10B5A">
            <w:pPr>
              <w:jc w:val="center"/>
              <w:rPr>
                <w:bCs/>
              </w:rPr>
            </w:pPr>
            <w:r w:rsidRPr="001271F0">
              <w:rPr>
                <w:bCs/>
              </w:rPr>
              <w:t>10 (55.6%)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  <w:r w:rsidRPr="00CC1FA6">
              <w:rPr>
                <w:i/>
                <w:iCs/>
              </w:rPr>
              <w:t xml:space="preserve">0.139 </w:t>
            </w:r>
            <w:r w:rsidRPr="008D0DC6">
              <w:rPr>
                <w:i/>
                <w:iCs/>
                <w:vertAlign w:val="superscript"/>
              </w:rPr>
              <w:t>*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25.0-30.0 kg/m² (overweight)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20 (48.8%)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8 (36.4%)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7 (43.8%)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6 (33.3%)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30.0-35.0 kg/m² (moderate obesity)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3 (7.3%)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6 (27.3%)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5 (31.3%)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 (11.1%)</w:t>
            </w:r>
          </w:p>
        </w:tc>
        <w:tc>
          <w:tcPr>
            <w:tcW w:w="467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35.0-40.0 kg/m² (morbid obesity)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-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1 (4.5%)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both"/>
            </w:pPr>
            <w:r w:rsidRPr="00CC1FA6">
              <w:t>-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-</w:t>
            </w:r>
          </w:p>
        </w:tc>
        <w:tc>
          <w:tcPr>
            <w:tcW w:w="467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DN4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 xml:space="preserve">Negative 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39 (95.1%)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19 (86.4%)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14 (87.5%)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16 (88.9%)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  <w:r w:rsidRPr="00CC1FA6">
              <w:rPr>
                <w:i/>
                <w:iCs/>
              </w:rPr>
              <w:t xml:space="preserve">0.576 </w:t>
            </w:r>
            <w:r w:rsidRPr="008D0DC6">
              <w:rPr>
                <w:i/>
                <w:iCs/>
                <w:vertAlign w:val="superscript"/>
              </w:rPr>
              <w:t>*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Positive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 (4.9%)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3 (13.6%)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2 (12.5%)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 (11.1%)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LAFI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Mild handicap (1-4)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13 (31.7%)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 (9.5%)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3 (16.7%)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  <w:i/>
                <w:iCs/>
              </w:rPr>
            </w:pPr>
            <w:r w:rsidRPr="00CC1FA6">
              <w:rPr>
                <w:b/>
                <w:bCs/>
                <w:i/>
                <w:iCs/>
              </w:rPr>
              <w:t>0.006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8D0DC6">
              <w:rPr>
                <w:b/>
                <w:bCs/>
                <w:i/>
                <w:iCs/>
                <w:vertAlign w:val="superscript"/>
              </w:rPr>
              <w:t>*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Moderate handicap (5-7)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16 (39.0%)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4 (19.0%)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3 (18.8%)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5 (27.8%)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Severe handicap (8-10)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7 (17.1%)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9 (42.9%)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5 (31.3%)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8 (44.4%)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Very severe handicap (11-13)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3 (7.3%)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4 (19.0%)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3 (18.8%)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 (11.1%)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Extremely severe handicap (</w:t>
            </w:r>
            <w:r w:rsidRPr="00CC1FA6">
              <w:rPr>
                <w:rFonts w:cs="Times New Roman"/>
              </w:rPr>
              <w:t>≥</w:t>
            </w:r>
            <w:r w:rsidRPr="00CC1FA6">
              <w:t xml:space="preserve"> 14)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 (4.9%)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 (9.5%)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:rsidR="00F27077" w:rsidRPr="00CC1FA6" w:rsidRDefault="00F27077" w:rsidP="00E10B5A">
            <w:pPr>
              <w:jc w:val="center"/>
            </w:pPr>
            <w:r w:rsidRPr="00CC1FA6">
              <w:t>5 (31.3%)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  <w:r w:rsidRPr="00CC1FA6">
              <w:t>VAS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[0-4[</w:t>
            </w:r>
            <w:r>
              <w:t xml:space="preserve"> </w:t>
            </w:r>
            <w:r w:rsidRPr="008D0DC6">
              <w:rPr>
                <w:rFonts w:cs="Times New Roman"/>
                <w:vertAlign w:val="superscript"/>
              </w:rPr>
              <w:t>‡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6 (15.0%)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 (5.0%)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-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-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0.002</w:t>
            </w:r>
            <w:r w:rsidRPr="008D0DC6">
              <w:rPr>
                <w:b/>
                <w:bCs/>
                <w:i/>
                <w:iCs/>
                <w:vertAlign w:val="superscript"/>
              </w:rPr>
              <w:t>*</w:t>
            </w: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[4-7[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26 (65.0%)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14 (70.0%)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3 (20.0%)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9 (50.0%)</w:t>
            </w:r>
          </w:p>
        </w:tc>
        <w:tc>
          <w:tcPr>
            <w:tcW w:w="467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  <w:tr w:rsidR="00F27077" w:rsidRPr="00CC1FA6" w:rsidTr="00E10B5A">
        <w:trPr>
          <w:cantSplit/>
        </w:trPr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both"/>
            </w:pP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r w:rsidRPr="00CC1FA6">
              <w:t>[7-10]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8 (20.0%)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5 (25.0%)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12 (80.0%)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</w:pPr>
            <w:r w:rsidRPr="00CC1FA6">
              <w:t>9 (50.0%)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:rsidR="00F27077" w:rsidRPr="00CC1FA6" w:rsidRDefault="00F27077" w:rsidP="00E10B5A">
            <w:pPr>
              <w:jc w:val="center"/>
              <w:rPr>
                <w:i/>
                <w:iCs/>
              </w:rPr>
            </w:pPr>
          </w:p>
        </w:tc>
      </w:tr>
    </w:tbl>
    <w:p w:rsidR="00F27077" w:rsidRDefault="00F27077" w:rsidP="00F27077">
      <w:pPr>
        <w:jc w:val="both"/>
      </w:pPr>
      <w:r w:rsidRPr="00CC1FA6">
        <w:t xml:space="preserve">ANOVA: analysis of variance; BMI: body mass index; DN4: </w:t>
      </w:r>
      <w:r w:rsidRPr="00CC1FA6">
        <w:rPr>
          <w:i/>
          <w:iCs/>
        </w:rPr>
        <w:t>Douleur Neuropathique en 4 questions</w:t>
      </w:r>
      <w:r w:rsidRPr="00CC1FA6">
        <w:t xml:space="preserve">; LAFI: Lequesne algofunctional index; MD: missing data; SD: standard deviation; VAS: Visual Analogue Scale. </w:t>
      </w:r>
    </w:p>
    <w:p w:rsidR="00F27077" w:rsidRDefault="00F27077" w:rsidP="00F27077">
      <w:pPr>
        <w:jc w:val="both"/>
        <w:rPr>
          <w:lang w:val="en-US"/>
        </w:rPr>
      </w:pPr>
      <w:r w:rsidRPr="00CC1FA6">
        <w:rPr>
          <w:lang w:val="en-US"/>
        </w:rPr>
        <w:t xml:space="preserve">Clusters are based on </w:t>
      </w:r>
      <w:r>
        <w:rPr>
          <w:lang w:val="en-US"/>
        </w:rPr>
        <w:t>the list of items on pain quality</w:t>
      </w:r>
      <w:r w:rsidRPr="00CC1FA6">
        <w:rPr>
          <w:lang w:val="en-US"/>
        </w:rPr>
        <w:t xml:space="preserve">. </w:t>
      </w:r>
    </w:p>
    <w:p w:rsidR="00F27077" w:rsidRPr="00CC1FA6" w:rsidRDefault="00F27077" w:rsidP="00F27077">
      <w:pPr>
        <w:jc w:val="both"/>
      </w:pPr>
      <w:r w:rsidRPr="008D0DC6">
        <w:rPr>
          <w:vertAlign w:val="superscript"/>
        </w:rPr>
        <w:lastRenderedPageBreak/>
        <w:t>*</w:t>
      </w:r>
      <w:r w:rsidRPr="00CC1FA6">
        <w:t xml:space="preserve"> Fisher test and </w:t>
      </w:r>
      <w:r w:rsidRPr="008D0DC6">
        <w:rPr>
          <w:vertAlign w:val="superscript"/>
        </w:rPr>
        <w:t>†</w:t>
      </w:r>
      <w:r w:rsidRPr="00CC1FA6">
        <w:t xml:space="preserve"> ANOVA were used for statistical analysis. In bold, statistically significant differences (p&lt;0.05); </w:t>
      </w:r>
      <w:r w:rsidRPr="008D0DC6">
        <w:rPr>
          <w:rFonts w:cs="Times New Roman"/>
          <w:vertAlign w:val="superscript"/>
        </w:rPr>
        <w:t>‡</w:t>
      </w:r>
      <w:r w:rsidRPr="00CC1FA6">
        <w:rPr>
          <w:rFonts w:cs="Times New Roman"/>
        </w:rPr>
        <w:t xml:space="preserve"> VAS score ≥</w:t>
      </w:r>
      <w:r w:rsidRPr="00CC1FA6">
        <w:t xml:space="preserve">4 at rest or </w:t>
      </w:r>
      <w:r w:rsidRPr="00CC1FA6">
        <w:rPr>
          <w:rFonts w:cs="Times New Roman"/>
        </w:rPr>
        <w:t>≥</w:t>
      </w:r>
      <w:r w:rsidRPr="00CC1FA6">
        <w:t xml:space="preserve">5 on movement (walking) </w:t>
      </w:r>
      <w:r w:rsidRPr="00CC1FA6">
        <w:rPr>
          <w:rFonts w:cs="Times New Roman"/>
        </w:rPr>
        <w:t>was required to be included in the study, however, patients could have a score &lt;4 at the time of data collection (baseline)</w:t>
      </w:r>
      <w:r w:rsidRPr="00CC1FA6">
        <w:t xml:space="preserve">. </w:t>
      </w:r>
    </w:p>
    <w:p w:rsidR="00F27077" w:rsidRPr="00CC1FA6" w:rsidRDefault="00F27077" w:rsidP="00F27077">
      <w:pPr>
        <w:jc w:val="both"/>
        <w:sectPr w:rsidR="00F27077" w:rsidRPr="00CC1FA6" w:rsidSect="00A92460">
          <w:footerReference w:type="default" r:id="rId5"/>
          <w:pgSz w:w="16838" w:h="11906" w:orient="landscape" w:code="9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:rsidR="00F27077" w:rsidRPr="00CC1FA6" w:rsidRDefault="00F27077" w:rsidP="00F27077">
      <w:pPr>
        <w:pStyle w:val="Caption"/>
      </w:pPr>
      <w:r w:rsidRPr="00CC1FA6">
        <w:lastRenderedPageBreak/>
        <w:t xml:space="preserve">Supplementary Table 2. Treatment response on Day 30: univariate analysis (N=94) 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5"/>
        <w:gridCol w:w="143"/>
        <w:gridCol w:w="2845"/>
        <w:gridCol w:w="1423"/>
        <w:gridCol w:w="1566"/>
        <w:gridCol w:w="1996"/>
        <w:gridCol w:w="1996"/>
        <w:gridCol w:w="2412"/>
        <w:gridCol w:w="1392"/>
      </w:tblGrid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1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Non-responders</w:t>
            </w: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Responders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szCs w:val="24"/>
                <w:lang w:eastAsia="fr-FR"/>
              </w:rPr>
              <w:t>Odds Ratio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1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N=54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N=40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szCs w:val="24"/>
                <w:lang w:eastAsia="fr-FR"/>
              </w:rPr>
              <w:t>95% CI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b/>
                <w:bCs/>
                <w:i/>
                <w:i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i/>
                <w:iCs/>
                <w:szCs w:val="24"/>
                <w:lang w:eastAsia="fr-FR"/>
              </w:rPr>
              <w:t>P-Value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Age (years)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63.7 (7.7)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63.0 (10.9)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0.919 [0.584,1.446]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0.7150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Gender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Female (Ref.)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38 (56.7%)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29 (43.3%)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Male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16 (59.3%)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11 (40.7%)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0.901 [0.364,2.232]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0.8215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Weight (kg)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74.3 (14.3)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71.6 (12.7)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0.863 [0.635,1.173]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0.3478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Height (cm)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166.1 (9.9)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165.7 (9.0)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0.947 [0.614,1.463]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0.8074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BMI (kg/m²)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26.8 (4.3)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26.0 (3.5)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0.946 [0.850,1.052]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0.3039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BMI (classes)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Normal (Ref.)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21 (55.3%)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17 (44.7%)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Overweight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21 (52.5%)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19 (47.5%)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1.118 [0.458,2.725]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0.3046</w:t>
            </w: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Moderate to severe obesity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12 (75.0%)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 (25.0%)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0.412 [0.112,1.511]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DN4 score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Positive (Ref.)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 (50.0%)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 (50.0%)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Negative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50 (58.1%)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36 (41.9%)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0.720 [0.169,3.071]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0.6571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VAS (cm)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6.5 (1.9)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5.4 (1.9)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szCs w:val="24"/>
                <w:lang w:eastAsia="fr-FR"/>
              </w:rPr>
              <w:t>0.739 [0.580,0.942]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szCs w:val="24"/>
                <w:lang w:eastAsia="fr-FR"/>
              </w:rPr>
              <w:t>0.0146</w:t>
            </w: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LAFI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Global Index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8.6 (4.0)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6.4 (3.4)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szCs w:val="24"/>
                <w:lang w:eastAsia="fr-FR"/>
              </w:rPr>
              <w:t>0.853 [0.751,0.968]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szCs w:val="24"/>
                <w:lang w:eastAsia="fr-FR"/>
              </w:rPr>
              <w:t>0.0137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Mild (Ref.)</w:t>
            </w:r>
            <w:r>
              <w:rPr>
                <w:rFonts w:cs="Times New Roman"/>
                <w:szCs w:val="24"/>
                <w:lang w:eastAsia="fr-FR"/>
              </w:rPr>
              <w:t xml:space="preserve"> handicap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7 (41.2%)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10 (58.8%)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-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Moderate</w:t>
            </w:r>
            <w:r>
              <w:rPr>
                <w:rFonts w:cs="Times New Roman"/>
                <w:szCs w:val="24"/>
                <w:lang w:eastAsia="fr-FR"/>
              </w:rPr>
              <w:t xml:space="preserve"> handicap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13 (50.0%)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13 (50.0%)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0.700 [0.204,2.406]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0.2030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Severe</w:t>
            </w:r>
            <w:r>
              <w:rPr>
                <w:rFonts w:cs="Times New Roman"/>
                <w:szCs w:val="24"/>
                <w:lang w:eastAsia="fr-FR"/>
              </w:rPr>
              <w:t xml:space="preserve"> handicap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19 (67.9%)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9 (32.1%)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0.332 [0.095,1.157]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Very severe</w:t>
            </w:r>
            <w:r>
              <w:rPr>
                <w:rFonts w:cs="Times New Roman"/>
                <w:szCs w:val="24"/>
                <w:lang w:eastAsia="fr-FR"/>
              </w:rPr>
              <w:t xml:space="preserve"> handicap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7 (58.3%)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 (41.7%)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0.500 [0.112,2.241]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Extremely severe</w:t>
            </w:r>
            <w:r>
              <w:rPr>
                <w:rFonts w:cs="Times New Roman"/>
                <w:szCs w:val="24"/>
                <w:lang w:eastAsia="fr-FR"/>
              </w:rPr>
              <w:t xml:space="preserve"> handicap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7 (87.5%)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 (12.5%)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0.100 [0.010,1.005]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1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keepNext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lastRenderedPageBreak/>
              <w:t>Items</w:t>
            </w:r>
          </w:p>
        </w:tc>
        <w:tc>
          <w:tcPr>
            <w:tcW w:w="10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keepNext/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keepNext/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keepNext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Deep</w:t>
            </w:r>
            <w:r w:rsidRPr="00CC1FA6">
              <w:rPr>
                <w:rFonts w:cs="Times New Roman"/>
                <w:b/>
                <w:bCs/>
                <w:szCs w:val="24"/>
                <w:vertAlign w:val="superscript"/>
                <w:lang w:eastAsia="fr-FR"/>
              </w:rPr>
              <w:t>‡</w:t>
            </w: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 xml:space="preserve"> pain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keepNext/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4.76 (2.81)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3.63 (3.04)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0.874 [0.755,1.012]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0.0727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Stabbing pain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4.22 (3.47)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2.05 (2.79)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0.807 [0.700,0.931]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0.0032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Pain like electric shocks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3.22 (3.23)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1.47 (2.55)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0.814 [0.697,0.950]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0.0091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Crushing pain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3.61 (3.02)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1.29 (2.19)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0.716 [0.594,0.864]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0.0005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Burning pain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3.06 (3.27)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1.74 (2.95)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0.869 [0.753,1.003]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0.0543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Tingling in the joint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2.81 (3.17)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0.97 (1.99)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0.758 [0.625,0.919]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0.0048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Widespread pain</w:t>
            </w:r>
            <w:r w:rsidRPr="00CC1FA6">
              <w:rPr>
                <w:rFonts w:cs="Times New Roman"/>
                <w:b/>
                <w:bCs/>
                <w:szCs w:val="24"/>
                <w:vertAlign w:val="superscript"/>
                <w:lang w:eastAsia="fr-FR"/>
              </w:rPr>
              <w:t>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4.19 (3.11)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1.73 (2.28)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0.729 [0.613,0.867]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0.0004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Joint blockage/Foreign body sensation</w:t>
            </w:r>
            <w:r w:rsidRPr="00CC1FA6">
              <w:rPr>
                <w:rFonts w:cs="Times New Roman"/>
                <w:szCs w:val="24"/>
                <w:vertAlign w:val="superscript"/>
                <w:lang w:eastAsia="fr-FR"/>
              </w:rPr>
              <w:t>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3.15 (3.24)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2.05 (2.59)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0.881 [0.759,1.021]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0.0930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Joint stiffness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5.02 (3.04)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4.74 (3.03)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0.969 [0.844,1.113]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0.6585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Joint swelling</w:t>
            </w:r>
            <w:r w:rsidRPr="00CC1FA6">
              <w:rPr>
                <w:rFonts w:cs="Times New Roman"/>
                <w:szCs w:val="24"/>
                <w:vertAlign w:val="superscript"/>
                <w:lang w:eastAsia="fr-FR"/>
              </w:rPr>
              <w:t>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4.61 (3.25)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3.55 (2.83)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0.893 [0.779,1.025]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0.1090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More intense pain at night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2.41 (2.72)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1.54 (2.61)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0.879 [0.742,1.041]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0.1358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Permanent pain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4.28 (3.01)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3.16 (2.90)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0.878 [0.759,1.016]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0.0800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Pain attacks during the day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5.50 (2.72)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3.21 (2.80)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0.749 [0.636,0.881]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0.0005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Pain that varies from day to day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5.93 (2.89)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4.95 (2.74)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0.884 [0.761,1.027]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0.1074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Weather-related pain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4.46 (3.33)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3.32 (3.35)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0.901 [0.793,1.024]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0.1090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Pain even without physical activity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5.46 (2.49)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3.71 (2.65)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0.766 [0.643,0.913]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0.0029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Limited activity due to pain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Mean (SD)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6.81 (2.53)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5.55 (3.21)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0.856 [0.736,0.994]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0.0420</w:t>
            </w:r>
          </w:p>
        </w:tc>
      </w:tr>
      <w:tr w:rsidR="00F27077" w:rsidRPr="00CC1FA6" w:rsidTr="00E10B5A">
        <w:trPr>
          <w:trHeight w:val="20"/>
        </w:trPr>
        <w:tc>
          <w:tcPr>
            <w:tcW w:w="167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>
              <w:rPr>
                <w:rFonts w:cs="Times New Roman"/>
                <w:b/>
                <w:bCs/>
                <w:szCs w:val="24"/>
                <w:lang w:eastAsia="fr-FR"/>
              </w:rPr>
              <w:t>Clusters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>
              <w:rPr>
                <w:rFonts w:cs="Times New Roman"/>
                <w:b/>
                <w:bCs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>
              <w:rPr>
                <w:rFonts w:cs="Times New Roman"/>
                <w:b/>
                <w:bCs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>
              <w:rPr>
                <w:rFonts w:cs="Times New Roman"/>
                <w:b/>
                <w:bCs/>
                <w:szCs w:val="24"/>
                <w:lang w:eastAsia="fr-FR"/>
              </w:rPr>
              <w:t>37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b/>
                <w:bCs/>
                <w:szCs w:val="24"/>
                <w:lang w:eastAsia="fr-FR"/>
              </w:rPr>
              <w:t>I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b/>
                <w:bCs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b/>
                <w:bCs/>
                <w:color w:val="000000"/>
                <w:szCs w:val="24"/>
                <w:lang w:eastAsia="fr-FR"/>
              </w:rPr>
              <w:t>14 (37.8%)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b/>
                <w:bCs/>
                <w:color w:val="000000"/>
                <w:szCs w:val="24"/>
                <w:lang w:eastAsia="fr-FR"/>
              </w:rPr>
              <w:t>23 (62.2%)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b/>
                <w:bCs/>
                <w:color w:val="000000"/>
                <w:szCs w:val="24"/>
                <w:lang w:eastAsia="fr-FR"/>
              </w:rPr>
              <w:t>9.854 [1.916,50.675]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b/>
                <w:bCs/>
                <w:color w:val="000000"/>
                <w:szCs w:val="24"/>
                <w:lang w:eastAsia="fr-FR"/>
              </w:rPr>
              <w:t>0.0058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szCs w:val="24"/>
                <w:lang w:eastAsia="fr-FR"/>
              </w:rPr>
              <w:t>II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14 (63.6%)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8 (36.4%)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3.427 [0.607,19.344]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szCs w:val="24"/>
                <w:lang w:eastAsia="fr-FR"/>
              </w:rPr>
              <w:t>III (Ref.)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12 (85.7%)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2 (14.3%)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szCs w:val="24"/>
                <w:lang w:eastAsia="fr-FR"/>
              </w:rPr>
              <w:t>IV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14 (77.8%)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4 (22.2%)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:rsidR="00F27077" w:rsidRPr="00556D62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556D62">
              <w:rPr>
                <w:rFonts w:cs="Times New Roman"/>
                <w:color w:val="000000"/>
                <w:szCs w:val="24"/>
                <w:lang w:eastAsia="fr-FR"/>
              </w:rPr>
              <w:t>1.714 [0.266,11.054]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F27077" w:rsidRPr="00556D62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67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Concomitant treatment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N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Anti</w:t>
            </w:r>
            <w:r>
              <w:rPr>
                <w:rFonts w:cs="Times New Roman"/>
                <w:szCs w:val="24"/>
                <w:lang w:eastAsia="fr-FR"/>
              </w:rPr>
              <w:t>-</w:t>
            </w:r>
            <w:r w:rsidRPr="00CC1FA6">
              <w:rPr>
                <w:rFonts w:cs="Times New Roman"/>
                <w:szCs w:val="24"/>
                <w:lang w:eastAsia="fr-FR"/>
              </w:rPr>
              <w:t>inflammatory drugs</w:t>
            </w:r>
            <w:r>
              <w:rPr>
                <w:rFonts w:cs="Times New Roman"/>
                <w:szCs w:val="24"/>
                <w:lang w:eastAsia="fr-FR"/>
              </w:rPr>
              <w:t>: Yes (Ref.)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D0713E"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15 (51.7%)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14 (48.3%)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 xml:space="preserve">No </w:t>
            </w:r>
            <w:r w:rsidRPr="009D6F6F">
              <w:rPr>
                <w:rFonts w:cs="Times New Roman"/>
                <w:szCs w:val="24"/>
                <w:vertAlign w:val="superscript"/>
                <w:lang w:eastAsia="fr-FR"/>
              </w:rPr>
              <w:t>*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D0713E"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39 (61.9%)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24 (38.1%)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0.659 [0.271,1.603]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0.3581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Analgesics</w:t>
            </w:r>
            <w:r>
              <w:rPr>
                <w:rFonts w:cs="Times New Roman"/>
                <w:b/>
                <w:bCs/>
                <w:szCs w:val="24"/>
                <w:lang w:eastAsia="fr-FR"/>
              </w:rPr>
              <w:t>: Yes (Ref.)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:rsidR="00F27077" w:rsidRPr="009D6F6F" w:rsidRDefault="00F27077" w:rsidP="00E10B5A">
            <w:pPr>
              <w:jc w:val="right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9D6F6F">
              <w:rPr>
                <w:rFonts w:cs="Times New Roman"/>
                <w:b/>
                <w:bCs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9D6F6F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9D6F6F">
              <w:rPr>
                <w:rFonts w:cs="Times New Roman"/>
                <w:b/>
                <w:bCs/>
                <w:szCs w:val="24"/>
                <w:lang w:eastAsia="fr-FR"/>
              </w:rPr>
              <w:t>36 (66.7%)</w:t>
            </w:r>
          </w:p>
        </w:tc>
        <w:tc>
          <w:tcPr>
            <w:tcW w:w="7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cs="Times New Roman"/>
                <w:b/>
                <w:bCs/>
                <w:szCs w:val="24"/>
                <w:lang w:eastAsia="fr-FR"/>
              </w:rPr>
              <w:t>18 (33.3%)</w:t>
            </w:r>
          </w:p>
        </w:tc>
        <w:tc>
          <w:tcPr>
            <w:tcW w:w="8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b/>
                <w:bCs/>
                <w:szCs w:val="24"/>
                <w:lang w:eastAsia="fr-FR"/>
              </w:rPr>
              <w:t>0.0662</w:t>
            </w:r>
          </w:p>
        </w:tc>
      </w:tr>
      <w:tr w:rsidR="00F27077" w:rsidRPr="00CC1FA6" w:rsidTr="00E10B5A">
        <w:trPr>
          <w:trHeight w:val="20"/>
        </w:trPr>
        <w:tc>
          <w:tcPr>
            <w:tcW w:w="1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both"/>
              <w:rPr>
                <w:rFonts w:cs="Times New Roman"/>
                <w:szCs w:val="24"/>
                <w:lang w:eastAsia="fr-FR"/>
              </w:rPr>
            </w:pPr>
          </w:p>
        </w:tc>
        <w:tc>
          <w:tcPr>
            <w:tcW w:w="156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cs="Times New Roman"/>
                <w:szCs w:val="24"/>
                <w:lang w:eastAsia="fr-FR"/>
              </w:rPr>
            </w:pPr>
            <w:r>
              <w:rPr>
                <w:rFonts w:cs="Times New Roman"/>
                <w:szCs w:val="24"/>
                <w:lang w:eastAsia="fr-FR"/>
              </w:rPr>
              <w:t xml:space="preserve">No </w:t>
            </w:r>
            <w:r w:rsidRPr="009D6F6F">
              <w:rPr>
                <w:rFonts w:cs="Times New Roman"/>
                <w:szCs w:val="24"/>
                <w:vertAlign w:val="superscript"/>
                <w:lang w:eastAsia="fr-FR"/>
              </w:rPr>
              <w:t>*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:rsidR="00F27077" w:rsidRPr="00CC1FA6" w:rsidRDefault="00F27077" w:rsidP="00E10B5A">
            <w:pPr>
              <w:jc w:val="right"/>
              <w:rPr>
                <w:rFonts w:cs="Times New Roman"/>
                <w:szCs w:val="24"/>
                <w:lang w:eastAsia="fr-FR"/>
              </w:rPr>
            </w:pPr>
            <w:r w:rsidRPr="00753A78">
              <w:rPr>
                <w:rFonts w:cs="Times New Roman"/>
                <w:szCs w:val="24"/>
                <w:lang w:eastAsia="fr-FR"/>
              </w:rPr>
              <w:t>N (%)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18 (47.4%)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cs="Times New Roman"/>
                <w:szCs w:val="24"/>
                <w:lang w:eastAsia="fr-FR"/>
              </w:rPr>
            </w:pPr>
            <w:r w:rsidRPr="00CC1FA6">
              <w:rPr>
                <w:rFonts w:cs="Times New Roman"/>
                <w:szCs w:val="24"/>
                <w:lang w:eastAsia="fr-FR"/>
              </w:rPr>
              <w:t>20 (52.6%)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CC1FA6">
              <w:rPr>
                <w:rFonts w:eastAsia="Times New Roman" w:cs="Times New Roman"/>
                <w:szCs w:val="24"/>
                <w:lang w:eastAsia="fr-FR"/>
              </w:rPr>
              <w:t>2.222 [0.948,5.209]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F27077" w:rsidRPr="00CC1FA6" w:rsidRDefault="00F27077" w:rsidP="00E10B5A">
            <w:pPr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</w:tbl>
    <w:p w:rsidR="00F27077" w:rsidRPr="00CC1FA6" w:rsidRDefault="00F27077" w:rsidP="00F27077">
      <w:pPr>
        <w:keepNext/>
        <w:jc w:val="both"/>
      </w:pPr>
      <w:r w:rsidRPr="00CC1FA6">
        <w:lastRenderedPageBreak/>
        <w:t xml:space="preserve">BMI: body mass index; CI: confidence interval; DN4: </w:t>
      </w:r>
      <w:r w:rsidRPr="00CC1FA6">
        <w:rPr>
          <w:i/>
          <w:iCs/>
        </w:rPr>
        <w:t>Douleur Neuropathique en 4 questions</w:t>
      </w:r>
      <w:r w:rsidRPr="00CC1FA6">
        <w:t>; KOA: knee osteoarthritis; LAFI: Lequesne algofunctional index; N: number of patients; PASS: Patient Acceptable Symptom Scale; SD: standard deviation; VAS: Visual Analogue Scale.</w:t>
      </w:r>
    </w:p>
    <w:p w:rsidR="00F27077" w:rsidRDefault="00F27077" w:rsidP="00F27077">
      <w:pPr>
        <w:keepNext/>
        <w:jc w:val="both"/>
      </w:pPr>
      <w:r w:rsidRPr="00CC1FA6">
        <w:t>Patients were responders if their PASS was positive on Day 30.</w:t>
      </w:r>
    </w:p>
    <w:p w:rsidR="00F27077" w:rsidRPr="00CC1FA6" w:rsidRDefault="00F27077" w:rsidP="00F27077">
      <w:pPr>
        <w:keepNext/>
        <w:jc w:val="both"/>
      </w:pPr>
      <w:r w:rsidRPr="00CC1FA6">
        <w:t xml:space="preserve">In bold variables included in the multivariate analysis. </w:t>
      </w:r>
    </w:p>
    <w:p w:rsidR="00F27077" w:rsidRPr="00CC1FA6" w:rsidRDefault="00F27077" w:rsidP="00F27077">
      <w:pPr>
        <w:keepNext/>
        <w:jc w:val="both"/>
      </w:pPr>
      <w:r w:rsidRPr="009D6F6F">
        <w:rPr>
          <w:vertAlign w:val="superscript"/>
        </w:rPr>
        <w:t>*</w:t>
      </w:r>
      <w:r w:rsidRPr="00CC1FA6">
        <w:t xml:space="preserve"> No or unknown status; </w:t>
      </w:r>
      <w:r w:rsidRPr="00CC1FA6">
        <w:rPr>
          <w:rFonts w:cs="Times New Roman"/>
          <w:szCs w:val="24"/>
          <w:vertAlign w:val="superscript"/>
          <w:lang w:eastAsia="fr-FR"/>
        </w:rPr>
        <w:t xml:space="preserve">† </w:t>
      </w:r>
      <w:r w:rsidRPr="00CC1FA6">
        <w:rPr>
          <w:rFonts w:cs="Times New Roman"/>
          <w:szCs w:val="24"/>
          <w:lang w:eastAsia="fr-FR"/>
        </w:rPr>
        <w:t>responders: one missing data (N=37)</w:t>
      </w:r>
      <w:r w:rsidRPr="00CC1FA6">
        <w:t>.</w:t>
      </w:r>
    </w:p>
    <w:p w:rsidR="008D1C6D" w:rsidRDefault="008D1C6D">
      <w:bookmarkStart w:id="0" w:name="_GoBack"/>
      <w:bookmarkEnd w:id="0"/>
    </w:p>
    <w:sectPr w:rsidR="008D1C6D" w:rsidSect="00445906">
      <w:footerReference w:type="default" r:id="rId6"/>
      <w:pgSz w:w="16838" w:h="11906" w:orient="landscape" w:code="9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A3E" w:rsidRDefault="00F27077" w:rsidP="005D2A8F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>/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:rsidR="00E37A3E" w:rsidRDefault="00F2707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A3E" w:rsidRDefault="00F27077" w:rsidP="005D2A8F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</w:t>
    </w:r>
    <w:r>
      <w:fldChar w:fldCharType="end"/>
    </w:r>
    <w:r>
      <w:t>/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noProof/>
      </w:rPr>
      <w:t>8</w:t>
    </w:r>
    <w:r>
      <w:rPr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077"/>
    <w:rsid w:val="008D1C6D"/>
    <w:rsid w:val="00F2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077"/>
    <w:pPr>
      <w:spacing w:after="0" w:line="480" w:lineRule="auto"/>
    </w:pPr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707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27077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7077"/>
    <w:rPr>
      <w:rFonts w:ascii="Times New Roman" w:hAnsi="Times New Roman"/>
      <w:sz w:val="24"/>
      <w:lang w:val="en-GB"/>
    </w:rPr>
  </w:style>
  <w:style w:type="paragraph" w:styleId="Caption">
    <w:name w:val="caption"/>
    <w:basedOn w:val="Heading1"/>
    <w:next w:val="Normal"/>
    <w:link w:val="CaptionChar"/>
    <w:uiPriority w:val="35"/>
    <w:qFormat/>
    <w:rsid w:val="00F27077"/>
    <w:pPr>
      <w:keepLines w:val="0"/>
      <w:spacing w:before="0"/>
      <w:jc w:val="both"/>
    </w:pPr>
    <w:rPr>
      <w:rFonts w:ascii="Times New Roman" w:eastAsiaTheme="minorHAnsi" w:hAnsi="Times New Roman" w:cstheme="minorBidi"/>
      <w:color w:val="auto"/>
      <w:sz w:val="24"/>
      <w:szCs w:val="22"/>
    </w:rPr>
  </w:style>
  <w:style w:type="character" w:customStyle="1" w:styleId="CaptionChar">
    <w:name w:val="Caption Char"/>
    <w:link w:val="Caption"/>
    <w:uiPriority w:val="35"/>
    <w:locked/>
    <w:rsid w:val="00F27077"/>
    <w:rPr>
      <w:rFonts w:ascii="Times New Roman" w:hAnsi="Times New Roman"/>
      <w:b/>
      <w:bCs/>
      <w:sz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F270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F270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077"/>
    <w:pPr>
      <w:spacing w:after="0" w:line="480" w:lineRule="auto"/>
    </w:pPr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707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27077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7077"/>
    <w:rPr>
      <w:rFonts w:ascii="Times New Roman" w:hAnsi="Times New Roman"/>
      <w:sz w:val="24"/>
      <w:lang w:val="en-GB"/>
    </w:rPr>
  </w:style>
  <w:style w:type="paragraph" w:styleId="Caption">
    <w:name w:val="caption"/>
    <w:basedOn w:val="Heading1"/>
    <w:next w:val="Normal"/>
    <w:link w:val="CaptionChar"/>
    <w:uiPriority w:val="35"/>
    <w:qFormat/>
    <w:rsid w:val="00F27077"/>
    <w:pPr>
      <w:keepLines w:val="0"/>
      <w:spacing w:before="0"/>
      <w:jc w:val="both"/>
    </w:pPr>
    <w:rPr>
      <w:rFonts w:ascii="Times New Roman" w:eastAsiaTheme="minorHAnsi" w:hAnsi="Times New Roman" w:cstheme="minorBidi"/>
      <w:color w:val="auto"/>
      <w:sz w:val="24"/>
      <w:szCs w:val="22"/>
    </w:rPr>
  </w:style>
  <w:style w:type="character" w:customStyle="1" w:styleId="CaptionChar">
    <w:name w:val="Caption Char"/>
    <w:link w:val="Caption"/>
    <w:uiPriority w:val="35"/>
    <w:locked/>
    <w:rsid w:val="00F27077"/>
    <w:rPr>
      <w:rFonts w:ascii="Times New Roman" w:hAnsi="Times New Roman"/>
      <w:b/>
      <w:bCs/>
      <w:sz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F270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F270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901</Words>
  <Characters>5140</Characters>
  <Application>Microsoft Office Word</Application>
  <DocSecurity>0</DocSecurity>
  <Lines>42</Lines>
  <Paragraphs>12</Paragraphs>
  <ScaleCrop>false</ScaleCrop>
  <Company>Hewlett-Packard Company</Company>
  <LinksUpToDate>false</LinksUpToDate>
  <CharactersWithSpaces>6029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Dhable, Ruchi, Crest</dc:creator>
  <cp:lastModifiedBy>Dhable, Ruchi, Crest</cp:lastModifiedBy>
  <cp:revision>1</cp:revision>
  <dcterms:created xsi:type="dcterms:W3CDTF">2020-08-11T16:39:00Z</dcterms:created>
  <dcterms:modified xsi:type="dcterms:W3CDTF">2020-08-11T16:40:00Z</dcterms:modified>
</cp:coreProperties>
</file>