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7B31AD" w14:textId="77777777" w:rsidR="00FB17BD" w:rsidRDefault="00FB17BD" w:rsidP="00FB17BD">
      <w:pPr>
        <w:jc w:val="center"/>
        <w:rPr>
          <w:rFonts w:ascii="Arial" w:hAnsi="Arial" w:cs="Arial"/>
          <w:kern w:val="0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Supplementary Materials for</w:t>
      </w:r>
    </w:p>
    <w:p w14:paraId="372D9FE7" w14:textId="77777777" w:rsidR="00FB17BD" w:rsidRDefault="00FB17BD" w:rsidP="00FB17BD">
      <w:pPr>
        <w:rPr>
          <w:rFonts w:ascii="Arial" w:hAnsi="Arial" w:cs="Arial"/>
          <w:szCs w:val="20"/>
        </w:rPr>
      </w:pPr>
    </w:p>
    <w:p w14:paraId="0A071216" w14:textId="77777777" w:rsidR="00FB17BD" w:rsidRDefault="00FB17BD" w:rsidP="00FB17BD">
      <w:pPr>
        <w:spacing w:line="480" w:lineRule="auto"/>
        <w:jc w:val="center"/>
        <w:rPr>
          <w:rFonts w:ascii="Arial" w:hAnsi="Arial" w:cs="Arial"/>
        </w:rPr>
      </w:pPr>
      <w:r w:rsidRPr="00FB17BD">
        <w:rPr>
          <w:rFonts w:ascii="Arial" w:hAnsi="Arial" w:cs="Arial"/>
        </w:rPr>
        <w:t xml:space="preserve">Noncanonical </w:t>
      </w:r>
      <w:proofErr w:type="spellStart"/>
      <w:r w:rsidRPr="00FB17BD">
        <w:rPr>
          <w:rFonts w:ascii="Arial" w:hAnsi="Arial" w:cs="Arial"/>
        </w:rPr>
        <w:t>Nf-κB</w:t>
      </w:r>
      <w:proofErr w:type="spellEnd"/>
      <w:r w:rsidRPr="00FB17BD">
        <w:rPr>
          <w:rFonts w:ascii="Arial" w:hAnsi="Arial" w:cs="Arial"/>
        </w:rPr>
        <w:t xml:space="preserve"> activation by icariin-triggered CEBP-β/G-CSF axis confers neuroprotection in ischemic optic neuropathy </w:t>
      </w:r>
    </w:p>
    <w:p w14:paraId="25E04FC9" w14:textId="2DA44413" w:rsidR="00FB17BD" w:rsidRPr="00B10206" w:rsidRDefault="00FB17BD" w:rsidP="00FB17BD">
      <w:r w:rsidRPr="00B10206">
        <w:t xml:space="preserve">Tushar Dnyaneshwar Desai, Yao-Tseng Wen, Jayasimha </w:t>
      </w:r>
      <w:proofErr w:type="spellStart"/>
      <w:r w:rsidRPr="00B10206">
        <w:t>Rayalu</w:t>
      </w:r>
      <w:proofErr w:type="spellEnd"/>
      <w:r w:rsidRPr="00B10206">
        <w:t xml:space="preserve"> </w:t>
      </w:r>
      <w:proofErr w:type="spellStart"/>
      <w:r w:rsidRPr="00B10206">
        <w:t>Daddam</w:t>
      </w:r>
      <w:proofErr w:type="spellEnd"/>
      <w:r w:rsidRPr="00B10206">
        <w:t>, Rong-Kung Tsai</w:t>
      </w:r>
      <w:r w:rsidRPr="00B10206">
        <w:rPr>
          <w:b/>
        </w:rPr>
        <w:t>*</w:t>
      </w:r>
    </w:p>
    <w:p w14:paraId="1919AF17" w14:textId="58DF0EC6" w:rsidR="00FB17BD" w:rsidRDefault="00FB17BD" w:rsidP="00FB17BD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Correspondence to: </w:t>
      </w:r>
      <w:r w:rsidRPr="00B10206">
        <w:t>rktsai@tzuchi.com.tw</w:t>
      </w:r>
    </w:p>
    <w:p w14:paraId="095ED289" w14:textId="77777777" w:rsidR="00FB17BD" w:rsidRDefault="00FB17BD" w:rsidP="00FB17BD">
      <w:pPr>
        <w:rPr>
          <w:rFonts w:ascii="Arial" w:hAnsi="Arial" w:cs="Arial"/>
          <w:szCs w:val="20"/>
        </w:rPr>
      </w:pPr>
    </w:p>
    <w:p w14:paraId="15BF88B2" w14:textId="77777777" w:rsidR="00FB17BD" w:rsidRDefault="00FB17BD" w:rsidP="00FB17BD">
      <w:pPr>
        <w:rPr>
          <w:rFonts w:ascii="Arial" w:hAnsi="Arial" w:cs="Arial"/>
          <w:b/>
        </w:rPr>
      </w:pPr>
    </w:p>
    <w:p w14:paraId="6FEBCD9B" w14:textId="77777777" w:rsidR="00FB17BD" w:rsidRDefault="00FB17BD" w:rsidP="00FB17BD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This PDF file includes:</w:t>
      </w:r>
    </w:p>
    <w:p w14:paraId="443BB54F" w14:textId="77777777" w:rsidR="00FB17BD" w:rsidRDefault="00FB17BD" w:rsidP="00FB17BD">
      <w:pPr>
        <w:rPr>
          <w:rFonts w:ascii="Arial" w:hAnsi="Arial" w:cs="Arial"/>
        </w:rPr>
      </w:pPr>
    </w:p>
    <w:p w14:paraId="41A7773C" w14:textId="61A8203A" w:rsidR="00FB17BD" w:rsidRDefault="00FB17BD" w:rsidP="00FB17BD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>Fig</w:t>
      </w:r>
      <w:r>
        <w:rPr>
          <w:rFonts w:ascii="Arial" w:hAnsi="Arial" w:cs="Arial"/>
          <w:lang w:eastAsia="zh-CN"/>
        </w:rPr>
        <w:t>ure</w:t>
      </w:r>
      <w:r>
        <w:rPr>
          <w:rFonts w:ascii="Arial" w:hAnsi="Arial" w:cs="Arial"/>
        </w:rPr>
        <w:t>s. S1 to S3</w:t>
      </w:r>
    </w:p>
    <w:p w14:paraId="09E94896" w14:textId="77777777" w:rsidR="00FB17BD" w:rsidRDefault="00FB17BD" w:rsidP="00FB17BD">
      <w:pPr>
        <w:ind w:left="720"/>
        <w:rPr>
          <w:rFonts w:ascii="Arial" w:hAnsi="Arial" w:cs="Arial"/>
        </w:rPr>
      </w:pPr>
    </w:p>
    <w:p w14:paraId="3045091E" w14:textId="55924B1A" w:rsidR="00FB17BD" w:rsidRPr="00FB17BD" w:rsidRDefault="00FB17BD" w:rsidP="00FB17BD">
      <w:pPr>
        <w:rPr>
          <w:rFonts w:ascii="Arial" w:hAnsi="Arial" w:cs="Arial"/>
        </w:rPr>
      </w:pPr>
      <w:r w:rsidRPr="00B10206">
        <w:rPr>
          <w:noProof/>
        </w:rPr>
        <w:drawing>
          <wp:inline distT="0" distB="0" distL="0" distR="0" wp14:anchorId="07F6805E" wp14:editId="16A74BBA">
            <wp:extent cx="3626504" cy="4568190"/>
            <wp:effectExtent l="0" t="0" r="0" b="381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2169" cy="45753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37B9A70" w14:textId="1D0B076E" w:rsidR="00FB17BD" w:rsidRPr="00B10206" w:rsidRDefault="00FB17BD" w:rsidP="00FB17BD">
      <w:r w:rsidRPr="008B536B">
        <w:rPr>
          <w:b/>
          <w:bCs/>
        </w:rPr>
        <w:t xml:space="preserve">Figure </w:t>
      </w:r>
      <w:r>
        <w:rPr>
          <w:b/>
          <w:bCs/>
        </w:rPr>
        <w:t>S</w:t>
      </w:r>
      <w:r w:rsidRPr="008B536B">
        <w:rPr>
          <w:b/>
          <w:bCs/>
        </w:rPr>
        <w:t>1:</w:t>
      </w:r>
      <w:r w:rsidRPr="00B10206">
        <w:rPr>
          <w:kern w:val="24"/>
        </w:rPr>
        <w:t xml:space="preserve"> </w:t>
      </w:r>
      <w:r w:rsidRPr="008B536B">
        <w:rPr>
          <w:b/>
          <w:bCs/>
        </w:rPr>
        <w:t>IKK-β is a potential kinase for PTEN.</w:t>
      </w:r>
    </w:p>
    <w:p w14:paraId="17E0B306" w14:textId="4B28C394" w:rsidR="00FB17BD" w:rsidRDefault="00FB17BD" w:rsidP="00FB17BD">
      <w:r w:rsidRPr="00B10206">
        <w:t xml:space="preserve">Phosphorylation sites on PTEN by IKK-β predicted using the </w:t>
      </w:r>
      <w:proofErr w:type="spellStart"/>
      <w:r w:rsidRPr="00B10206">
        <w:t>Kine</w:t>
      </w:r>
      <w:proofErr w:type="spellEnd"/>
      <w:r w:rsidRPr="00B10206">
        <w:t xml:space="preserve"> </w:t>
      </w:r>
      <w:proofErr w:type="spellStart"/>
      <w:r w:rsidRPr="00B10206">
        <w:t>Phos</w:t>
      </w:r>
      <w:proofErr w:type="spellEnd"/>
      <w:r w:rsidRPr="00B10206">
        <w:t xml:space="preserve"> 2.0 prediction bioinformatics tool.</w:t>
      </w:r>
    </w:p>
    <w:p w14:paraId="75E3DC94" w14:textId="41921579" w:rsidR="00FB17BD" w:rsidRDefault="00FB17BD" w:rsidP="00FB17BD"/>
    <w:p w14:paraId="1C4E989A" w14:textId="0E411707" w:rsidR="00FB17BD" w:rsidRDefault="00FB17BD" w:rsidP="00FB17BD"/>
    <w:p w14:paraId="721D1B2A" w14:textId="77777777" w:rsidR="00FB17BD" w:rsidRPr="00B10206" w:rsidRDefault="00FB17BD" w:rsidP="00FB17BD"/>
    <w:p w14:paraId="2240BC15" w14:textId="21284CBB" w:rsidR="00FB17BD" w:rsidRPr="00B10206" w:rsidRDefault="00FB17BD" w:rsidP="00FB17BD">
      <w:r w:rsidRPr="00B10206">
        <w:rPr>
          <w:noProof/>
        </w:rPr>
        <w:drawing>
          <wp:inline distT="0" distB="0" distL="0" distR="0" wp14:anchorId="22147568" wp14:editId="05E8D799">
            <wp:extent cx="4998085" cy="2041261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4372" cy="20519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87C2F5F" w14:textId="15582A73" w:rsidR="00FB17BD" w:rsidRPr="008B536B" w:rsidRDefault="00FB17BD" w:rsidP="00FB17BD">
      <w:pPr>
        <w:rPr>
          <w:b/>
          <w:bCs/>
        </w:rPr>
      </w:pPr>
      <w:r w:rsidRPr="008B536B">
        <w:rPr>
          <w:b/>
          <w:bCs/>
        </w:rPr>
        <w:t xml:space="preserve">Figure </w:t>
      </w:r>
      <w:r>
        <w:rPr>
          <w:b/>
          <w:bCs/>
        </w:rPr>
        <w:t>S</w:t>
      </w:r>
      <w:r w:rsidRPr="008B536B">
        <w:rPr>
          <w:b/>
          <w:bCs/>
        </w:rPr>
        <w:t>2: Icariin stimulates the G-CSF progression in dose dependent manner.</w:t>
      </w:r>
    </w:p>
    <w:p w14:paraId="3F321CC3" w14:textId="77777777" w:rsidR="00FB17BD" w:rsidRPr="00B10206" w:rsidRDefault="00FB17BD" w:rsidP="00FB17BD">
      <w:r w:rsidRPr="00B10206">
        <w:t xml:space="preserve">Immunoblot analysis for G-CSF expression of ARPE19 cells exposed to different doses of Icariin </w:t>
      </w:r>
    </w:p>
    <w:p w14:paraId="00864919" w14:textId="693282FB" w:rsidR="00FB17BD" w:rsidRDefault="00FB17BD" w:rsidP="00FB17BD"/>
    <w:p w14:paraId="51D7BC43" w14:textId="6E1723EA" w:rsidR="00FB17BD" w:rsidRPr="00B10206" w:rsidRDefault="00FB17BD" w:rsidP="00FB17BD">
      <w:r w:rsidRPr="00B10206">
        <w:rPr>
          <w:noProof/>
        </w:rPr>
        <w:drawing>
          <wp:inline distT="0" distB="0" distL="0" distR="0" wp14:anchorId="08C9BF39" wp14:editId="3EB9A0E2">
            <wp:extent cx="5247005" cy="1497330"/>
            <wp:effectExtent l="0" t="0" r="0" b="7620"/>
            <wp:docPr id="1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7005" cy="149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AEF8E8" w14:textId="3521B53C" w:rsidR="00FB17BD" w:rsidRPr="008B536B" w:rsidRDefault="00FB17BD" w:rsidP="00FB17BD">
      <w:pPr>
        <w:rPr>
          <w:b/>
          <w:bCs/>
        </w:rPr>
      </w:pPr>
      <w:r w:rsidRPr="008B536B">
        <w:rPr>
          <w:b/>
          <w:bCs/>
        </w:rPr>
        <w:t xml:space="preserve">Figure </w:t>
      </w:r>
      <w:r>
        <w:rPr>
          <w:b/>
          <w:bCs/>
        </w:rPr>
        <w:t>S</w:t>
      </w:r>
      <w:r>
        <w:rPr>
          <w:b/>
          <w:bCs/>
        </w:rPr>
        <w:t>3</w:t>
      </w:r>
      <w:r w:rsidRPr="008B536B">
        <w:rPr>
          <w:b/>
          <w:bCs/>
        </w:rPr>
        <w:t>:</w:t>
      </w:r>
      <w:r w:rsidRPr="008B536B">
        <w:rPr>
          <w:b/>
          <w:bCs/>
          <w:kern w:val="24"/>
        </w:rPr>
        <w:t xml:space="preserve"> </w:t>
      </w:r>
      <w:r w:rsidRPr="008B536B">
        <w:rPr>
          <w:b/>
          <w:bCs/>
        </w:rPr>
        <w:t>Icariin cannot pass the blood–retina barrier.</w:t>
      </w:r>
    </w:p>
    <w:p w14:paraId="658FB84B" w14:textId="77777777" w:rsidR="00FB17BD" w:rsidRPr="00B10206" w:rsidRDefault="00FB17BD" w:rsidP="00FB17BD">
      <w:r w:rsidRPr="00B10206">
        <w:t>The characteristics of icariin were studied based on Lipinski’s rule of five.</w:t>
      </w:r>
    </w:p>
    <w:p w14:paraId="5EDE330C" w14:textId="77777777" w:rsidR="00306666" w:rsidRDefault="00306666"/>
    <w:sectPr w:rsidR="003066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17BD"/>
    <w:rsid w:val="00306666"/>
    <w:rsid w:val="00FB1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0D16D0"/>
  <w15:chartTrackingRefBased/>
  <w15:docId w15:val="{7AE9FB4B-76D1-4CB2-96ED-7438E7667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17BD"/>
    <w:pPr>
      <w:widowControl w:val="0"/>
      <w:tabs>
        <w:tab w:val="left" w:pos="450"/>
      </w:tabs>
      <w:snapToGrid w:val="0"/>
      <w:spacing w:after="0" w:line="276" w:lineRule="auto"/>
      <w:contextualSpacing/>
      <w:jc w:val="both"/>
    </w:pPr>
    <w:rPr>
      <w:rFonts w:cstheme="minorHAnsi"/>
      <w:kern w:val="2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unhideWhenUsed/>
    <w:rsid w:val="00FB17B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4362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118</Words>
  <Characters>676</Characters>
  <Application>Microsoft Office Word</Application>
  <DocSecurity>0</DocSecurity>
  <Lines>5</Lines>
  <Paragraphs>1</Paragraphs>
  <ScaleCrop>false</ScaleCrop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Tushar</dc:creator>
  <cp:keywords/>
  <dc:description/>
  <cp:lastModifiedBy>Tushar</cp:lastModifiedBy>
  <cp:revision>1</cp:revision>
  <dcterms:created xsi:type="dcterms:W3CDTF">2021-04-07T07:16:00Z</dcterms:created>
  <dcterms:modified xsi:type="dcterms:W3CDTF">2021-04-07T07:21:00Z</dcterms:modified>
</cp:coreProperties>
</file>