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09C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center"/>
        <w:textAlignment w:val="auto"/>
        <w:rPr>
          <w:rFonts w:hint="default" w:ascii="Arial" w:hAnsi="Arial" w:eastAsia="宋体" w:cs="Arial"/>
          <w:b/>
          <w:bCs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default" w:ascii="Arial" w:hAnsi="Arial" w:eastAsia="宋体" w:cs="Arial"/>
          <w:b/>
          <w:bCs/>
          <w:color w:val="000000"/>
          <w:kern w:val="0"/>
          <w:sz w:val="40"/>
          <w:szCs w:val="40"/>
          <w:lang w:val="en-US" w:eastAsia="zh-CN" w:bidi="ar"/>
        </w:rPr>
        <w:t>Supplementary information</w:t>
      </w:r>
    </w:p>
    <w:p w14:paraId="4B397AB7">
      <w:pPr>
        <w:keepNext w:val="0"/>
        <w:keepLines w:val="0"/>
        <w:widowControl/>
        <w:suppressLineNumbers w:val="0"/>
        <w:jc w:val="center"/>
        <w:rPr>
          <w:rFonts w:hint="default" w:ascii="Arial" w:hAnsi="Arial" w:eastAsia="宋体" w:cs="Arial"/>
          <w:b/>
          <w:bCs/>
          <w:color w:val="000000"/>
          <w:kern w:val="0"/>
          <w:sz w:val="40"/>
          <w:szCs w:val="40"/>
          <w:lang w:val="en-US" w:eastAsia="zh-CN" w:bidi="ar"/>
        </w:rPr>
      </w:pPr>
    </w:p>
    <w:p w14:paraId="37F07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left"/>
        <w:textAlignment w:val="auto"/>
        <w:rPr>
          <w:rFonts w:hint="default" w:ascii="Arial" w:hAnsi="Arial" w:cs="Arial"/>
          <w:b/>
          <w:bCs w:val="0"/>
          <w:sz w:val="32"/>
          <w:szCs w:val="32"/>
        </w:rPr>
      </w:pPr>
      <w:r>
        <w:rPr>
          <w:rFonts w:hint="default" w:ascii="Arial" w:hAnsi="Arial" w:cs="Arial"/>
          <w:b/>
          <w:bCs w:val="0"/>
          <w:sz w:val="32"/>
          <w:szCs w:val="32"/>
        </w:rPr>
        <w:t>A “Plug-n-Play” permeable brick-based microfluidic pump</w:t>
      </w:r>
    </w:p>
    <w:p w14:paraId="290AA691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360" w:lineRule="auto"/>
        <w:ind w:firstLine="0" w:firstLineChars="0"/>
        <w:jc w:val="both"/>
        <w:textAlignment w:val="auto"/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</w:pP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Zhihao Chen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‡</w:t>
      </w:r>
      <w:r>
        <w:rPr>
          <w:rFonts w:hint="eastAsia" w:ascii="Arial" w:hAnsi="Arial" w:cs="Arial"/>
          <w:b/>
          <w:bCs/>
          <w:i w:val="0"/>
          <w:iCs/>
          <w:sz w:val="20"/>
          <w:szCs w:val="20"/>
          <w:vertAlign w:val="superscript"/>
          <w:lang w:val="en-US" w:eastAsia="zh-CN"/>
        </w:rPr>
        <w:t>,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, Jiahao Liu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‡</w:t>
      </w:r>
      <w:r>
        <w:rPr>
          <w:rFonts w:hint="eastAsia" w:ascii="Arial" w:hAnsi="Arial" w:cs="Arial"/>
          <w:b/>
          <w:bCs/>
          <w:i w:val="0"/>
          <w:iCs/>
          <w:sz w:val="20"/>
          <w:szCs w:val="20"/>
          <w:vertAlign w:val="superscript"/>
          <w:lang w:val="en-US" w:eastAsia="zh-CN"/>
        </w:rPr>
        <w:t>,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, Shuqiang Min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, Tonghuan Zhan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, Yange Huang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, Xianchang Wu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,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i w:val="0"/>
          <w:iCs/>
          <w:sz w:val="20"/>
          <w:szCs w:val="20"/>
          <w:lang w:val="en-US" w:eastAsia="zh-CN"/>
        </w:rPr>
        <w:t>Jianfeng Chen</w:t>
      </w:r>
      <w:r>
        <w:rPr>
          <w:rFonts w:hint="eastAsia" w:ascii="Arial" w:hAnsi="Arial" w:cs="Arial"/>
          <w:b/>
          <w:bCs/>
          <w:i w:val="0"/>
          <w:iCs/>
          <w:sz w:val="20"/>
          <w:szCs w:val="20"/>
          <w:vertAlign w:val="superscript"/>
          <w:lang w:val="en-US" w:eastAsia="zh-CN"/>
        </w:rPr>
        <w:t>b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,*</w:t>
      </w:r>
      <w:r>
        <w:rPr>
          <w:rFonts w:hint="eastAsia" w:ascii="Arial" w:hAnsi="Arial" w:cs="Arial"/>
          <w:b/>
          <w:bCs/>
          <w:i w:val="0"/>
          <w:iCs/>
          <w:sz w:val="20"/>
          <w:szCs w:val="20"/>
          <w:lang w:val="en-US" w:eastAsia="zh-CN"/>
        </w:rPr>
        <w:t xml:space="preserve">, 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</w:rPr>
        <w:t>Bing Xu</w:t>
      </w:r>
      <w:r>
        <w:rPr>
          <w:rFonts w:hint="default" w:ascii="Arial" w:hAnsi="Arial" w:cs="Arial"/>
          <w:b/>
          <w:bCs/>
          <w:i w:val="0"/>
          <w:iCs/>
          <w:sz w:val="20"/>
          <w:szCs w:val="20"/>
          <w:vertAlign w:val="superscript"/>
        </w:rPr>
        <w:t>a,*</w:t>
      </w:r>
    </w:p>
    <w:p w14:paraId="036898BE">
      <w:pPr>
        <w:pStyle w:val="3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360" w:lineRule="auto"/>
        <w:jc w:val="both"/>
        <w:textAlignment w:val="auto"/>
        <w:rPr>
          <w:rFonts w:hint="default" w:ascii="Arial" w:hAnsi="Arial" w:cs="Arial"/>
          <w:b w:val="0"/>
          <w:bCs w:val="0"/>
          <w:sz w:val="20"/>
          <w:szCs w:val="20"/>
        </w:rPr>
      </w:pPr>
      <w:r>
        <w:rPr>
          <w:rFonts w:hint="default" w:ascii="Arial" w:hAnsi="Arial" w:cs="Arial"/>
          <w:b w:val="0"/>
          <w:bCs w:val="0"/>
          <w:sz w:val="20"/>
          <w:szCs w:val="20"/>
        </w:rPr>
        <w:t>a School of Mechanical Engineering, Suzhou University of Science and Technology, Suzhou, 215009, China</w:t>
      </w:r>
    </w:p>
    <w:p w14:paraId="6A269379">
      <w:pPr>
        <w:pStyle w:val="3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360" w:lineRule="auto"/>
        <w:jc w:val="both"/>
        <w:textAlignment w:val="auto"/>
        <w:rPr>
          <w:rFonts w:hint="default" w:ascii="Arial" w:hAnsi="Arial" w:cs="Arial" w:eastAsiaTheme="minorEastAsia"/>
          <w:b w:val="0"/>
          <w:bCs w:val="0"/>
          <w:sz w:val="20"/>
          <w:szCs w:val="20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0"/>
          <w:szCs w:val="20"/>
        </w:rPr>
        <w:t xml:space="preserve">b </w:t>
      </w:r>
      <w:r>
        <w:rPr>
          <w:rFonts w:hint="eastAsia" w:ascii="Arial" w:hAnsi="Arial" w:cs="Arial"/>
          <w:b w:val="0"/>
          <w:bCs w:val="0"/>
          <w:sz w:val="20"/>
          <w:szCs w:val="20"/>
          <w:lang w:val="en-US" w:eastAsia="zh-CN"/>
        </w:rPr>
        <w:t>School of Advanced Manufacturing, Nanchang University, Nanchang, 330031, China</w:t>
      </w:r>
    </w:p>
    <w:p w14:paraId="67F8A3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Arial" w:hAnsi="Arial" w:cs="Arial"/>
          <w:b w:val="0"/>
          <w:bCs w:val="0"/>
          <w:sz w:val="20"/>
          <w:szCs w:val="20"/>
        </w:rPr>
      </w:pPr>
      <w:r>
        <w:rPr>
          <w:rFonts w:hint="default" w:ascii="Arial" w:hAnsi="Arial" w:cs="Arial"/>
          <w:b w:val="0"/>
          <w:bCs w:val="0"/>
          <w:sz w:val="20"/>
          <w:szCs w:val="20"/>
          <w:vertAlign w:val="superscript"/>
        </w:rPr>
        <w:t>‡</w:t>
      </w:r>
      <w:r>
        <w:rPr>
          <w:rFonts w:hint="default" w:ascii="Arial" w:hAnsi="Arial" w:cs="Arial"/>
          <w:b w:val="0"/>
          <w:bCs w:val="0"/>
          <w:sz w:val="20"/>
          <w:szCs w:val="20"/>
        </w:rPr>
        <w:t xml:space="preserve"> Equal contributors </w:t>
      </w:r>
    </w:p>
    <w:p w14:paraId="1F576AD3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Style w:val="8"/>
          <w:rFonts w:hint="default" w:ascii="Arial" w:hAnsi="Arial" w:cs="Arial"/>
          <w:b w:val="0"/>
          <w:bCs w:val="0"/>
          <w:sz w:val="20"/>
          <w:szCs w:val="20"/>
        </w:rPr>
      </w:pPr>
      <w:r>
        <w:rPr>
          <w:rStyle w:val="8"/>
          <w:rFonts w:hint="default" w:ascii="Arial" w:hAnsi="Arial" w:cs="Arial"/>
          <w:b w:val="0"/>
          <w:bCs w:val="0"/>
          <w:color w:val="000000" w:themeColor="text1"/>
          <w:sz w:val="20"/>
          <w:szCs w:val="20"/>
          <w:u w:val="none"/>
          <w14:textFill>
            <w14:solidFill>
              <w14:schemeClr w14:val="tx1"/>
            </w14:solidFill>
          </w14:textFill>
        </w:rPr>
        <w:t>mail:</w:t>
      </w:r>
      <w:r>
        <w:rPr>
          <w:rStyle w:val="8"/>
          <w:rFonts w:hint="default" w:ascii="Arial" w:hAnsi="Arial" w:cs="Arial"/>
          <w:b w:val="0"/>
          <w:bCs w:val="0"/>
          <w:color w:val="000000" w:themeColor="text1"/>
          <w:sz w:val="20"/>
          <w:szCs w:val="2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" w:hAnsi="Arial" w:cs="Arial"/>
          <w:b w:val="0"/>
          <w:bCs w:val="0"/>
          <w:sz w:val="20"/>
          <w:szCs w:val="20"/>
        </w:rPr>
        <w:fldChar w:fldCharType="begin"/>
      </w:r>
      <w:r>
        <w:rPr>
          <w:rFonts w:hint="default" w:ascii="Arial" w:hAnsi="Arial" w:cs="Arial"/>
          <w:b w:val="0"/>
          <w:bCs w:val="0"/>
          <w:sz w:val="20"/>
          <w:szCs w:val="20"/>
        </w:rPr>
        <w:instrText xml:space="preserve"> HYPERLINK "mailto:xb022@ustc.edu.cn" </w:instrText>
      </w:r>
      <w:r>
        <w:rPr>
          <w:rFonts w:hint="default" w:ascii="Arial" w:hAnsi="Arial" w:cs="Arial"/>
          <w:b w:val="0"/>
          <w:bCs w:val="0"/>
          <w:sz w:val="20"/>
          <w:szCs w:val="20"/>
        </w:rPr>
        <w:fldChar w:fldCharType="separate"/>
      </w:r>
      <w:r>
        <w:rPr>
          <w:rStyle w:val="8"/>
          <w:rFonts w:hint="default" w:ascii="Arial" w:hAnsi="Arial" w:cs="Arial"/>
          <w:b w:val="0"/>
          <w:bCs w:val="0"/>
          <w:sz w:val="20"/>
          <w:szCs w:val="20"/>
        </w:rPr>
        <w:t>xb022@ustc.edu.cn</w:t>
      </w:r>
      <w:r>
        <w:rPr>
          <w:rStyle w:val="8"/>
          <w:rFonts w:hint="default" w:ascii="Arial" w:hAnsi="Arial" w:cs="Arial"/>
          <w:b w:val="0"/>
          <w:bCs w:val="0"/>
          <w:sz w:val="20"/>
          <w:szCs w:val="20"/>
        </w:rPr>
        <w:fldChar w:fldCharType="end"/>
      </w:r>
      <w:r>
        <w:rPr>
          <w:rStyle w:val="8"/>
          <w:rFonts w:hint="eastAsia" w:eastAsia="宋体" w:cs="Arial"/>
          <w:b w:val="0"/>
          <w:bCs w:val="0"/>
          <w:sz w:val="20"/>
          <w:szCs w:val="20"/>
          <w:u w:val="none"/>
          <w:lang w:val="en-US" w:eastAsia="zh-CN"/>
        </w:rPr>
        <w:t xml:space="preserve"> &amp; </w:t>
      </w:r>
      <w:r>
        <w:rPr>
          <w:rStyle w:val="8"/>
          <w:rFonts w:hint="eastAsia" w:eastAsia="宋体" w:cs="Arial"/>
          <w:b w:val="0"/>
          <w:bCs w:val="0"/>
          <w:sz w:val="20"/>
          <w:szCs w:val="20"/>
          <w:lang w:val="en-US" w:eastAsia="zh-CN"/>
        </w:rPr>
        <w:t>cjf@ncu.edu.cn</w:t>
      </w:r>
      <w:bookmarkStart w:id="0" w:name="_GoBack"/>
      <w:bookmarkEnd w:id="0"/>
    </w:p>
    <w:p w14:paraId="2C8392BD"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br w:type="page"/>
      </w:r>
    </w:p>
    <w:p w14:paraId="751D6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2" w:lineRule="auto"/>
        <w:ind w:firstLine="0" w:firstLineChars="0"/>
        <w:jc w:val="center"/>
        <w:textAlignment w:val="auto"/>
        <w:rPr>
          <w:rFonts w:hint="eastAsia" w:ascii="Myriad Pro Light" w:hAnsi="Myriad Pro Light" w:cs="Times New Roman" w:eastAsiaTheme="minorEastAsia"/>
          <w:b/>
          <w:sz w:val="34"/>
          <w:szCs w:val="34"/>
          <w:lang w:eastAsia="zh-CN"/>
        </w:rPr>
      </w:pPr>
      <w:r>
        <w:rPr>
          <w:rFonts w:hint="eastAsia" w:ascii="Arial" w:hAnsi="Arial" w:cs="Arial" w:eastAsiaTheme="minorEastAsia"/>
          <w:sz w:val="24"/>
          <w:szCs w:val="24"/>
          <w:lang w:eastAsia="zh-CN"/>
        </w:rPr>
        <w:drawing>
          <wp:inline distT="0" distB="0" distL="114300" distR="114300">
            <wp:extent cx="5400040" cy="3032125"/>
            <wp:effectExtent l="0" t="0" r="0" b="0"/>
            <wp:docPr id="37" name="图片 37" descr="辅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辅助"/>
                    <pic:cNvPicPr>
                      <a:picLocks noChangeAspect="1"/>
                    </pic:cNvPicPr>
                  </pic:nvPicPr>
                  <pic:blipFill>
                    <a:blip r:embed="rId4"/>
                    <a:srcRect b="794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EBFA1">
      <w:pPr>
        <w:ind w:left="240" w:right="240"/>
        <w:jc w:val="both"/>
        <w:rPr>
          <w:rFonts w:hint="default" w:ascii="Myriad Pro Light" w:hAnsi="Myriad Pro Light" w:cs="Times New Roman" w:eastAsiaTheme="minorEastAsia"/>
          <w:b/>
          <w:sz w:val="34"/>
          <w:szCs w:val="34"/>
          <w:lang w:val="en-US" w:eastAsia="zh-CN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S1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 xml:space="preserve"> </w:t>
      </w:r>
      <w:r>
        <w:rPr>
          <w:rStyle w:val="13"/>
          <w:rFonts w:hint="eastAsia" w:ascii="Arial" w:hAnsi="Arial" w:cs="Arial"/>
          <w:b w:val="0"/>
          <w:bCs w:val="0"/>
          <w:kern w:val="20"/>
          <w:sz w:val="24"/>
          <w:szCs w:val="24"/>
          <w:lang w:val="en-US" w:eastAsia="zh-CN"/>
        </w:rPr>
        <w:t>The manufacturing process of microfluidic chips.</w:t>
      </w:r>
    </w:p>
    <w:p w14:paraId="435F9971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5FDD1035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3159A565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04FD11D1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0DB56BC4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6C1DC543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73DC81C0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23562492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00B6E53E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3568E842">
      <w:pPr>
        <w:ind w:left="240" w:right="240"/>
        <w:jc w:val="center"/>
        <w:rPr>
          <w:rFonts w:hint="eastAsia" w:ascii="Myriad Pro Light" w:hAnsi="Myriad Pro Light" w:cs="Times New Roman"/>
          <w:b/>
          <w:sz w:val="34"/>
          <w:szCs w:val="34"/>
        </w:rPr>
      </w:pPr>
    </w:p>
    <w:p w14:paraId="2AA7C30A">
      <w:pPr>
        <w:rPr>
          <w:rFonts w:hint="eastAsia" w:eastAsiaTheme="minorEastAsia"/>
          <w:lang w:eastAsia="zh-CN"/>
        </w:rPr>
      </w:pPr>
    </w:p>
    <w:p w14:paraId="62AF76BF">
      <w:r>
        <w:br w:type="page"/>
      </w:r>
    </w:p>
    <w:p w14:paraId="4325F1E4">
      <w:pPr>
        <w:jc w:val="center"/>
      </w:pPr>
      <w:r>
        <w:drawing>
          <wp:inline distT="0" distB="0" distL="0" distR="0">
            <wp:extent cx="3599815" cy="1295400"/>
            <wp:effectExtent l="0" t="0" r="635" b="0"/>
            <wp:docPr id="5" name="图片 5" descr="C:\Users\Administrator\Documents\Tencent Files\2537835769\Image\C2C\Image1\]17UGD641~Y[(10NQ[SC~1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ocuments\Tencent Files\2537835769\Image\C2C\Image1\]17UGD641~Y[(10NQ[SC~1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1D754">
      <w:pPr>
        <w:rPr>
          <w:rFonts w:hint="default" w:ascii="Arial" w:hAnsi="Arial" w:cs="Arial"/>
          <w:sz w:val="24"/>
          <w:szCs w:val="24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>2</w:t>
      </w:r>
      <w:r>
        <w:rPr>
          <w:rFonts w:hint="default" w:ascii="Arial" w:hAnsi="Arial" w:cs="Arial"/>
          <w:sz w:val="24"/>
          <w:szCs w:val="24"/>
        </w:rPr>
        <w:t xml:space="preserve"> Flow rate measurement. a) Schematic diagram and b) real image of instruments for measuring the pump flow rate. </w:t>
      </w:r>
    </w:p>
    <w:p w14:paraId="2351D1D6">
      <w:pPr>
        <w:rPr>
          <w:rFonts w:hint="eastAsia" w:ascii="Arno Pro" w:hAnsi="Arno Pro"/>
          <w:sz w:val="18"/>
          <w:szCs w:val="18"/>
        </w:rPr>
      </w:pPr>
      <w:r>
        <w:rPr>
          <w:rFonts w:ascii="Arno Pro" w:hAnsi="Arno Pro"/>
          <w:sz w:val="18"/>
          <w:szCs w:val="18"/>
        </w:rPr>
        <w:br w:type="page"/>
      </w:r>
    </w:p>
    <w:p w14:paraId="29AE69C6">
      <w:pPr>
        <w:jc w:val="center"/>
      </w:pPr>
      <w:r>
        <w:drawing>
          <wp:inline distT="0" distB="0" distL="0" distR="0">
            <wp:extent cx="3599815" cy="1144270"/>
            <wp:effectExtent l="0" t="0" r="635" b="0"/>
            <wp:docPr id="3" name="图片 3" descr="C:\Users\Administrator\AppData\Roaming\Tencent\Users\2537835769\QQ\WinTemp\RichOle\XK$Z56WLOZ)XDL`NKE1[E5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AppData\Roaming\Tencent\Users\2537835769\QQ\WinTemp\RichOle\XK$Z56WLOZ)XDL`NKE1[E5V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8CD8B">
      <w:pPr>
        <w:rPr>
          <w:rFonts w:hint="default" w:ascii="Arial" w:hAnsi="Arial" w:cs="Arial"/>
          <w:sz w:val="24"/>
          <w:szCs w:val="24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>3</w:t>
      </w:r>
      <w:r>
        <w:rPr>
          <w:rFonts w:hint="default" w:ascii="Arial" w:hAnsi="Arial" w:cs="Arial"/>
          <w:bCs/>
          <w:sz w:val="24"/>
          <w:szCs w:val="24"/>
        </w:rPr>
        <w:t xml:space="preserve"> </w:t>
      </w:r>
      <w:r>
        <w:rPr>
          <w:rFonts w:hint="default" w:ascii="Arial" w:hAnsi="Arial" w:cs="Arial"/>
          <w:sz w:val="24"/>
          <w:szCs w:val="24"/>
        </w:rPr>
        <w:t>Fabrication of PB pumps: write the cutting line by using a marker pen and cut the brick under the action of water flow.</w:t>
      </w:r>
    </w:p>
    <w:p w14:paraId="4494B345"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br w:type="page"/>
      </w:r>
    </w:p>
    <w:p w14:paraId="12FE6C0D">
      <w:pPr>
        <w:jc w:val="center"/>
        <w:rPr>
          <w:i/>
        </w:rPr>
      </w:pPr>
      <w:r>
        <w:drawing>
          <wp:inline distT="0" distB="0" distL="0" distR="0">
            <wp:extent cx="3323590" cy="2680335"/>
            <wp:effectExtent l="0" t="0" r="1270" b="7620"/>
            <wp:docPr id="8" name="图片 8" descr="C:\Users\Administrator\Documents\Tencent Files\2537835769\Image\C2C\Image1\6N{XUJ(C[({_1V@JH{[R]F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ocuments\Tencent Files\2537835769\Image\C2C\Image1\6N{XUJ(C[({_1V@JH{[R]FJ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3590" cy="268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C2BAF">
      <w:pPr>
        <w:jc w:val="both"/>
        <w:rPr>
          <w:rFonts w:hint="default" w:ascii="Arial" w:hAnsi="Arial" w:cs="Arial"/>
          <w:sz w:val="24"/>
          <w:szCs w:val="24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>4</w:t>
      </w:r>
      <w:r>
        <w:rPr>
          <w:rFonts w:hint="default" w:ascii="Arial" w:hAnsi="Arial" w:cs="Arial"/>
          <w:b/>
          <w:bCs/>
          <w:sz w:val="24"/>
          <w:szCs w:val="24"/>
        </w:rPr>
        <w:t xml:space="preserve"> </w:t>
      </w:r>
      <w:r>
        <w:rPr>
          <w:rFonts w:hint="default" w:ascii="Arial" w:hAnsi="Arial" w:cs="Arial"/>
          <w:sz w:val="24"/>
          <w:szCs w:val="24"/>
        </w:rPr>
        <w:t>Hydrophilicity characterization of PB pump within 30 days.</w:t>
      </w:r>
    </w:p>
    <w:p w14:paraId="26C0FDB7">
      <w:pPr>
        <w:widowControl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 w14:paraId="6B852218">
      <w:pPr>
        <w:jc w:val="center"/>
      </w:pPr>
      <w:r>
        <w:drawing>
          <wp:inline distT="0" distB="0" distL="0" distR="0">
            <wp:extent cx="2879725" cy="2270125"/>
            <wp:effectExtent l="0" t="0" r="635" b="635"/>
            <wp:docPr id="6" name="图片 6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" t="1671" r="11490" b="3519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87B95">
      <w:pPr>
        <w:jc w:val="both"/>
        <w:rPr>
          <w:rFonts w:hint="default" w:ascii="Arial" w:hAnsi="Arial" w:cs="Arial"/>
          <w:sz w:val="24"/>
          <w:szCs w:val="24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>5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</w:t>
      </w:r>
      <w:r>
        <w:rPr>
          <w:rFonts w:hint="default" w:ascii="Arial" w:hAnsi="Arial" w:cs="Arial"/>
          <w:sz w:val="24"/>
          <w:szCs w:val="24"/>
        </w:rPr>
        <w:t>Switching the loaded permeable brick pump with unloaded one.</w:t>
      </w:r>
    </w:p>
    <w:p w14:paraId="5A6201A5">
      <w:pPr>
        <w:jc w:val="center"/>
      </w:pPr>
      <w:r>
        <w:rPr>
          <w:rFonts w:hint="eastAsia" w:ascii="Arno Pro" w:hAnsi="Arno Pro"/>
          <w:sz w:val="18"/>
          <w:szCs w:val="18"/>
        </w:rPr>
        <w:br w:type="page"/>
      </w:r>
      <w:r>
        <w:drawing>
          <wp:inline distT="0" distB="0" distL="0" distR="0">
            <wp:extent cx="3599815" cy="1613535"/>
            <wp:effectExtent l="0" t="0" r="6985" b="12065"/>
            <wp:docPr id="1" name="图片 1" descr="C:\Users\Administrator\Documents\Tencent Files\2537835769\Image\C2C\Image1\8HYHF6QYMJXZM6]$E~PI%_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Tencent Files\2537835769\Image\C2C\Image1\8HYHF6QYMJXZM6]$E~PI%_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28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5F554">
      <w:pPr>
        <w:rPr>
          <w:rStyle w:val="13"/>
          <w:rFonts w:hint="default" w:ascii="Arial" w:hAnsi="Arial" w:cs="Arial"/>
          <w:bCs/>
          <w:kern w:val="20"/>
          <w:sz w:val="24"/>
          <w:szCs w:val="24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 xml:space="preserve">6 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>A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 standard (2×2×2 cm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vertAlign w:val="superscript"/>
          <w:lang w:eastAsia="en-US"/>
        </w:rPr>
        <w:t>3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) PB pump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 with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 its six-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>face is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firstly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contact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>ed the outlet of the microfluidic chips.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Then, corresponding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water flow rate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 are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 measured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>, respectively.</w:t>
      </w:r>
    </w:p>
    <w:p w14:paraId="09E8E3E9">
      <w:pPr>
        <w:widowControl/>
        <w:jc w:val="left"/>
        <w:rPr>
          <w:rFonts w:hint="default" w:ascii="Arial" w:hAnsi="Arial" w:cs="Arial"/>
          <w:sz w:val="24"/>
          <w:szCs w:val="24"/>
        </w:rPr>
      </w:pP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br w:type="page"/>
      </w:r>
    </w:p>
    <w:p w14:paraId="3C3FCA2A">
      <w:pPr>
        <w:jc w:val="center"/>
        <w:rPr>
          <w:rFonts w:ascii="Arial" w:hAnsi="Arial" w:cs="Arial"/>
          <w:sz w:val="24"/>
          <w:szCs w:val="24"/>
        </w:rPr>
      </w:pPr>
      <w:r>
        <w:drawing>
          <wp:inline distT="0" distB="0" distL="0" distR="0">
            <wp:extent cx="2879725" cy="2318385"/>
            <wp:effectExtent l="0" t="0" r="0" b="5715"/>
            <wp:docPr id="7" name="图片 7" descr="C:\Users\Administrator\Documents\Tencent Files\2537835769\Image\C2C\Image1\UGMW(5%Y$}2IJN6N~N@[K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Tencent Files\2537835769\Image\C2C\Image1\UGMW(5%Y$}2IJN6N~N@[K2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13A47">
      <w:pP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>7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Characterization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the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homogeneity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of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average flow rate of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PM pump.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 We firstly s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lice bricks of the same size (2x2x2 cm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vertAlign w:val="superscript"/>
          <w:lang w:eastAsia="en-US"/>
        </w:rPr>
        <w:t>3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 xml:space="preserve">) from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a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same permeable brick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 xml:space="preserve">, then 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the flow rate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</w:rPr>
        <w:t>s on the 5 samples are measured</w:t>
      </w:r>
      <w:r>
        <w:rPr>
          <w:rStyle w:val="13"/>
          <w:rFonts w:hint="default" w:ascii="Arial" w:hAnsi="Arial" w:cs="Arial"/>
          <w:bCs/>
          <w:kern w:val="20"/>
          <w:sz w:val="24"/>
          <w:szCs w:val="24"/>
          <w:lang w:eastAsia="en-US"/>
        </w:rPr>
        <w:t>.</w:t>
      </w:r>
    </w:p>
    <w:p w14:paraId="4E0ADA78">
      <w:pPr>
        <w:rPr>
          <w:rFonts w:hint="eastAsia" w:ascii="Arno Pro" w:hAnsi="Arno Pro"/>
          <w:sz w:val="18"/>
          <w:szCs w:val="18"/>
        </w:rPr>
      </w:pPr>
      <w:r>
        <w:rPr>
          <w:rFonts w:ascii="Arno Pro" w:hAnsi="Arno Pro"/>
          <w:sz w:val="18"/>
          <w:szCs w:val="18"/>
        </w:rPr>
        <w:br w:type="page"/>
      </w:r>
    </w:p>
    <w:p w14:paraId="2F253BDC">
      <w:pPr>
        <w:jc w:val="center"/>
      </w:pPr>
      <w:r>
        <w:drawing>
          <wp:inline distT="0" distB="0" distL="0" distR="0">
            <wp:extent cx="2879725" cy="2289175"/>
            <wp:effectExtent l="0" t="0" r="0" b="0"/>
            <wp:docPr id="10" name="图片 10" descr="C:\Users\Administrator\Documents\Tencent Files\2537835769\Image\C2C\Image1\ZY`EFV)G$860PK{X(824U%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ocuments\Tencent Files\2537835769\Image\C2C\Image1\ZY`EFV)G$860PK{X(824U%M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525B3">
      <w:pPr>
        <w:rPr>
          <w:rFonts w:hint="default" w:ascii="Arial" w:hAnsi="Arial" w:cs="Arial"/>
          <w:sz w:val="24"/>
          <w:szCs w:val="24"/>
        </w:rPr>
      </w:pP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>Fig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bCs/>
          <w:kern w:val="20"/>
          <w:sz w:val="24"/>
          <w:szCs w:val="24"/>
          <w:lang w:eastAsia="en-US"/>
        </w:rPr>
        <w:t xml:space="preserve"> S</w:t>
      </w:r>
      <w:r>
        <w:rPr>
          <w:rStyle w:val="13"/>
          <w:rFonts w:hint="eastAsia" w:ascii="Arial" w:hAnsi="Arial" w:cs="Arial"/>
          <w:b/>
          <w:bCs/>
          <w:kern w:val="20"/>
          <w:sz w:val="24"/>
          <w:szCs w:val="24"/>
          <w:lang w:val="en-US" w:eastAsia="zh-CN"/>
        </w:rPr>
        <w:t>8</w:t>
      </w:r>
      <w:r>
        <w:rPr>
          <w:rStyle w:val="13"/>
          <w:rFonts w:hint="default" w:ascii="Arial" w:hAnsi="Arial" w:cs="Arial"/>
          <w:kern w:val="20"/>
          <w:sz w:val="24"/>
          <w:szCs w:val="24"/>
          <w:lang w:eastAsia="en-US"/>
        </w:rPr>
        <w:t xml:space="preserve"> 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Repeatability </w:t>
      </w:r>
      <w:r>
        <w:rPr>
          <w:rStyle w:val="13"/>
          <w:rFonts w:hint="default" w:ascii="Arial" w:hAnsi="Arial" w:cs="Arial"/>
          <w:kern w:val="20"/>
          <w:sz w:val="24"/>
          <w:szCs w:val="24"/>
          <w:lang w:eastAsia="en-US"/>
        </w:rPr>
        <w:t>testing of P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>B</w:t>
      </w:r>
      <w:r>
        <w:rPr>
          <w:rStyle w:val="13"/>
          <w:rFonts w:hint="default" w:ascii="Arial" w:hAnsi="Arial" w:cs="Arial"/>
          <w:kern w:val="20"/>
          <w:sz w:val="24"/>
          <w:szCs w:val="24"/>
          <w:lang w:eastAsia="en-US"/>
        </w:rPr>
        <w:t xml:space="preserve"> pumps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. </w:t>
      </w:r>
      <w:r>
        <w:rPr>
          <w:rStyle w:val="13"/>
          <w:rFonts w:hint="default" w:ascii="Arial" w:hAnsi="Arial" w:cs="Arial"/>
          <w:kern w:val="20"/>
          <w:sz w:val="24"/>
          <w:szCs w:val="24"/>
          <w:lang w:eastAsia="en-US"/>
        </w:rPr>
        <w:t xml:space="preserve">The </w:t>
      </w:r>
      <w:r>
        <w:rPr>
          <w:rFonts w:hint="default" w:ascii="Arial" w:hAnsi="Arial" w:cs="Arial"/>
          <w:sz w:val="24"/>
          <w:szCs w:val="24"/>
        </w:rPr>
        <w:t>average flow rates of PB pumps remain unchanged after 5 usage cycles.</w:t>
      </w:r>
    </w:p>
    <w:p w14:paraId="60DFD5C5">
      <w:pPr>
        <w:rPr>
          <w:rStyle w:val="13"/>
          <w:rFonts w:hint="eastAsia" w:ascii="Arno Pro" w:hAnsi="Arno Pro"/>
          <w:bCs/>
          <w:kern w:val="20"/>
          <w:lang w:eastAsia="en-US"/>
        </w:rPr>
      </w:pPr>
      <w:r>
        <w:rPr>
          <w:rStyle w:val="13"/>
          <w:rFonts w:ascii="Arno Pro" w:hAnsi="Arno Pro"/>
          <w:bCs/>
          <w:kern w:val="20"/>
          <w:lang w:eastAsia="en-US"/>
        </w:rPr>
        <w:br w:type="page"/>
      </w:r>
    </w:p>
    <w:p w14:paraId="1D9E140C">
      <w:pPr>
        <w:widowControl/>
        <w:jc w:val="center"/>
        <w:rPr>
          <w:rStyle w:val="13"/>
          <w:rFonts w:hint="eastAsia" w:ascii="Arno Pro" w:hAnsi="Arno Pro"/>
          <w:kern w:val="20"/>
          <w:lang w:eastAsia="en-US"/>
        </w:rPr>
      </w:pPr>
      <w:r>
        <w:drawing>
          <wp:inline distT="0" distB="0" distL="0" distR="0">
            <wp:extent cx="2879725" cy="2152650"/>
            <wp:effectExtent l="0" t="0" r="3175" b="6350"/>
            <wp:docPr id="17" name="图片 17" descr="C:\Users\Administrator\Documents\Tencent Files\2537835769\Image\C2C\Image1\33__SGQW])[FQKQQ$SX21G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ocuments\Tencent Files\2537835769\Image\C2C\Image1\33__SGQW])[FQKQQ$SX21GI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6" r="5407" b="172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3E170">
      <w:pPr>
        <w:widowControl/>
        <w:ind w:left="240" w:right="240"/>
        <w:rPr>
          <w:rFonts w:hint="default" w:ascii="Arial" w:hAnsi="Arial" w:cs="Arial"/>
          <w:color w:val="FF0000"/>
          <w:sz w:val="24"/>
          <w:szCs w:val="24"/>
        </w:rPr>
      </w:pP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>Fig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 xml:space="preserve"> S</w:t>
      </w:r>
      <w:r>
        <w:rPr>
          <w:rStyle w:val="13"/>
          <w:rFonts w:hint="eastAsia" w:ascii="Arial" w:hAnsi="Arial" w:cs="Arial"/>
          <w:b/>
          <w:kern w:val="20"/>
          <w:sz w:val="24"/>
          <w:szCs w:val="24"/>
          <w:lang w:val="en-US" w:eastAsia="zh-CN"/>
        </w:rPr>
        <w:t>9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 The absorption volume of different bottom surface areas of the pyramid shaped</w:t>
      </w:r>
      <w:r>
        <w:rPr>
          <w:rStyle w:val="13"/>
          <w:rFonts w:hint="default" w:ascii="Arial" w:hAnsi="Arial" w:cs="Arial"/>
          <w:kern w:val="20"/>
          <w:sz w:val="24"/>
          <w:szCs w:val="24"/>
          <w:lang w:val="en-US" w:eastAsia="zh-CN"/>
        </w:rPr>
        <w:t xml:space="preserve"> 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>PB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 xml:space="preserve"> 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>pump (the same height</w:t>
      </w:r>
      <w:r>
        <w:rPr>
          <w:rStyle w:val="13"/>
          <w:rFonts w:hint="default" w:ascii="Arial" w:hAnsi="Arial" w:cs="Arial"/>
          <w:color w:val="auto"/>
          <w:kern w:val="20"/>
          <w:sz w:val="24"/>
          <w:szCs w:val="24"/>
        </w:rPr>
        <w:t>)</w:t>
      </w:r>
      <w:r>
        <w:rPr>
          <w:rFonts w:hint="default" w:ascii="Arial" w:hAnsi="Arial" w:cs="Arial"/>
          <w:sz w:val="24"/>
          <w:szCs w:val="24"/>
        </w:rPr>
        <w:t>.</w:t>
      </w:r>
    </w:p>
    <w:p w14:paraId="50496E79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7D7D0656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7EE4F2E1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74BE0532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22C499CB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4867BF59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77965FCE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238A574A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1ECF8FEA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1C800019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03197573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5EB669DA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6131E0E1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3C031A93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2554ED38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1AC8BF6F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4CDC4750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0BD95162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60D27448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2BDF7006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7B2AB91E">
      <w:pPr>
        <w:widowControl/>
        <w:tabs>
          <w:tab w:val="left" w:pos="743"/>
        </w:tabs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26D70034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7C5B607D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46F80A5B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3FDB6753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7D5EC185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0BC285E9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1FB4A4A9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6BB00689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00FB8A33">
      <w:pPr>
        <w:widowControl/>
        <w:ind w:right="240"/>
        <w:jc w:val="both"/>
      </w:pPr>
    </w:p>
    <w:p w14:paraId="64177532">
      <w:pPr>
        <w:widowControl/>
        <w:ind w:left="240" w:right="240"/>
        <w:jc w:val="center"/>
        <w:rPr>
          <w:rStyle w:val="13"/>
          <w:rFonts w:hint="default" w:ascii="Arial" w:hAnsi="Arial" w:cs="Arial"/>
          <w:b/>
          <w:kern w:val="20"/>
          <w:sz w:val="24"/>
          <w:szCs w:val="24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2879725" cy="2173605"/>
            <wp:effectExtent l="0" t="0" r="635" b="571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rcRect b="122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73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DFE9825">
      <w:pPr>
        <w:widowControl/>
        <w:ind w:left="240" w:right="240"/>
        <w:rPr>
          <w:rFonts w:hint="default" w:ascii="Arial" w:hAnsi="Arial" w:cs="Arial"/>
          <w:color w:val="FF0000"/>
          <w:sz w:val="24"/>
          <w:szCs w:val="24"/>
        </w:rPr>
      </w:pP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>Fig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 xml:space="preserve"> S</w:t>
      </w:r>
      <w:r>
        <w:rPr>
          <w:rStyle w:val="13"/>
          <w:rFonts w:hint="eastAsia" w:ascii="Arial" w:hAnsi="Arial" w:cs="Arial"/>
          <w:b/>
          <w:kern w:val="20"/>
          <w:sz w:val="24"/>
          <w:szCs w:val="24"/>
          <w:lang w:val="en-US" w:eastAsia="zh-CN"/>
        </w:rPr>
        <w:t>10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 The absorption volume of different surface parameters of the</w:t>
      </w:r>
      <w:r>
        <w:rPr>
          <w:rFonts w:hint="default" w:ascii="Arial" w:hAnsi="Arial" w:cs="Arial"/>
          <w:sz w:val="24"/>
          <w:szCs w:val="24"/>
        </w:rPr>
        <w:t xml:space="preserve"> triangular prim shaped PB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 pump (the same height).</w:t>
      </w:r>
      <w:r>
        <w:rPr>
          <w:rFonts w:hint="default" w:ascii="Arial" w:hAnsi="Arial" w:cs="Arial"/>
          <w:color w:val="FF0000"/>
          <w:sz w:val="24"/>
          <w:szCs w:val="24"/>
        </w:rPr>
        <w:t xml:space="preserve"> </w:t>
      </w:r>
    </w:p>
    <w:p w14:paraId="60462225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15D7B4A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69E6B8CD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7050B12B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5E92DB8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BDDE500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03A872A7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FB822DE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73904EC4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6E7F5DB9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27EB7A8A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7C836EFF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CF76F59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41B6091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E0400B7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2221224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F5A3CCD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2DA95B8F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CB58A34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1B24BA1F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13F1CA8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23BCE31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745FE29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24B33D16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4A1DFE75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4D26FD8C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0612229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7FF746E3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1C9BE032">
      <w:pPr>
        <w:widowControl/>
        <w:ind w:right="240"/>
        <w:rPr>
          <w:rStyle w:val="13"/>
          <w:rFonts w:hint="eastAsia" w:ascii="Arno Pro" w:hAnsi="Arno Pro"/>
          <w:b/>
          <w:kern w:val="20"/>
        </w:rPr>
      </w:pPr>
    </w:p>
    <w:p w14:paraId="3858DB5E">
      <w:pPr>
        <w:widowControl/>
        <w:ind w:left="240" w:right="240"/>
        <w:jc w:val="center"/>
        <w:rPr>
          <w:rStyle w:val="13"/>
          <w:rFonts w:hint="eastAsia" w:ascii="Arno Pro" w:hAnsi="Arno Pro"/>
          <w:b/>
          <w:kern w:val="20"/>
        </w:rPr>
      </w:pPr>
      <w:r>
        <w:drawing>
          <wp:inline distT="0" distB="0" distL="0" distR="0">
            <wp:extent cx="2879725" cy="2282190"/>
            <wp:effectExtent l="0" t="0" r="0" b="3810"/>
            <wp:docPr id="18" name="图片 18" descr="C:\Users\Administrator\Documents\Tencent Files\2537835769\Image\C2C\Image1\@]XR`BUFE}[728W87]HJU`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ocuments\Tencent Files\2537835769\Image\C2C\Image1\@]XR`BUFE}[728W87]HJU`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7" r="1037" b="242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439E7">
      <w:pPr>
        <w:widowControl/>
        <w:ind w:left="240" w:right="240"/>
        <w:rPr>
          <w:rFonts w:hint="default" w:ascii="Arial" w:hAnsi="Arial" w:cs="Arial"/>
          <w:color w:val="FF0000"/>
          <w:sz w:val="24"/>
          <w:szCs w:val="24"/>
        </w:rPr>
      </w:pP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>Fig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  <w:lang w:val="en-US" w:eastAsia="zh-CN"/>
        </w:rPr>
        <w:t>.</w:t>
      </w:r>
      <w:r>
        <w:rPr>
          <w:rStyle w:val="13"/>
          <w:rFonts w:hint="default" w:ascii="Arial" w:hAnsi="Arial" w:cs="Arial"/>
          <w:b/>
          <w:kern w:val="20"/>
          <w:sz w:val="24"/>
          <w:szCs w:val="24"/>
        </w:rPr>
        <w:t xml:space="preserve"> S1</w:t>
      </w:r>
      <w:r>
        <w:rPr>
          <w:rStyle w:val="13"/>
          <w:rFonts w:hint="eastAsia" w:ascii="Arial" w:hAnsi="Arial" w:cs="Arial"/>
          <w:b/>
          <w:kern w:val="20"/>
          <w:sz w:val="24"/>
          <w:szCs w:val="24"/>
          <w:lang w:val="en-US" w:eastAsia="zh-CN"/>
        </w:rPr>
        <w:t>1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 The absorption volume of different surface parameters of the </w:t>
      </w:r>
      <w:r>
        <w:rPr>
          <w:rFonts w:hint="default" w:ascii="Arial" w:hAnsi="Arial" w:cs="Arial"/>
          <w:sz w:val="24"/>
          <w:szCs w:val="24"/>
        </w:rPr>
        <w:t>cylindrical shaped PB</w:t>
      </w:r>
      <w:r>
        <w:rPr>
          <w:rStyle w:val="13"/>
          <w:rFonts w:hint="default" w:ascii="Arial" w:hAnsi="Arial" w:cs="Arial"/>
          <w:kern w:val="20"/>
          <w:sz w:val="24"/>
          <w:szCs w:val="24"/>
        </w:rPr>
        <w:t xml:space="preserve"> pump (the same height)</w:t>
      </w:r>
      <w:r>
        <w:rPr>
          <w:rFonts w:hint="default" w:ascii="Arial" w:hAnsi="Arial" w:cs="Arial"/>
          <w:sz w:val="24"/>
          <w:szCs w:val="24"/>
        </w:rPr>
        <w:t>.</w:t>
      </w:r>
    </w:p>
    <w:p w14:paraId="4F0AAD71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048341EE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43BD46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6B6BBFCA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7570CA7D">
      <w:pPr>
        <w:widowControl/>
        <w:jc w:val="left"/>
        <w:rPr>
          <w:rStyle w:val="13"/>
          <w:rFonts w:hint="eastAsia" w:ascii="Arno Pro" w:hAnsi="Arno Pro"/>
          <w:kern w:val="20"/>
          <w:lang w:eastAsia="en-US"/>
        </w:rPr>
      </w:pPr>
    </w:p>
    <w:p w14:paraId="6C369D5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6B50F87C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4A02EBD1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27D8430F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297646D5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658BE244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130DC2BB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306766B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183F55C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72B61883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D0BEDE5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0591827C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9EE7F22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5D32644B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40C50CF5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4080386F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71E5591A">
      <w:pPr>
        <w:rPr>
          <w:rStyle w:val="13"/>
          <w:rFonts w:hint="eastAsia" w:ascii="Arno Pro" w:hAnsi="Arno Pro"/>
          <w:bCs/>
          <w:kern w:val="20"/>
          <w:lang w:eastAsia="en-US"/>
        </w:rPr>
      </w:pPr>
    </w:p>
    <w:p w14:paraId="1DD2AD16">
      <w:pPr>
        <w:widowControl/>
        <w:jc w:val="left"/>
        <w:rPr>
          <w:rStyle w:val="13"/>
          <w:rFonts w:ascii="Arno Pro" w:hAnsi="Arno Pro"/>
          <w:kern w:val="20"/>
          <w:lang w:eastAsia="en-US"/>
        </w:rPr>
      </w:pPr>
    </w:p>
    <w:p w14:paraId="358F20D8">
      <w:pPr>
        <w:jc w:val="center"/>
        <w:rPr>
          <w:rStyle w:val="13"/>
          <w:rFonts w:hint="default" w:ascii="Arial" w:hAnsi="Arial" w:cs="Arial"/>
          <w:b/>
          <w:kern w:val="20"/>
          <w:sz w:val="24"/>
          <w:szCs w:val="24"/>
          <w:lang w:eastAsia="en-US"/>
        </w:rPr>
      </w:pPr>
      <w:r>
        <w:rPr>
          <w:rStyle w:val="13"/>
          <w:rFonts w:hint="default" w:ascii="Arial" w:hAnsi="Arial" w:cs="Arial"/>
          <w:b/>
          <w:kern w:val="20"/>
          <w:sz w:val="24"/>
          <w:szCs w:val="24"/>
          <w:lang w:eastAsia="en-US"/>
        </w:rPr>
        <w:br w:type="page"/>
      </w:r>
    </w:p>
    <w:p w14:paraId="46BEE1E3">
      <w:pPr>
        <w:jc w:val="center"/>
        <w:rPr>
          <w:rStyle w:val="13"/>
          <w:rFonts w:hint="default" w:ascii="Arial" w:hAnsi="Arial" w:cs="Arial"/>
          <w:kern w:val="20"/>
          <w:sz w:val="24"/>
          <w:szCs w:val="24"/>
          <w:lang w:eastAsia="en-US"/>
        </w:rPr>
      </w:pPr>
      <w:r>
        <w:rPr>
          <w:rStyle w:val="13"/>
          <w:rFonts w:hint="default" w:ascii="Arial" w:hAnsi="Arial" w:cs="Arial"/>
          <w:b/>
          <w:kern w:val="20"/>
          <w:sz w:val="24"/>
          <w:szCs w:val="24"/>
          <w:lang w:eastAsia="en-US"/>
        </w:rPr>
        <w:t xml:space="preserve">Table S1. </w:t>
      </w:r>
      <w:r>
        <w:rPr>
          <w:rStyle w:val="13"/>
          <w:rFonts w:hint="default" w:ascii="Arial" w:hAnsi="Arial" w:cs="Arial"/>
          <w:kern w:val="20"/>
          <w:sz w:val="24"/>
          <w:szCs w:val="24"/>
          <w:lang w:eastAsia="en-US"/>
        </w:rPr>
        <w:t>Performance comparison with other pumps.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037"/>
        <w:gridCol w:w="1040"/>
        <w:gridCol w:w="1034"/>
        <w:gridCol w:w="1037"/>
        <w:gridCol w:w="1037"/>
        <w:gridCol w:w="1107"/>
        <w:gridCol w:w="1037"/>
      </w:tblGrid>
      <w:tr w14:paraId="0A6B2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155F0300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Reference</w:t>
            </w:r>
          </w:p>
        </w:tc>
        <w:tc>
          <w:tcPr>
            <w:tcW w:w="1037" w:type="dxa"/>
            <w:vAlign w:val="center"/>
          </w:tcPr>
          <w:p w14:paraId="36596005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Flow rate</w:t>
            </w:r>
          </w:p>
        </w:tc>
        <w:tc>
          <w:tcPr>
            <w:tcW w:w="1040" w:type="dxa"/>
            <w:vAlign w:val="center"/>
          </w:tcPr>
          <w:p w14:paraId="236DB594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Active or</w:t>
            </w:r>
          </w:p>
          <w:p w14:paraId="27A46305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passive</w:t>
            </w:r>
          </w:p>
        </w:tc>
        <w:tc>
          <w:tcPr>
            <w:tcW w:w="1034" w:type="dxa"/>
            <w:vAlign w:val="center"/>
          </w:tcPr>
          <w:p w14:paraId="6677415D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flow control</w:t>
            </w:r>
          </w:p>
        </w:tc>
        <w:tc>
          <w:tcPr>
            <w:tcW w:w="1037" w:type="dxa"/>
            <w:vAlign w:val="center"/>
          </w:tcPr>
          <w:p w14:paraId="0A035587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Operating time</w:t>
            </w:r>
          </w:p>
        </w:tc>
        <w:tc>
          <w:tcPr>
            <w:tcW w:w="1037" w:type="dxa"/>
            <w:vAlign w:val="center"/>
          </w:tcPr>
          <w:p w14:paraId="016A866C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Price ($)</w:t>
            </w:r>
          </w:p>
        </w:tc>
        <w:tc>
          <w:tcPr>
            <w:tcW w:w="1037" w:type="dxa"/>
            <w:vAlign w:val="center"/>
          </w:tcPr>
          <w:p w14:paraId="23D1B13C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Fabrication</w:t>
            </w:r>
          </w:p>
          <w:p w14:paraId="03AB257A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difficulty</w:t>
            </w:r>
          </w:p>
        </w:tc>
        <w:tc>
          <w:tcPr>
            <w:tcW w:w="1037" w:type="dxa"/>
            <w:vAlign w:val="center"/>
          </w:tcPr>
          <w:p w14:paraId="4744AF88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Portable</w:t>
            </w:r>
          </w:p>
        </w:tc>
      </w:tr>
      <w:tr w14:paraId="01FF8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37A23211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Adv. Sci. 2017, 4, 1700028</w:t>
            </w:r>
          </w:p>
        </w:tc>
        <w:tc>
          <w:tcPr>
            <w:tcW w:w="1037" w:type="dxa"/>
            <w:vAlign w:val="center"/>
          </w:tcPr>
          <w:p w14:paraId="01C453DC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15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 min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236A205F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passive</w:t>
            </w:r>
          </w:p>
        </w:tc>
        <w:tc>
          <w:tcPr>
            <w:tcW w:w="1034" w:type="dxa"/>
            <w:vAlign w:val="center"/>
          </w:tcPr>
          <w:p w14:paraId="6AB30B39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×</w:t>
            </w:r>
          </w:p>
        </w:tc>
        <w:tc>
          <w:tcPr>
            <w:tcW w:w="1037" w:type="dxa"/>
            <w:vAlign w:val="center"/>
          </w:tcPr>
          <w:p w14:paraId="7EAFE1BE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~24 h</w:t>
            </w:r>
          </w:p>
        </w:tc>
        <w:tc>
          <w:tcPr>
            <w:tcW w:w="1037" w:type="dxa"/>
            <w:vAlign w:val="center"/>
          </w:tcPr>
          <w:p w14:paraId="34A6DBC0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3</w:t>
            </w:r>
          </w:p>
        </w:tc>
        <w:tc>
          <w:tcPr>
            <w:tcW w:w="1037" w:type="dxa"/>
            <w:vAlign w:val="center"/>
          </w:tcPr>
          <w:p w14:paraId="3FC7D6E4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Moderate</w:t>
            </w:r>
          </w:p>
        </w:tc>
        <w:tc>
          <w:tcPr>
            <w:tcW w:w="1037" w:type="dxa"/>
            <w:vAlign w:val="center"/>
          </w:tcPr>
          <w:p w14:paraId="4E6917DA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√</w:t>
            </w:r>
          </w:p>
        </w:tc>
      </w:tr>
      <w:tr w14:paraId="0330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349FD4E9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Lab Chip, 2021, 21, 4772–4778</w:t>
            </w:r>
          </w:p>
        </w:tc>
        <w:tc>
          <w:tcPr>
            <w:tcW w:w="1037" w:type="dxa"/>
            <w:vAlign w:val="center"/>
          </w:tcPr>
          <w:p w14:paraId="69765BEB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12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 min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432AE4B4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active</w:t>
            </w:r>
          </w:p>
        </w:tc>
        <w:tc>
          <w:tcPr>
            <w:tcW w:w="1034" w:type="dxa"/>
            <w:vAlign w:val="center"/>
          </w:tcPr>
          <w:p w14:paraId="54171047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39A595BB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hours</w:t>
            </w:r>
          </w:p>
        </w:tc>
        <w:tc>
          <w:tcPr>
            <w:tcW w:w="1037" w:type="dxa"/>
            <w:vAlign w:val="center"/>
          </w:tcPr>
          <w:p w14:paraId="3FE15081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5</w:t>
            </w:r>
          </w:p>
        </w:tc>
        <w:tc>
          <w:tcPr>
            <w:tcW w:w="1037" w:type="dxa"/>
            <w:vAlign w:val="center"/>
          </w:tcPr>
          <w:p w14:paraId="3691ECAF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easy</w:t>
            </w:r>
          </w:p>
        </w:tc>
        <w:tc>
          <w:tcPr>
            <w:tcW w:w="1037" w:type="dxa"/>
            <w:vAlign w:val="center"/>
          </w:tcPr>
          <w:p w14:paraId="7F069D63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×</w:t>
            </w:r>
          </w:p>
        </w:tc>
      </w:tr>
      <w:tr w14:paraId="12AAB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5C4F2770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Sensors and Actuators B: Chemical, 2021, 342: 129991.</w:t>
            </w:r>
          </w:p>
        </w:tc>
        <w:tc>
          <w:tcPr>
            <w:tcW w:w="1037" w:type="dxa"/>
            <w:vAlign w:val="center"/>
          </w:tcPr>
          <w:p w14:paraId="00FC8A54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0-4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 min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6DD80BBB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passive</w:t>
            </w:r>
          </w:p>
        </w:tc>
        <w:tc>
          <w:tcPr>
            <w:tcW w:w="1034" w:type="dxa"/>
            <w:vAlign w:val="center"/>
          </w:tcPr>
          <w:p w14:paraId="5E656F74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171BA294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minutes</w:t>
            </w:r>
          </w:p>
        </w:tc>
        <w:tc>
          <w:tcPr>
            <w:tcW w:w="1037" w:type="dxa"/>
            <w:vAlign w:val="center"/>
          </w:tcPr>
          <w:p w14:paraId="7C9ACE08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15</w:t>
            </w:r>
          </w:p>
        </w:tc>
        <w:tc>
          <w:tcPr>
            <w:tcW w:w="1037" w:type="dxa"/>
            <w:vAlign w:val="center"/>
          </w:tcPr>
          <w:p w14:paraId="6132C061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Moderate</w:t>
            </w:r>
          </w:p>
        </w:tc>
        <w:tc>
          <w:tcPr>
            <w:tcW w:w="1037" w:type="dxa"/>
            <w:vAlign w:val="center"/>
          </w:tcPr>
          <w:p w14:paraId="69AD452C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</w:tr>
      <w:tr w14:paraId="43969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0F0BCCAC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Lab on a Chip</w:t>
            </w:r>
          </w:p>
          <w:p w14:paraId="1E684FD5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2019，</w:t>
            </w:r>
            <w:r>
              <w:rPr>
                <w:rStyle w:val="13"/>
                <w:rFonts w:hint="eastAsia" w:ascii="Arial" w:hAnsi="Arial" w:cs="Arial"/>
                <w:kern w:val="20"/>
              </w:rPr>
              <w:t>1</w:t>
            </w:r>
            <w:r>
              <w:rPr>
                <w:rStyle w:val="13"/>
                <w:rFonts w:ascii="Arial" w:hAnsi="Arial" w:cs="Arial"/>
                <w:kern w:val="20"/>
              </w:rPr>
              <w:t>7</w:t>
            </w:r>
          </w:p>
          <w:p w14:paraId="0F9B650D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2885-2896</w:t>
            </w:r>
          </w:p>
        </w:tc>
        <w:tc>
          <w:tcPr>
            <w:tcW w:w="1037" w:type="dxa"/>
            <w:vAlign w:val="center"/>
          </w:tcPr>
          <w:p w14:paraId="01388FEA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100-1000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 min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1D2AB726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active</w:t>
            </w:r>
          </w:p>
        </w:tc>
        <w:tc>
          <w:tcPr>
            <w:tcW w:w="1034" w:type="dxa"/>
            <w:vAlign w:val="center"/>
          </w:tcPr>
          <w:p w14:paraId="09DCADEB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1B183066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hours</w:t>
            </w:r>
          </w:p>
          <w:p w14:paraId="2E4E6ABB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</w:p>
        </w:tc>
        <w:tc>
          <w:tcPr>
            <w:tcW w:w="1037" w:type="dxa"/>
            <w:vAlign w:val="center"/>
          </w:tcPr>
          <w:p w14:paraId="0E512EF6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1</w:t>
            </w:r>
          </w:p>
        </w:tc>
        <w:tc>
          <w:tcPr>
            <w:tcW w:w="1037" w:type="dxa"/>
            <w:vAlign w:val="center"/>
          </w:tcPr>
          <w:p w14:paraId="6A2A5FF0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easy</w:t>
            </w:r>
          </w:p>
        </w:tc>
        <w:tc>
          <w:tcPr>
            <w:tcW w:w="1037" w:type="dxa"/>
            <w:vAlign w:val="center"/>
          </w:tcPr>
          <w:p w14:paraId="5083D995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</w:tr>
      <w:tr w14:paraId="00CAB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1F1631C5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Lab on a Chip, 2013, 13, 1737–1742</w:t>
            </w:r>
          </w:p>
        </w:tc>
        <w:tc>
          <w:tcPr>
            <w:tcW w:w="1037" w:type="dxa"/>
            <w:vAlign w:val="center"/>
          </w:tcPr>
          <w:p w14:paraId="2ECF2858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4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 min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110F1423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passive</w:t>
            </w:r>
          </w:p>
        </w:tc>
        <w:tc>
          <w:tcPr>
            <w:tcW w:w="1034" w:type="dxa"/>
            <w:vAlign w:val="center"/>
          </w:tcPr>
          <w:p w14:paraId="542F87AB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28C757B2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minutes</w:t>
            </w:r>
          </w:p>
        </w:tc>
        <w:tc>
          <w:tcPr>
            <w:tcW w:w="1037" w:type="dxa"/>
            <w:vAlign w:val="center"/>
          </w:tcPr>
          <w:p w14:paraId="2050D0C9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0.5</w:t>
            </w:r>
          </w:p>
        </w:tc>
        <w:tc>
          <w:tcPr>
            <w:tcW w:w="1037" w:type="dxa"/>
            <w:vAlign w:val="center"/>
          </w:tcPr>
          <w:p w14:paraId="1E545937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Moderate</w:t>
            </w:r>
          </w:p>
        </w:tc>
        <w:tc>
          <w:tcPr>
            <w:tcW w:w="1037" w:type="dxa"/>
            <w:vAlign w:val="center"/>
          </w:tcPr>
          <w:p w14:paraId="68CC7ACC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</w:tr>
      <w:tr w14:paraId="4A1A1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059AC7C6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Lab on a chip, 2014, 14(21): 4213-4219.</w:t>
            </w:r>
          </w:p>
        </w:tc>
        <w:tc>
          <w:tcPr>
            <w:tcW w:w="1037" w:type="dxa"/>
            <w:vAlign w:val="center"/>
          </w:tcPr>
          <w:p w14:paraId="5AC83179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150-300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L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5406C824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active</w:t>
            </w:r>
          </w:p>
        </w:tc>
        <w:tc>
          <w:tcPr>
            <w:tcW w:w="1034" w:type="dxa"/>
            <w:vAlign w:val="center"/>
          </w:tcPr>
          <w:p w14:paraId="67513F4B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4A0CFB4F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h</w:t>
            </w:r>
            <w:r>
              <w:rPr>
                <w:rStyle w:val="13"/>
                <w:rFonts w:hint="eastAsia" w:ascii="Arial" w:hAnsi="Arial" w:cs="Arial"/>
                <w:kern w:val="20"/>
              </w:rPr>
              <w:t>ours</w:t>
            </w:r>
          </w:p>
        </w:tc>
        <w:tc>
          <w:tcPr>
            <w:tcW w:w="1037" w:type="dxa"/>
            <w:vAlign w:val="center"/>
          </w:tcPr>
          <w:p w14:paraId="6DC63B27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1</w:t>
            </w:r>
          </w:p>
        </w:tc>
        <w:tc>
          <w:tcPr>
            <w:tcW w:w="1037" w:type="dxa"/>
            <w:vAlign w:val="center"/>
          </w:tcPr>
          <w:p w14:paraId="0ACFEED1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E</w:t>
            </w:r>
            <w:r>
              <w:rPr>
                <w:rStyle w:val="13"/>
                <w:rFonts w:hint="eastAsia" w:ascii="Arial" w:hAnsi="Arial" w:cs="Arial"/>
                <w:kern w:val="20"/>
              </w:rPr>
              <w:t>asy</w:t>
            </w:r>
          </w:p>
        </w:tc>
        <w:tc>
          <w:tcPr>
            <w:tcW w:w="1037" w:type="dxa"/>
            <w:vAlign w:val="center"/>
          </w:tcPr>
          <w:p w14:paraId="55BB571F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×</w:t>
            </w:r>
          </w:p>
        </w:tc>
      </w:tr>
      <w:tr w14:paraId="42492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1037" w:type="dxa"/>
            <w:vAlign w:val="center"/>
          </w:tcPr>
          <w:p w14:paraId="6D1E8E1E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Lab on a Chip, 2014, 14(22): 4319-4323.</w:t>
            </w:r>
          </w:p>
        </w:tc>
        <w:tc>
          <w:tcPr>
            <w:tcW w:w="1037" w:type="dxa"/>
            <w:vAlign w:val="center"/>
          </w:tcPr>
          <w:p w14:paraId="6062272A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 xml:space="preserve">1-8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µ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 min</w:t>
            </w:r>
            <w:r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−1</w:t>
            </w:r>
          </w:p>
        </w:tc>
        <w:tc>
          <w:tcPr>
            <w:tcW w:w="1040" w:type="dxa"/>
            <w:vAlign w:val="center"/>
          </w:tcPr>
          <w:p w14:paraId="3FBC9365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active</w:t>
            </w:r>
          </w:p>
        </w:tc>
        <w:tc>
          <w:tcPr>
            <w:tcW w:w="1034" w:type="dxa"/>
            <w:vAlign w:val="center"/>
          </w:tcPr>
          <w:p w14:paraId="101C727F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70417E58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minutes</w:t>
            </w:r>
          </w:p>
        </w:tc>
        <w:tc>
          <w:tcPr>
            <w:tcW w:w="1037" w:type="dxa"/>
            <w:vAlign w:val="center"/>
          </w:tcPr>
          <w:p w14:paraId="6E524786">
            <w:pPr>
              <w:widowControl/>
              <w:jc w:val="center"/>
              <w:rPr>
                <w:rStyle w:val="13"/>
                <w:rFonts w:ascii="Arial" w:hAnsi="Arial" w:cs="Arial"/>
                <w:kern w:val="20"/>
              </w:rPr>
            </w:pPr>
            <w:r>
              <w:rPr>
                <w:rStyle w:val="13"/>
                <w:rFonts w:ascii="Arial" w:hAnsi="Arial" w:cs="Arial"/>
                <w:kern w:val="20"/>
              </w:rPr>
              <w:t>25</w:t>
            </w:r>
          </w:p>
        </w:tc>
        <w:tc>
          <w:tcPr>
            <w:tcW w:w="1037" w:type="dxa"/>
            <w:vAlign w:val="center"/>
          </w:tcPr>
          <w:p w14:paraId="5E4C3F12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</w:rPr>
              <w:t>difficulty</w:t>
            </w:r>
          </w:p>
        </w:tc>
        <w:tc>
          <w:tcPr>
            <w:tcW w:w="1037" w:type="dxa"/>
            <w:vAlign w:val="center"/>
          </w:tcPr>
          <w:p w14:paraId="65870BC3">
            <w:pPr>
              <w:widowControl/>
              <w:jc w:val="center"/>
              <w:rPr>
                <w:rStyle w:val="13"/>
                <w:rFonts w:ascii="Arial" w:hAnsi="Arial" w:cs="Arial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kern w:val="20"/>
                <w:lang w:eastAsia="en-US"/>
              </w:rPr>
              <w:t>×</w:t>
            </w:r>
          </w:p>
        </w:tc>
      </w:tr>
      <w:tr w14:paraId="64AC0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  <w:vAlign w:val="center"/>
          </w:tcPr>
          <w:p w14:paraId="7301DD27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</w:rPr>
              <w:t>Our group</w:t>
            </w:r>
          </w:p>
        </w:tc>
        <w:tc>
          <w:tcPr>
            <w:tcW w:w="1037" w:type="dxa"/>
            <w:vAlign w:val="center"/>
          </w:tcPr>
          <w:p w14:paraId="4689CAE6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</w:rPr>
              <w:t xml:space="preserve">0-400 </w:t>
            </w:r>
            <w:r>
              <w:rPr>
                <w:rFonts w:hint="eastAsia"/>
                <w:color w:val="FF0000"/>
              </w:rPr>
              <w:t>µ</w:t>
            </w:r>
            <w:r>
              <w:rPr>
                <w:color w:val="FF0000"/>
              </w:rPr>
              <w:t>L min</w:t>
            </w:r>
            <w:r>
              <w:rPr>
                <w:color w:val="FF0000"/>
                <w:vertAlign w:val="superscript"/>
              </w:rPr>
              <w:t>−1</w:t>
            </w:r>
          </w:p>
        </w:tc>
        <w:tc>
          <w:tcPr>
            <w:tcW w:w="1040" w:type="dxa"/>
            <w:vAlign w:val="center"/>
          </w:tcPr>
          <w:p w14:paraId="058DE2A6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</w:rPr>
              <w:t>passive</w:t>
            </w:r>
          </w:p>
        </w:tc>
        <w:tc>
          <w:tcPr>
            <w:tcW w:w="1034" w:type="dxa"/>
            <w:vAlign w:val="center"/>
          </w:tcPr>
          <w:p w14:paraId="6D298F16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  <w:lang w:eastAsia="en-US"/>
              </w:rPr>
              <w:t>√</w:t>
            </w:r>
          </w:p>
        </w:tc>
        <w:tc>
          <w:tcPr>
            <w:tcW w:w="1037" w:type="dxa"/>
            <w:vAlign w:val="center"/>
          </w:tcPr>
          <w:p w14:paraId="4A953E52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</w:rPr>
              <w:t>minutes</w:t>
            </w:r>
          </w:p>
        </w:tc>
        <w:tc>
          <w:tcPr>
            <w:tcW w:w="1037" w:type="dxa"/>
            <w:vAlign w:val="center"/>
          </w:tcPr>
          <w:p w14:paraId="16E77DD6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</w:rPr>
              <w:t>0.1</w:t>
            </w:r>
          </w:p>
        </w:tc>
        <w:tc>
          <w:tcPr>
            <w:tcW w:w="1037" w:type="dxa"/>
            <w:vAlign w:val="center"/>
          </w:tcPr>
          <w:p w14:paraId="55152712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</w:rPr>
              <w:t>easy</w:t>
            </w:r>
          </w:p>
        </w:tc>
        <w:tc>
          <w:tcPr>
            <w:tcW w:w="1037" w:type="dxa"/>
            <w:vAlign w:val="center"/>
          </w:tcPr>
          <w:p w14:paraId="26334514">
            <w:pPr>
              <w:widowControl/>
              <w:jc w:val="center"/>
              <w:rPr>
                <w:rStyle w:val="13"/>
                <w:rFonts w:ascii="Arial" w:hAnsi="Arial" w:cs="Arial"/>
                <w:color w:val="FF0000"/>
                <w:kern w:val="20"/>
                <w:lang w:eastAsia="en-US"/>
              </w:rPr>
            </w:pPr>
            <w:r>
              <w:rPr>
                <w:rStyle w:val="13"/>
                <w:rFonts w:ascii="Arial" w:hAnsi="Arial" w:cs="Arial"/>
                <w:color w:val="FF0000"/>
                <w:kern w:val="20"/>
                <w:lang w:eastAsia="en-US"/>
              </w:rPr>
              <w:t>√</w:t>
            </w:r>
          </w:p>
        </w:tc>
      </w:tr>
    </w:tbl>
    <w:p w14:paraId="1E7682D1"/>
    <w:p w14:paraId="3F1672A9"/>
    <w:p w14:paraId="2075A039"/>
    <w:p w14:paraId="288D9B31"/>
    <w:p w14:paraId="583BFB38"/>
    <w:p w14:paraId="75F101BA"/>
    <w:p w14:paraId="287CF49F"/>
    <w:p w14:paraId="45487103"/>
    <w:p w14:paraId="60927220"/>
    <w:p w14:paraId="0916AA1A"/>
    <w:p w14:paraId="423162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dvPS497E2">
    <w:altName w:val="Calibri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yriad Pro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443E8B"/>
    <w:multiLevelType w:val="singleLevel"/>
    <w:tmpl w:val="D0443E8B"/>
    <w:lvl w:ilvl="0" w:tentative="0">
      <w:start w:val="5"/>
      <w:numFmt w:val="upperLetter"/>
      <w:suff w:val="nothing"/>
      <w:lvlText w:val="%1-"/>
      <w:lvlJc w:val="left"/>
      <w:rPr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iNGRjNzJjNDBkNmJmN2E3MTczMTk4OTc0OTgwOTcifQ=="/>
  </w:docVars>
  <w:rsids>
    <w:rsidRoot w:val="002152ED"/>
    <w:rsid w:val="0005409F"/>
    <w:rsid w:val="001460E9"/>
    <w:rsid w:val="00163776"/>
    <w:rsid w:val="001E622C"/>
    <w:rsid w:val="002152ED"/>
    <w:rsid w:val="0022424A"/>
    <w:rsid w:val="00235701"/>
    <w:rsid w:val="00236C02"/>
    <w:rsid w:val="00271C97"/>
    <w:rsid w:val="002D578C"/>
    <w:rsid w:val="002E5225"/>
    <w:rsid w:val="002E7BE6"/>
    <w:rsid w:val="00336F12"/>
    <w:rsid w:val="0037135B"/>
    <w:rsid w:val="00376E5E"/>
    <w:rsid w:val="003827A4"/>
    <w:rsid w:val="003A7582"/>
    <w:rsid w:val="00464A48"/>
    <w:rsid w:val="004F290E"/>
    <w:rsid w:val="005168AD"/>
    <w:rsid w:val="00562215"/>
    <w:rsid w:val="00563EB2"/>
    <w:rsid w:val="00623297"/>
    <w:rsid w:val="00670A20"/>
    <w:rsid w:val="0069032E"/>
    <w:rsid w:val="006A457C"/>
    <w:rsid w:val="006D5AA5"/>
    <w:rsid w:val="006F6EBD"/>
    <w:rsid w:val="00711FDC"/>
    <w:rsid w:val="00780C02"/>
    <w:rsid w:val="007E0321"/>
    <w:rsid w:val="0080149F"/>
    <w:rsid w:val="0081531F"/>
    <w:rsid w:val="008667DE"/>
    <w:rsid w:val="008D7589"/>
    <w:rsid w:val="009132F8"/>
    <w:rsid w:val="00927257"/>
    <w:rsid w:val="00994BFD"/>
    <w:rsid w:val="00AD2888"/>
    <w:rsid w:val="00AD6CC2"/>
    <w:rsid w:val="00B6664F"/>
    <w:rsid w:val="00B75115"/>
    <w:rsid w:val="00BD1D26"/>
    <w:rsid w:val="00C25553"/>
    <w:rsid w:val="00C42276"/>
    <w:rsid w:val="00C50CA6"/>
    <w:rsid w:val="00CC67FB"/>
    <w:rsid w:val="00D0183B"/>
    <w:rsid w:val="00D25AB2"/>
    <w:rsid w:val="00D3242D"/>
    <w:rsid w:val="00D50538"/>
    <w:rsid w:val="00D560BD"/>
    <w:rsid w:val="00DD10E6"/>
    <w:rsid w:val="00DE5929"/>
    <w:rsid w:val="00DE5D27"/>
    <w:rsid w:val="00E05E17"/>
    <w:rsid w:val="00E35E90"/>
    <w:rsid w:val="00E9059D"/>
    <w:rsid w:val="00E90995"/>
    <w:rsid w:val="00EA53D1"/>
    <w:rsid w:val="00F0157C"/>
    <w:rsid w:val="00F129DE"/>
    <w:rsid w:val="00F27C0A"/>
    <w:rsid w:val="00F63FF6"/>
    <w:rsid w:val="00F84E44"/>
    <w:rsid w:val="00FC6A62"/>
    <w:rsid w:val="00FD5C09"/>
    <w:rsid w:val="00FF5407"/>
    <w:rsid w:val="04996DA7"/>
    <w:rsid w:val="057146F2"/>
    <w:rsid w:val="069E02E8"/>
    <w:rsid w:val="0D3B5D52"/>
    <w:rsid w:val="13283A05"/>
    <w:rsid w:val="19820606"/>
    <w:rsid w:val="1EED0876"/>
    <w:rsid w:val="215C1C4A"/>
    <w:rsid w:val="21900E1F"/>
    <w:rsid w:val="21FF1070"/>
    <w:rsid w:val="242B51F3"/>
    <w:rsid w:val="25566D2D"/>
    <w:rsid w:val="27AE511C"/>
    <w:rsid w:val="2B455FCA"/>
    <w:rsid w:val="30E7577F"/>
    <w:rsid w:val="337B6F25"/>
    <w:rsid w:val="346C2784"/>
    <w:rsid w:val="34CC177B"/>
    <w:rsid w:val="37D653BA"/>
    <w:rsid w:val="37E74610"/>
    <w:rsid w:val="3C3F252F"/>
    <w:rsid w:val="3D9B3A93"/>
    <w:rsid w:val="402E5281"/>
    <w:rsid w:val="46DB3314"/>
    <w:rsid w:val="493140E5"/>
    <w:rsid w:val="4A0716A7"/>
    <w:rsid w:val="4BD15DF6"/>
    <w:rsid w:val="507F724A"/>
    <w:rsid w:val="50B173CA"/>
    <w:rsid w:val="51F62A83"/>
    <w:rsid w:val="525A1FA9"/>
    <w:rsid w:val="53D34E14"/>
    <w:rsid w:val="5C0B717D"/>
    <w:rsid w:val="5C444D82"/>
    <w:rsid w:val="5F5F19BC"/>
    <w:rsid w:val="6220263B"/>
    <w:rsid w:val="67DD5B7C"/>
    <w:rsid w:val="6E02242C"/>
    <w:rsid w:val="6E8236FD"/>
    <w:rsid w:val="702D6FBA"/>
    <w:rsid w:val="70AA11E2"/>
    <w:rsid w:val="70CA1B12"/>
    <w:rsid w:val="722464C2"/>
    <w:rsid w:val="7AF6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widowControl/>
      <w:spacing w:after="200"/>
      <w:jc w:val="center"/>
    </w:pPr>
    <w:rPr>
      <w:rFonts w:ascii="Times" w:hAnsi="Times" w:eastAsia="宋体" w:cs="Times New Roman"/>
      <w:b/>
      <w:kern w:val="0"/>
      <w:sz w:val="40"/>
      <w:szCs w:val="20"/>
      <w:lang w:eastAsia="en-US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正文文本 Char"/>
    <w:basedOn w:val="7"/>
    <w:autoRedefine/>
    <w:semiHidden/>
    <w:qFormat/>
    <w:uiPriority w:val="99"/>
  </w:style>
  <w:style w:type="character" w:customStyle="1" w:styleId="12">
    <w:name w:val="正文文本 Char1"/>
    <w:link w:val="2"/>
    <w:autoRedefine/>
    <w:qFormat/>
    <w:uiPriority w:val="0"/>
    <w:rPr>
      <w:rFonts w:ascii="Times" w:hAnsi="Times" w:eastAsia="宋体" w:cs="Times New Roman"/>
      <w:b/>
      <w:kern w:val="0"/>
      <w:sz w:val="40"/>
      <w:szCs w:val="20"/>
      <w:lang w:eastAsia="en-US"/>
    </w:rPr>
  </w:style>
  <w:style w:type="character" w:customStyle="1" w:styleId="13">
    <w:name w:val="15"/>
    <w:autoRedefine/>
    <w:qFormat/>
    <w:uiPriority w:val="0"/>
    <w:rPr>
      <w:rFonts w:hint="default" w:ascii="AdvPS497E2" w:hAnsi="AdvPS497E2"/>
      <w:color w:val="000000"/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5">
    <w:name w:val="无格式表格 31"/>
    <w:basedOn w:val="5"/>
    <w:autoRedefine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6">
    <w:name w:val="无格式表格 41"/>
    <w:basedOn w:val="5"/>
    <w:autoRedefine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">
    <w:name w:val="无格式表格 51"/>
    <w:basedOn w:val="5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8">
    <w:name w:val="网格表 1 浅色1"/>
    <w:basedOn w:val="5"/>
    <w:autoRedefine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网格表 1 浅色 - 着色 11"/>
    <w:basedOn w:val="5"/>
    <w:autoRedefine/>
    <w:qFormat/>
    <w:uiPriority w:val="46"/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网格表 1 浅色 - 着色 21"/>
    <w:basedOn w:val="5"/>
    <w:autoRedefine/>
    <w:qFormat/>
    <w:uiPriority w:val="46"/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无格式表格 21"/>
    <w:basedOn w:val="5"/>
    <w:autoRedefine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22">
    <w:name w:val="无格式表格 11"/>
    <w:basedOn w:val="5"/>
    <w:autoRedefine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3">
    <w:name w:val="网格型浅色1"/>
    <w:basedOn w:val="5"/>
    <w:autoRedefine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24">
    <w:name w:val="网格表 1 浅色 - 着色 41"/>
    <w:basedOn w:val="5"/>
    <w:autoRedefine/>
    <w:qFormat/>
    <w:uiPriority w:val="46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5">
    <w:name w:val="网格表 1 浅色 - 着色 31"/>
    <w:basedOn w:val="5"/>
    <w:autoRedefine/>
    <w:qFormat/>
    <w:uiPriority w:val="46"/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26">
    <w:name w:val="BC_Author_Address"/>
    <w:basedOn w:val="1"/>
    <w:next w:val="27"/>
    <w:qFormat/>
    <w:uiPriority w:val="0"/>
    <w:pPr>
      <w:widowControl/>
      <w:spacing w:after="240" w:line="480" w:lineRule="auto"/>
      <w:jc w:val="center"/>
    </w:pPr>
    <w:rPr>
      <w:rFonts w:ascii="Times" w:hAnsi="Times" w:cs="Times New Roman" w:eastAsiaTheme="minorEastAsia"/>
      <w:kern w:val="0"/>
      <w:sz w:val="24"/>
      <w:szCs w:val="20"/>
      <w:lang w:eastAsia="en-US"/>
    </w:rPr>
  </w:style>
  <w:style w:type="paragraph" w:customStyle="1" w:styleId="27">
    <w:name w:val="BI_Email_Address"/>
    <w:basedOn w:val="1"/>
    <w:next w:val="28"/>
    <w:qFormat/>
    <w:uiPriority w:val="0"/>
    <w:pPr>
      <w:widowControl/>
      <w:spacing w:after="200" w:line="480" w:lineRule="auto"/>
    </w:pPr>
    <w:rPr>
      <w:rFonts w:ascii="Times" w:hAnsi="Times" w:cs="Times New Roman" w:eastAsiaTheme="minorEastAsia"/>
      <w:kern w:val="0"/>
      <w:sz w:val="24"/>
      <w:szCs w:val="20"/>
      <w:lang w:eastAsia="en-US"/>
    </w:rPr>
  </w:style>
  <w:style w:type="paragraph" w:customStyle="1" w:styleId="28">
    <w:name w:val="AI_Received_Date"/>
    <w:basedOn w:val="1"/>
    <w:next w:val="29"/>
    <w:qFormat/>
    <w:uiPriority w:val="0"/>
    <w:pPr>
      <w:widowControl/>
      <w:spacing w:after="240" w:line="480" w:lineRule="auto"/>
    </w:pPr>
    <w:rPr>
      <w:rFonts w:ascii="Times" w:hAnsi="Times" w:cs="Times New Roman" w:eastAsiaTheme="minorEastAsia"/>
      <w:b/>
      <w:kern w:val="0"/>
      <w:sz w:val="24"/>
      <w:szCs w:val="20"/>
      <w:lang w:eastAsia="en-US"/>
    </w:rPr>
  </w:style>
  <w:style w:type="paragraph" w:customStyle="1" w:styleId="29">
    <w:name w:val="BD_Abstract"/>
    <w:basedOn w:val="1"/>
    <w:next w:val="30"/>
    <w:autoRedefine/>
    <w:qFormat/>
    <w:uiPriority w:val="0"/>
    <w:pPr>
      <w:widowControl/>
      <w:spacing w:before="360" w:after="360" w:line="480" w:lineRule="auto"/>
    </w:pPr>
    <w:rPr>
      <w:rFonts w:ascii="Times" w:hAnsi="Times" w:cs="Times New Roman" w:eastAsiaTheme="minorEastAsia"/>
      <w:kern w:val="0"/>
      <w:sz w:val="24"/>
      <w:szCs w:val="20"/>
      <w:lang w:eastAsia="en-US"/>
    </w:rPr>
  </w:style>
  <w:style w:type="paragraph" w:customStyle="1" w:styleId="30">
    <w:name w:val="TA_Main_Text"/>
    <w:basedOn w:val="1"/>
    <w:autoRedefine/>
    <w:qFormat/>
    <w:uiPriority w:val="0"/>
    <w:pPr>
      <w:widowControl/>
      <w:spacing w:line="480" w:lineRule="auto"/>
      <w:ind w:firstLine="202"/>
    </w:pPr>
    <w:rPr>
      <w:rFonts w:ascii="Times" w:hAnsi="Times" w:cs="Times New Roman" w:eastAsiaTheme="minorEastAsia"/>
      <w:kern w:val="0"/>
      <w:sz w:val="24"/>
      <w:szCs w:val="20"/>
      <w:lang w:eastAsia="en-US"/>
    </w:rPr>
  </w:style>
  <w:style w:type="paragraph" w:customStyle="1" w:styleId="31">
    <w:name w:val="FA_Corresponding_Author_Footnote"/>
    <w:basedOn w:val="1"/>
    <w:next w:val="30"/>
    <w:qFormat/>
    <w:uiPriority w:val="0"/>
    <w:pPr>
      <w:widowControl/>
      <w:spacing w:after="200" w:line="480" w:lineRule="auto"/>
    </w:pPr>
    <w:rPr>
      <w:rFonts w:ascii="Times" w:hAnsi="Times" w:cs="Times New Roman" w:eastAsiaTheme="minorEastAsia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0B0BB-48BB-429A-A797-8A212E65E9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14</Pages>
  <Words>409</Words>
  <Characters>2032</Characters>
  <Lines>281</Lines>
  <Paragraphs>92</Paragraphs>
  <TotalTime>0</TotalTime>
  <ScaleCrop>false</ScaleCrop>
  <LinksUpToDate>false</LinksUpToDate>
  <CharactersWithSpaces>2347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2024-01-24T08:19:00Z</dcterms:created>
  <dc:creator>Microsoft 帐户</dc:creator>
  <cp:lastModifiedBy>PC</cp:lastModifiedBy>
  <dcterms:modified xsi:type="dcterms:W3CDTF">2024-09-29T06:34:22Z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6afad8351b2864fe448cfa78842784e4467866e8934697215a4253cfb177e99d</vt:lpwstr>
  </property>
  <property fmtid="{D5CDD505-2E9C-101B-9397-08002B2CF9AE}" pid="3" name="KSOProductBuildVer">
    <vt:lpwstr>2052-12.1.0.17827</vt:lpwstr>
  </property>
  <property fmtid="{D5CDD505-2E9C-101B-9397-08002B2CF9AE}" pid="4" name="ICV">
    <vt:lpwstr>F122C38E26F643D9A38B3FC2162A7DD0_13</vt:lpwstr>
  </property>
</Properties>
</file>