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341EA9" w14:textId="77777777" w:rsidR="00623A05" w:rsidRPr="006E74BE" w:rsidRDefault="00623A05" w:rsidP="00623A05">
      <w:pPr>
        <w:rPr>
          <w:rFonts w:ascii="Microsoft Sans Serif" w:hAnsi="Microsoft Sans Serif" w:cs="Microsoft Sans Serif"/>
          <w:sz w:val="24"/>
          <w:szCs w:val="24"/>
        </w:rPr>
      </w:pPr>
      <w:r w:rsidRPr="006E74BE">
        <w:rPr>
          <w:rFonts w:ascii="Microsoft Sans Serif" w:hAnsi="Microsoft Sans Serif" w:cs="Microsoft Sans Serif"/>
          <w:sz w:val="24"/>
          <w:szCs w:val="24"/>
        </w:rPr>
        <w:t xml:space="preserve">VV-ECMO as a platform to evaluate </w:t>
      </w:r>
      <w:proofErr w:type="spellStart"/>
      <w:r w:rsidRPr="006E74BE">
        <w:rPr>
          <w:rFonts w:ascii="Microsoft Sans Serif" w:hAnsi="Microsoft Sans Serif" w:cs="Microsoft Sans Serif"/>
          <w:sz w:val="24"/>
          <w:szCs w:val="24"/>
        </w:rPr>
        <w:t>bronchoscopic</w:t>
      </w:r>
      <w:proofErr w:type="spellEnd"/>
      <w:r w:rsidRPr="006E74BE">
        <w:rPr>
          <w:rFonts w:ascii="Microsoft Sans Serif" w:hAnsi="Microsoft Sans Serif" w:cs="Microsoft Sans Serif"/>
          <w:sz w:val="24"/>
          <w:szCs w:val="24"/>
        </w:rPr>
        <w:t xml:space="preserve"> saline lavage and surfactant therapy in severe ARDS </w:t>
      </w:r>
    </w:p>
    <w:p w14:paraId="5188EA2C" w14:textId="4996D91E" w:rsidR="006E74BE" w:rsidRPr="006E74BE" w:rsidRDefault="006E74BE" w:rsidP="006E74BE">
      <w:pPr>
        <w:rPr>
          <w:rFonts w:ascii="Microsoft Sans Serif" w:hAnsi="Microsoft Sans Serif" w:cs="Microsoft Sans Serif"/>
          <w:sz w:val="24"/>
          <w:szCs w:val="24"/>
        </w:rPr>
      </w:pPr>
      <w:r w:rsidRPr="006E74BE">
        <w:rPr>
          <w:rFonts w:ascii="Microsoft Sans Serif" w:hAnsi="Microsoft Sans Serif" w:cs="Microsoft Sans Serif"/>
          <w:sz w:val="24"/>
          <w:szCs w:val="24"/>
        </w:rPr>
        <w:t>Robert Qaqish</w:t>
      </w:r>
      <w:r w:rsidRPr="006E74BE">
        <w:rPr>
          <w:rFonts w:ascii="Microsoft Sans Serif" w:hAnsi="Microsoft Sans Serif" w:cs="Microsoft Sans Serif"/>
          <w:sz w:val="24"/>
          <w:szCs w:val="24"/>
          <w:vertAlign w:val="superscript"/>
        </w:rPr>
        <w:t xml:space="preserve">1 </w:t>
      </w:r>
      <w:r w:rsidRPr="006E74BE">
        <w:rPr>
          <w:rFonts w:ascii="Microsoft Sans Serif" w:hAnsi="Microsoft Sans Serif" w:cs="Microsoft Sans Serif"/>
          <w:sz w:val="24"/>
          <w:szCs w:val="24"/>
        </w:rPr>
        <w:t xml:space="preserve">MD MSc, </w:t>
      </w:r>
      <w:proofErr w:type="spellStart"/>
      <w:r w:rsidRPr="006E74BE">
        <w:rPr>
          <w:rFonts w:ascii="Microsoft Sans Serif" w:hAnsi="Microsoft Sans Serif" w:cs="Microsoft Sans Serif"/>
          <w:sz w:val="24"/>
          <w:szCs w:val="24"/>
        </w:rPr>
        <w:t>Yui</w:t>
      </w:r>
      <w:proofErr w:type="spellEnd"/>
      <w:r w:rsidRPr="006E74BE">
        <w:rPr>
          <w:rFonts w:ascii="Microsoft Sans Serif" w:hAnsi="Microsoft Sans Serif" w:cs="Microsoft Sans Serif"/>
          <w:sz w:val="24"/>
          <w:szCs w:val="24"/>
        </w:rPr>
        <w:t xml:space="preserve"> Watanabe</w:t>
      </w:r>
      <w:r w:rsidRPr="006E74BE">
        <w:rPr>
          <w:rFonts w:ascii="Microsoft Sans Serif" w:hAnsi="Microsoft Sans Serif" w:cs="Microsoft Sans Serif"/>
          <w:sz w:val="24"/>
          <w:szCs w:val="24"/>
          <w:vertAlign w:val="superscript"/>
        </w:rPr>
        <w:t>1</w:t>
      </w:r>
      <w:r w:rsidRPr="006E74BE">
        <w:rPr>
          <w:rFonts w:ascii="Microsoft Sans Serif" w:hAnsi="Microsoft Sans Serif" w:cs="Microsoft Sans Serif"/>
          <w:sz w:val="24"/>
          <w:szCs w:val="24"/>
        </w:rPr>
        <w:t xml:space="preserve"> MD PhD, Marcos Galasso</w:t>
      </w:r>
      <w:r w:rsidRPr="006E74BE">
        <w:rPr>
          <w:rFonts w:ascii="Microsoft Sans Serif" w:hAnsi="Microsoft Sans Serif" w:cs="Microsoft Sans Serif"/>
          <w:sz w:val="24"/>
          <w:szCs w:val="24"/>
          <w:vertAlign w:val="superscript"/>
        </w:rPr>
        <w:t xml:space="preserve">1 </w:t>
      </w:r>
      <w:r w:rsidRPr="006E74BE">
        <w:rPr>
          <w:rFonts w:ascii="Microsoft Sans Serif" w:hAnsi="Microsoft Sans Serif" w:cs="Microsoft Sans Serif"/>
          <w:sz w:val="24"/>
          <w:szCs w:val="24"/>
        </w:rPr>
        <w:t>MD, Cara Summers</w:t>
      </w:r>
      <w:r w:rsidRPr="006E74BE">
        <w:rPr>
          <w:rFonts w:ascii="Microsoft Sans Serif" w:hAnsi="Microsoft Sans Serif" w:cs="Microsoft Sans Serif"/>
          <w:sz w:val="24"/>
          <w:szCs w:val="24"/>
          <w:vertAlign w:val="superscript"/>
        </w:rPr>
        <w:t>1</w:t>
      </w:r>
      <w:r w:rsidRPr="006E74BE">
        <w:rPr>
          <w:rFonts w:ascii="Microsoft Sans Serif" w:hAnsi="Microsoft Sans Serif" w:cs="Microsoft Sans Serif"/>
          <w:sz w:val="24"/>
          <w:szCs w:val="24"/>
        </w:rPr>
        <w:t xml:space="preserve">, </w:t>
      </w:r>
      <w:proofErr w:type="spellStart"/>
      <w:r w:rsidRPr="006E74BE">
        <w:rPr>
          <w:rFonts w:ascii="Microsoft Sans Serif" w:hAnsi="Microsoft Sans Serif" w:cs="Microsoft Sans Serif"/>
          <w:sz w:val="24"/>
          <w:szCs w:val="24"/>
        </w:rPr>
        <w:t>Aadil</w:t>
      </w:r>
      <w:proofErr w:type="spellEnd"/>
      <w:r w:rsidRPr="006E74BE">
        <w:rPr>
          <w:rFonts w:ascii="Microsoft Sans Serif" w:hAnsi="Microsoft Sans Serif" w:cs="Microsoft Sans Serif"/>
          <w:sz w:val="24"/>
          <w:szCs w:val="24"/>
        </w:rPr>
        <w:t xml:space="preserve"> Ali</w:t>
      </w:r>
      <w:r w:rsidRPr="006E74BE">
        <w:rPr>
          <w:rFonts w:ascii="Microsoft Sans Serif" w:hAnsi="Microsoft Sans Serif" w:cs="Microsoft Sans Serif"/>
          <w:sz w:val="24"/>
          <w:szCs w:val="24"/>
          <w:vertAlign w:val="superscript"/>
        </w:rPr>
        <w:t>1</w:t>
      </w:r>
      <w:r w:rsidRPr="006E74BE">
        <w:rPr>
          <w:rFonts w:ascii="Microsoft Sans Serif" w:hAnsi="Microsoft Sans Serif" w:cs="Microsoft Sans Serif"/>
          <w:sz w:val="24"/>
          <w:szCs w:val="24"/>
        </w:rPr>
        <w:t>, Mamoru Takahashi</w:t>
      </w:r>
      <w:r w:rsidRPr="006E74BE">
        <w:rPr>
          <w:rFonts w:ascii="Microsoft Sans Serif" w:hAnsi="Microsoft Sans Serif" w:cs="Microsoft Sans Serif"/>
          <w:sz w:val="24"/>
          <w:szCs w:val="24"/>
          <w:vertAlign w:val="superscript"/>
        </w:rPr>
        <w:t xml:space="preserve">1 </w:t>
      </w:r>
      <w:r w:rsidRPr="006E74BE">
        <w:rPr>
          <w:rFonts w:ascii="Microsoft Sans Serif" w:hAnsi="Microsoft Sans Serif" w:cs="Microsoft Sans Serif"/>
          <w:sz w:val="24"/>
          <w:szCs w:val="24"/>
        </w:rPr>
        <w:t xml:space="preserve">MD, </w:t>
      </w:r>
      <w:proofErr w:type="spellStart"/>
      <w:r w:rsidRPr="006E74BE">
        <w:rPr>
          <w:rFonts w:ascii="Microsoft Sans Serif" w:hAnsi="Microsoft Sans Serif" w:cs="Microsoft Sans Serif"/>
          <w:sz w:val="24"/>
          <w:szCs w:val="24"/>
        </w:rPr>
        <w:t>Anajara</w:t>
      </w:r>
      <w:proofErr w:type="spellEnd"/>
      <w:r w:rsidRPr="006E74BE">
        <w:rPr>
          <w:rFonts w:ascii="Microsoft Sans Serif" w:hAnsi="Microsoft Sans Serif" w:cs="Microsoft Sans Serif"/>
          <w:sz w:val="24"/>
          <w:szCs w:val="24"/>
        </w:rPr>
        <w:t xml:space="preserve"> Gazzalle</w:t>
      </w:r>
      <w:r w:rsidRPr="006E74BE">
        <w:rPr>
          <w:rFonts w:ascii="Microsoft Sans Serif" w:hAnsi="Microsoft Sans Serif" w:cs="Microsoft Sans Serif"/>
          <w:sz w:val="24"/>
          <w:szCs w:val="24"/>
          <w:vertAlign w:val="superscript"/>
        </w:rPr>
        <w:t>1</w:t>
      </w:r>
      <w:r w:rsidRPr="006E74BE">
        <w:rPr>
          <w:rFonts w:ascii="Microsoft Sans Serif" w:hAnsi="Microsoft Sans Serif" w:cs="Microsoft Sans Serif"/>
          <w:sz w:val="24"/>
          <w:szCs w:val="24"/>
        </w:rPr>
        <w:t xml:space="preserve"> MD, Sassan Azad</w:t>
      </w:r>
      <w:r w:rsidRPr="006E74BE">
        <w:rPr>
          <w:rFonts w:ascii="Microsoft Sans Serif" w:hAnsi="Microsoft Sans Serif" w:cs="Microsoft Sans Serif"/>
          <w:sz w:val="24"/>
          <w:szCs w:val="24"/>
          <w:vertAlign w:val="superscript"/>
        </w:rPr>
        <w:t>1</w:t>
      </w:r>
      <w:r w:rsidRPr="006E74BE">
        <w:rPr>
          <w:rFonts w:ascii="Microsoft Sans Serif" w:hAnsi="Microsoft Sans Serif" w:cs="Microsoft Sans Serif"/>
          <w:sz w:val="24"/>
          <w:szCs w:val="24"/>
        </w:rPr>
        <w:t xml:space="preserve">, </w:t>
      </w:r>
      <w:proofErr w:type="spellStart"/>
      <w:r w:rsidRPr="006E74BE">
        <w:rPr>
          <w:rFonts w:ascii="Microsoft Sans Serif" w:hAnsi="Microsoft Sans Serif" w:cs="Microsoft Sans Serif"/>
          <w:sz w:val="24"/>
          <w:szCs w:val="24"/>
        </w:rPr>
        <w:t>Mingyao</w:t>
      </w:r>
      <w:proofErr w:type="spellEnd"/>
      <w:r w:rsidRPr="006E74BE">
        <w:rPr>
          <w:rFonts w:ascii="Microsoft Sans Serif" w:hAnsi="Microsoft Sans Serif" w:cs="Microsoft Sans Serif"/>
          <w:sz w:val="24"/>
          <w:szCs w:val="24"/>
        </w:rPr>
        <w:t xml:space="preserve"> Liu</w:t>
      </w:r>
      <w:r w:rsidRPr="006E74BE">
        <w:rPr>
          <w:rFonts w:ascii="Microsoft Sans Serif" w:hAnsi="Microsoft Sans Serif" w:cs="Microsoft Sans Serif"/>
          <w:sz w:val="24"/>
          <w:szCs w:val="24"/>
          <w:vertAlign w:val="superscript"/>
        </w:rPr>
        <w:t>1</w:t>
      </w:r>
      <w:r w:rsidRPr="006E74BE">
        <w:rPr>
          <w:rFonts w:ascii="Microsoft Sans Serif" w:hAnsi="Microsoft Sans Serif" w:cs="Microsoft Sans Serif"/>
          <w:sz w:val="24"/>
          <w:szCs w:val="24"/>
        </w:rPr>
        <w:t xml:space="preserve"> MD MSc, Shaf Keshavjee</w:t>
      </w:r>
      <w:r w:rsidRPr="006E74BE">
        <w:rPr>
          <w:rFonts w:ascii="Microsoft Sans Serif" w:hAnsi="Microsoft Sans Serif" w:cs="Microsoft Sans Serif"/>
          <w:sz w:val="24"/>
          <w:szCs w:val="24"/>
          <w:vertAlign w:val="superscript"/>
        </w:rPr>
        <w:t>1</w:t>
      </w:r>
      <w:r w:rsidRPr="006E74BE">
        <w:rPr>
          <w:rFonts w:ascii="Microsoft Sans Serif" w:hAnsi="Microsoft Sans Serif" w:cs="Microsoft Sans Serif"/>
          <w:sz w:val="24"/>
          <w:szCs w:val="24"/>
        </w:rPr>
        <w:t xml:space="preserve"> MD MSc</w:t>
      </w:r>
      <w:r w:rsidR="00005E2A">
        <w:rPr>
          <w:rFonts w:ascii="Microsoft Sans Serif" w:hAnsi="Microsoft Sans Serif" w:cs="Microsoft Sans Serif"/>
          <w:sz w:val="24"/>
          <w:szCs w:val="24"/>
        </w:rPr>
        <w:t>,</w:t>
      </w:r>
      <w:r w:rsidRPr="006E74BE">
        <w:rPr>
          <w:rFonts w:ascii="Microsoft Sans Serif" w:hAnsi="Microsoft Sans Serif" w:cs="Microsoft Sans Serif"/>
          <w:sz w:val="24"/>
          <w:szCs w:val="24"/>
        </w:rPr>
        <w:t xml:space="preserve"> Marcelo Cypel</w:t>
      </w:r>
      <w:r w:rsidRPr="006E74BE">
        <w:rPr>
          <w:rFonts w:ascii="Microsoft Sans Serif" w:hAnsi="Microsoft Sans Serif" w:cs="Microsoft Sans Serif"/>
          <w:sz w:val="24"/>
          <w:szCs w:val="24"/>
          <w:vertAlign w:val="superscript"/>
        </w:rPr>
        <w:t xml:space="preserve">1 </w:t>
      </w:r>
      <w:r w:rsidRPr="006E74BE">
        <w:rPr>
          <w:rFonts w:ascii="Microsoft Sans Serif" w:hAnsi="Microsoft Sans Serif" w:cs="Microsoft Sans Serif"/>
          <w:sz w:val="24"/>
          <w:szCs w:val="24"/>
        </w:rPr>
        <w:t>MD MSc</w:t>
      </w:r>
      <w:r w:rsidR="00005E2A">
        <w:rPr>
          <w:rFonts w:ascii="Microsoft Sans Serif" w:hAnsi="Microsoft Sans Serif" w:cs="Microsoft Sans Serif"/>
          <w:sz w:val="24"/>
          <w:szCs w:val="24"/>
        </w:rPr>
        <w:t>, and</w:t>
      </w:r>
      <w:r w:rsidR="00005E2A" w:rsidRPr="00005E2A">
        <w:rPr>
          <w:rFonts w:ascii="Microsoft Sans Serif" w:hAnsi="Microsoft Sans Serif" w:cs="Microsoft Sans Serif"/>
          <w:sz w:val="24"/>
          <w:szCs w:val="24"/>
        </w:rPr>
        <w:t xml:space="preserve"> </w:t>
      </w:r>
      <w:r w:rsidR="00005E2A" w:rsidRPr="006E74BE">
        <w:rPr>
          <w:rFonts w:ascii="Microsoft Sans Serif" w:hAnsi="Microsoft Sans Serif" w:cs="Microsoft Sans Serif"/>
          <w:sz w:val="24"/>
          <w:szCs w:val="24"/>
        </w:rPr>
        <w:t>Lorenzo Del Sorbo</w:t>
      </w:r>
      <w:r w:rsidR="00005E2A" w:rsidRPr="006E74BE">
        <w:rPr>
          <w:rFonts w:ascii="Microsoft Sans Serif" w:hAnsi="Microsoft Sans Serif" w:cs="Microsoft Sans Serif"/>
          <w:sz w:val="24"/>
          <w:szCs w:val="24"/>
          <w:vertAlign w:val="superscript"/>
        </w:rPr>
        <w:t>1</w:t>
      </w:r>
      <w:proofErr w:type="gramStart"/>
      <w:r w:rsidR="00005E2A" w:rsidRPr="006E74BE">
        <w:rPr>
          <w:rFonts w:ascii="Microsoft Sans Serif" w:hAnsi="Microsoft Sans Serif" w:cs="Microsoft Sans Serif"/>
          <w:sz w:val="24"/>
          <w:szCs w:val="24"/>
          <w:vertAlign w:val="superscript"/>
        </w:rPr>
        <w:t>,2</w:t>
      </w:r>
      <w:proofErr w:type="gramEnd"/>
      <w:r w:rsidR="00005E2A" w:rsidRPr="006E74BE">
        <w:rPr>
          <w:rFonts w:ascii="Microsoft Sans Serif" w:hAnsi="Microsoft Sans Serif" w:cs="Microsoft Sans Serif"/>
          <w:sz w:val="24"/>
          <w:szCs w:val="24"/>
        </w:rPr>
        <w:t xml:space="preserve"> MD</w:t>
      </w:r>
    </w:p>
    <w:p w14:paraId="0C8C7D58" w14:textId="77777777" w:rsidR="00623A05" w:rsidRPr="006E74BE" w:rsidRDefault="00623A05" w:rsidP="00623A05">
      <w:pPr>
        <w:rPr>
          <w:rFonts w:ascii="Microsoft Sans Serif" w:hAnsi="Microsoft Sans Serif" w:cs="Microsoft Sans Serif"/>
          <w:b/>
          <w:sz w:val="24"/>
          <w:szCs w:val="24"/>
        </w:rPr>
      </w:pPr>
    </w:p>
    <w:p w14:paraId="04B146E7" w14:textId="77777777" w:rsidR="00413D1A" w:rsidRPr="00C92C40" w:rsidRDefault="00FF6A8A" w:rsidP="00623A05">
      <w:pPr>
        <w:jc w:val="center"/>
        <w:rPr>
          <w:rFonts w:ascii="Microsoft Sans Serif" w:hAnsi="Microsoft Sans Serif" w:cs="Microsoft Sans Serif"/>
          <w:b/>
          <w:sz w:val="40"/>
          <w:szCs w:val="40"/>
        </w:rPr>
      </w:pPr>
      <w:r w:rsidRPr="00C92C40">
        <w:rPr>
          <w:rFonts w:ascii="Microsoft Sans Serif" w:hAnsi="Microsoft Sans Serif" w:cs="Microsoft Sans Serif"/>
          <w:b/>
          <w:sz w:val="40"/>
          <w:szCs w:val="40"/>
        </w:rPr>
        <w:t xml:space="preserve">Online </w:t>
      </w:r>
      <w:r w:rsidR="00623A05" w:rsidRPr="00C92C40">
        <w:rPr>
          <w:rFonts w:ascii="Microsoft Sans Serif" w:hAnsi="Microsoft Sans Serif" w:cs="Microsoft Sans Serif"/>
          <w:b/>
          <w:sz w:val="40"/>
          <w:szCs w:val="40"/>
        </w:rPr>
        <w:t>Data S</w:t>
      </w:r>
      <w:r w:rsidRPr="00C92C40">
        <w:rPr>
          <w:rFonts w:ascii="Microsoft Sans Serif" w:hAnsi="Microsoft Sans Serif" w:cs="Microsoft Sans Serif"/>
          <w:b/>
          <w:sz w:val="40"/>
          <w:szCs w:val="40"/>
        </w:rPr>
        <w:t>upplement</w:t>
      </w:r>
    </w:p>
    <w:p w14:paraId="1FF9CCA9" w14:textId="77777777" w:rsidR="00623A05" w:rsidRPr="006E74BE" w:rsidRDefault="00623A05">
      <w:pPr>
        <w:rPr>
          <w:rFonts w:ascii="Microsoft Sans Serif" w:hAnsi="Microsoft Sans Serif" w:cs="Microsoft Sans Serif"/>
          <w:sz w:val="24"/>
          <w:szCs w:val="24"/>
        </w:rPr>
      </w:pPr>
    </w:p>
    <w:p w14:paraId="4D2D2079" w14:textId="77777777" w:rsidR="00623A05" w:rsidRPr="006E74BE" w:rsidRDefault="00623A05">
      <w:pPr>
        <w:rPr>
          <w:rFonts w:ascii="Microsoft Sans Serif" w:hAnsi="Microsoft Sans Serif" w:cs="Microsoft Sans Serif"/>
          <w:sz w:val="24"/>
          <w:szCs w:val="24"/>
        </w:rPr>
      </w:pPr>
    </w:p>
    <w:p w14:paraId="57439AD2" w14:textId="77777777" w:rsidR="006E74BE" w:rsidRPr="006E74BE" w:rsidRDefault="006E74BE">
      <w:pPr>
        <w:rPr>
          <w:rFonts w:ascii="Microsoft Sans Serif" w:hAnsi="Microsoft Sans Serif" w:cs="Microsoft Sans Serif"/>
          <w:sz w:val="24"/>
          <w:szCs w:val="24"/>
        </w:rPr>
      </w:pPr>
    </w:p>
    <w:p w14:paraId="57975476" w14:textId="77777777" w:rsidR="006E74BE" w:rsidRPr="006E74BE" w:rsidRDefault="006E74BE">
      <w:pPr>
        <w:rPr>
          <w:rFonts w:ascii="Microsoft Sans Serif" w:hAnsi="Microsoft Sans Serif" w:cs="Microsoft Sans Serif"/>
          <w:sz w:val="24"/>
          <w:szCs w:val="24"/>
        </w:rPr>
      </w:pPr>
    </w:p>
    <w:p w14:paraId="63901B77" w14:textId="77777777" w:rsidR="006E74BE" w:rsidRPr="006E74BE" w:rsidRDefault="006E74BE">
      <w:pPr>
        <w:rPr>
          <w:rFonts w:ascii="Microsoft Sans Serif" w:hAnsi="Microsoft Sans Serif" w:cs="Microsoft Sans Serif"/>
          <w:sz w:val="24"/>
          <w:szCs w:val="24"/>
        </w:rPr>
      </w:pPr>
    </w:p>
    <w:p w14:paraId="2A7A93F3" w14:textId="77777777" w:rsidR="006E74BE" w:rsidRPr="006E74BE" w:rsidRDefault="006E74BE">
      <w:pPr>
        <w:rPr>
          <w:rFonts w:ascii="Microsoft Sans Serif" w:hAnsi="Microsoft Sans Serif" w:cs="Microsoft Sans Serif"/>
          <w:sz w:val="24"/>
          <w:szCs w:val="24"/>
        </w:rPr>
      </w:pPr>
    </w:p>
    <w:p w14:paraId="3B8AA473" w14:textId="77777777" w:rsidR="006E74BE" w:rsidRPr="006E74BE" w:rsidRDefault="006E74BE">
      <w:pPr>
        <w:rPr>
          <w:rFonts w:ascii="Microsoft Sans Serif" w:hAnsi="Microsoft Sans Serif" w:cs="Microsoft Sans Serif"/>
          <w:sz w:val="24"/>
          <w:szCs w:val="24"/>
        </w:rPr>
      </w:pPr>
    </w:p>
    <w:p w14:paraId="50D39B14" w14:textId="77777777" w:rsidR="006E74BE" w:rsidRPr="006E74BE" w:rsidRDefault="006E74BE">
      <w:pPr>
        <w:rPr>
          <w:rFonts w:ascii="Microsoft Sans Serif" w:hAnsi="Microsoft Sans Serif" w:cs="Microsoft Sans Serif"/>
          <w:sz w:val="24"/>
          <w:szCs w:val="24"/>
        </w:rPr>
      </w:pPr>
    </w:p>
    <w:p w14:paraId="60F13D28" w14:textId="77777777" w:rsidR="006E74BE" w:rsidRPr="006E74BE" w:rsidRDefault="006E74BE">
      <w:pPr>
        <w:rPr>
          <w:rFonts w:ascii="Microsoft Sans Serif" w:hAnsi="Microsoft Sans Serif" w:cs="Microsoft Sans Serif"/>
          <w:sz w:val="24"/>
          <w:szCs w:val="24"/>
        </w:rPr>
      </w:pPr>
    </w:p>
    <w:p w14:paraId="21C42124" w14:textId="77777777" w:rsidR="006E74BE" w:rsidRPr="006E74BE" w:rsidRDefault="006E74BE">
      <w:pPr>
        <w:rPr>
          <w:rFonts w:ascii="Microsoft Sans Serif" w:hAnsi="Microsoft Sans Serif" w:cs="Microsoft Sans Serif"/>
          <w:sz w:val="24"/>
          <w:szCs w:val="24"/>
        </w:rPr>
      </w:pPr>
    </w:p>
    <w:p w14:paraId="7C383459" w14:textId="77777777" w:rsidR="006E74BE" w:rsidRPr="006E74BE" w:rsidRDefault="006E74BE">
      <w:pPr>
        <w:rPr>
          <w:rFonts w:ascii="Microsoft Sans Serif" w:hAnsi="Microsoft Sans Serif" w:cs="Microsoft Sans Serif"/>
          <w:sz w:val="24"/>
          <w:szCs w:val="24"/>
        </w:rPr>
      </w:pPr>
    </w:p>
    <w:p w14:paraId="133D251C" w14:textId="77777777" w:rsidR="006E74BE" w:rsidRPr="006E74BE" w:rsidRDefault="006E74BE">
      <w:pPr>
        <w:rPr>
          <w:rFonts w:ascii="Microsoft Sans Serif" w:hAnsi="Microsoft Sans Serif" w:cs="Microsoft Sans Serif"/>
          <w:sz w:val="24"/>
          <w:szCs w:val="24"/>
        </w:rPr>
      </w:pPr>
    </w:p>
    <w:p w14:paraId="2BC55081" w14:textId="77777777" w:rsidR="006E74BE" w:rsidRPr="006E74BE" w:rsidRDefault="006E74BE">
      <w:pPr>
        <w:rPr>
          <w:rFonts w:ascii="Microsoft Sans Serif" w:hAnsi="Microsoft Sans Serif" w:cs="Microsoft Sans Serif"/>
          <w:sz w:val="24"/>
          <w:szCs w:val="24"/>
        </w:rPr>
      </w:pPr>
    </w:p>
    <w:p w14:paraId="4BAE3A95" w14:textId="77777777" w:rsidR="006E74BE" w:rsidRPr="006E74BE" w:rsidRDefault="006E74BE">
      <w:pPr>
        <w:rPr>
          <w:rFonts w:ascii="Microsoft Sans Serif" w:hAnsi="Microsoft Sans Serif" w:cs="Microsoft Sans Serif"/>
          <w:sz w:val="24"/>
          <w:szCs w:val="24"/>
        </w:rPr>
      </w:pPr>
    </w:p>
    <w:p w14:paraId="760A382C" w14:textId="77777777" w:rsidR="006E74BE" w:rsidRPr="006E74BE" w:rsidRDefault="006E74BE">
      <w:pPr>
        <w:rPr>
          <w:rFonts w:ascii="Microsoft Sans Serif" w:hAnsi="Microsoft Sans Serif" w:cs="Microsoft Sans Serif"/>
          <w:sz w:val="24"/>
          <w:szCs w:val="24"/>
        </w:rPr>
      </w:pPr>
    </w:p>
    <w:p w14:paraId="0119EC38" w14:textId="77777777" w:rsidR="006E74BE" w:rsidRPr="006E74BE" w:rsidRDefault="006E74BE">
      <w:pPr>
        <w:rPr>
          <w:rFonts w:ascii="Microsoft Sans Serif" w:hAnsi="Microsoft Sans Serif" w:cs="Microsoft Sans Serif"/>
          <w:sz w:val="24"/>
          <w:szCs w:val="24"/>
        </w:rPr>
      </w:pPr>
    </w:p>
    <w:p w14:paraId="5A87DA1D" w14:textId="77777777" w:rsidR="006E74BE" w:rsidRPr="006E74BE" w:rsidRDefault="006E74BE">
      <w:pPr>
        <w:rPr>
          <w:rFonts w:ascii="Microsoft Sans Serif" w:hAnsi="Microsoft Sans Serif" w:cs="Microsoft Sans Serif"/>
          <w:sz w:val="24"/>
          <w:szCs w:val="24"/>
        </w:rPr>
      </w:pPr>
    </w:p>
    <w:p w14:paraId="28C7661A" w14:textId="77777777" w:rsidR="006E74BE" w:rsidRPr="006E74BE" w:rsidRDefault="006E74BE">
      <w:pPr>
        <w:rPr>
          <w:rFonts w:ascii="Microsoft Sans Serif" w:hAnsi="Microsoft Sans Serif" w:cs="Microsoft Sans Serif"/>
          <w:sz w:val="24"/>
          <w:szCs w:val="24"/>
        </w:rPr>
      </w:pPr>
    </w:p>
    <w:p w14:paraId="04A4B10A" w14:textId="77777777" w:rsidR="006E74BE" w:rsidRPr="006E74BE" w:rsidRDefault="006E74BE">
      <w:pPr>
        <w:rPr>
          <w:rFonts w:ascii="Microsoft Sans Serif" w:hAnsi="Microsoft Sans Serif" w:cs="Microsoft Sans Serif"/>
          <w:sz w:val="24"/>
          <w:szCs w:val="24"/>
        </w:rPr>
      </w:pPr>
    </w:p>
    <w:p w14:paraId="3D288BF3" w14:textId="77777777" w:rsidR="006E74BE" w:rsidRPr="006E74BE" w:rsidRDefault="006E74BE">
      <w:pPr>
        <w:rPr>
          <w:rFonts w:ascii="Microsoft Sans Serif" w:hAnsi="Microsoft Sans Serif" w:cs="Microsoft Sans Serif"/>
          <w:sz w:val="24"/>
          <w:szCs w:val="24"/>
        </w:rPr>
      </w:pPr>
    </w:p>
    <w:p w14:paraId="578DAF69" w14:textId="77777777" w:rsidR="00C92C40" w:rsidRDefault="00C92C40" w:rsidP="00684DE3">
      <w:pPr>
        <w:spacing w:line="480" w:lineRule="auto"/>
        <w:rPr>
          <w:rFonts w:ascii="Microsoft Sans Serif" w:hAnsi="Microsoft Sans Serif" w:cs="Microsoft Sans Serif"/>
          <w:sz w:val="24"/>
          <w:szCs w:val="24"/>
        </w:rPr>
      </w:pPr>
    </w:p>
    <w:p w14:paraId="718F2995" w14:textId="77777777" w:rsidR="006E74BE" w:rsidRPr="006E74BE" w:rsidRDefault="006E74BE" w:rsidP="000F7F11">
      <w:pPr>
        <w:spacing w:line="480" w:lineRule="auto"/>
        <w:jc w:val="both"/>
        <w:rPr>
          <w:rFonts w:ascii="Microsoft Sans Serif" w:hAnsi="Microsoft Sans Serif" w:cs="Microsoft Sans Serif"/>
          <w:b/>
          <w:sz w:val="24"/>
          <w:szCs w:val="24"/>
        </w:rPr>
      </w:pPr>
      <w:r w:rsidRPr="006E74BE">
        <w:rPr>
          <w:rFonts w:ascii="Microsoft Sans Serif" w:hAnsi="Microsoft Sans Serif" w:cs="Microsoft Sans Serif"/>
          <w:b/>
          <w:sz w:val="24"/>
          <w:szCs w:val="24"/>
        </w:rPr>
        <w:lastRenderedPageBreak/>
        <w:t>DETAILED MATERIALS AND METHODS</w:t>
      </w:r>
    </w:p>
    <w:p w14:paraId="1C3B1C30" w14:textId="77777777" w:rsidR="006E74BE" w:rsidRPr="006E74BE" w:rsidRDefault="006E74BE" w:rsidP="000F7F11">
      <w:pPr>
        <w:spacing w:line="480" w:lineRule="auto"/>
        <w:jc w:val="both"/>
        <w:rPr>
          <w:rFonts w:ascii="Microsoft Sans Serif" w:hAnsi="Microsoft Sans Serif" w:cs="Microsoft Sans Serif"/>
          <w:sz w:val="24"/>
          <w:szCs w:val="24"/>
        </w:rPr>
      </w:pPr>
      <w:r w:rsidRPr="006E74BE">
        <w:rPr>
          <w:rFonts w:ascii="Microsoft Sans Serif" w:hAnsi="Microsoft Sans Serif" w:cs="Microsoft Sans Serif"/>
          <w:sz w:val="24"/>
          <w:szCs w:val="24"/>
        </w:rPr>
        <w:t xml:space="preserve">The animals in our study were treated in accordance with the guidelines outlined in the ‘Guide for the Care and use of Laboratory Animals’, published by the National Research Council. Our animal use protocol was approved by the Toronto General Research Institute Animal Care Committee. Yorkshire male domestic pigs (29-37 kg) were used for this study. Pigs were induced using ketamine (20mg/kg intramuscular [IM]), midazolam (0.3 mg/kg IM) and atropine (0.04 mg/kg IM). General anesthesia was </w:t>
      </w:r>
      <w:r w:rsidR="00684DE3">
        <w:rPr>
          <w:rFonts w:ascii="Microsoft Sans Serif" w:hAnsi="Microsoft Sans Serif" w:cs="Microsoft Sans Serif"/>
          <w:sz w:val="24"/>
          <w:szCs w:val="24"/>
        </w:rPr>
        <w:t>maintained</w:t>
      </w:r>
      <w:r w:rsidRPr="006E74BE">
        <w:rPr>
          <w:rFonts w:ascii="Microsoft Sans Serif" w:hAnsi="Microsoft Sans Serif" w:cs="Microsoft Sans Serif"/>
          <w:sz w:val="24"/>
          <w:szCs w:val="24"/>
        </w:rPr>
        <w:t xml:space="preserve"> using a </w:t>
      </w:r>
      <w:proofErr w:type="spellStart"/>
      <w:r w:rsidRPr="006E74BE">
        <w:rPr>
          <w:rFonts w:ascii="Microsoft Sans Serif" w:hAnsi="Microsoft Sans Serif" w:cs="Microsoft Sans Serif"/>
          <w:sz w:val="24"/>
          <w:szCs w:val="24"/>
        </w:rPr>
        <w:t>propofol</w:t>
      </w:r>
      <w:proofErr w:type="spellEnd"/>
      <w:r w:rsidRPr="006E74BE">
        <w:rPr>
          <w:rFonts w:ascii="Microsoft Sans Serif" w:hAnsi="Microsoft Sans Serif" w:cs="Microsoft Sans Serif"/>
          <w:sz w:val="24"/>
          <w:szCs w:val="24"/>
        </w:rPr>
        <w:t xml:space="preserve"> infusion (12-20 mg/kg) and inhaled isoflurane (4%) and analgesia was provided with remifentanil (19-30 </w:t>
      </w:r>
      <w:proofErr w:type="spellStart"/>
      <w:r w:rsidRPr="006E74BE">
        <w:rPr>
          <w:rFonts w:ascii="Microsoft Sans Serif" w:hAnsi="Microsoft Sans Serif" w:cs="Microsoft Sans Serif"/>
          <w:sz w:val="24"/>
          <w:szCs w:val="24"/>
        </w:rPr>
        <w:t>ug</w:t>
      </w:r>
      <w:proofErr w:type="spellEnd"/>
      <w:r w:rsidRPr="006E74BE">
        <w:rPr>
          <w:rFonts w:ascii="Microsoft Sans Serif" w:hAnsi="Microsoft Sans Serif" w:cs="Microsoft Sans Serif"/>
          <w:sz w:val="24"/>
          <w:szCs w:val="24"/>
        </w:rPr>
        <w:t xml:space="preserve">/kg). Augmentation of the anesthesia was sometimes required to ensure that the set respiratory rate matched the animal’s respiratory rate and that triggering of the ventilator was minimized since paralysis was not used. Each of the animals were maintained with a 0.9% </w:t>
      </w:r>
      <w:proofErr w:type="spellStart"/>
      <w:r w:rsidRPr="006E74BE">
        <w:rPr>
          <w:rFonts w:ascii="Microsoft Sans Serif" w:hAnsi="Microsoft Sans Serif" w:cs="Microsoft Sans Serif"/>
          <w:sz w:val="24"/>
          <w:szCs w:val="24"/>
        </w:rPr>
        <w:t>NaCl</w:t>
      </w:r>
      <w:proofErr w:type="spellEnd"/>
      <w:r w:rsidRPr="006E74BE">
        <w:rPr>
          <w:rFonts w:ascii="Microsoft Sans Serif" w:hAnsi="Microsoft Sans Serif" w:cs="Microsoft Sans Serif"/>
          <w:sz w:val="24"/>
          <w:szCs w:val="24"/>
        </w:rPr>
        <w:t xml:space="preserve"> (Baxter Corp, Mississauga, ON) infusion via central venous </w:t>
      </w:r>
      <w:r w:rsidR="00684DE3">
        <w:rPr>
          <w:rFonts w:ascii="Microsoft Sans Serif" w:hAnsi="Microsoft Sans Serif" w:cs="Microsoft Sans Serif"/>
          <w:sz w:val="24"/>
          <w:szCs w:val="24"/>
        </w:rPr>
        <w:t>access at 5-10</w:t>
      </w:r>
      <w:r w:rsidRPr="006E74BE">
        <w:rPr>
          <w:rFonts w:ascii="Microsoft Sans Serif" w:hAnsi="Microsoft Sans Serif" w:cs="Microsoft Sans Serif"/>
          <w:sz w:val="24"/>
          <w:szCs w:val="24"/>
        </w:rPr>
        <w:t xml:space="preserve"> ml/kg. A 38 degree heating blanket maintained normothermia and an esophageal temperature probe measured core body temperature. </w:t>
      </w:r>
    </w:p>
    <w:p w14:paraId="22B51603" w14:textId="77777777" w:rsidR="006E74BE" w:rsidRPr="006E74BE" w:rsidRDefault="006E74BE" w:rsidP="000F7F11">
      <w:pPr>
        <w:spacing w:line="480" w:lineRule="auto"/>
        <w:jc w:val="both"/>
        <w:rPr>
          <w:rFonts w:ascii="Microsoft Sans Serif" w:hAnsi="Microsoft Sans Serif" w:cs="Microsoft Sans Serif"/>
          <w:sz w:val="24"/>
          <w:szCs w:val="24"/>
        </w:rPr>
      </w:pPr>
      <w:r w:rsidRPr="006E74BE">
        <w:rPr>
          <w:rFonts w:ascii="Microsoft Sans Serif" w:hAnsi="Microsoft Sans Serif" w:cs="Microsoft Sans Serif"/>
          <w:sz w:val="24"/>
          <w:szCs w:val="24"/>
        </w:rPr>
        <w:t>Animals underwent open tracheostomy and a 7.5 mm I.D (Mallinckrodt, Covidien, Mansfield, MA) endotracheal tube (ETT) was used. The left internal carotid artery was cannulated and secured using an 8 French (Fr) pediatric feeding tube (Covidien, Mansfield, MA) for serial blood pressure measurement and arterial blood gas analysis. Blood gas analysis was conducted immediately post tracheostomy and every 15-60 minutes depending on the event during the experiment using a Siemens blood gas analyzer (</w:t>
      </w:r>
      <w:proofErr w:type="spellStart"/>
      <w:r w:rsidRPr="006E74BE">
        <w:rPr>
          <w:rFonts w:ascii="Microsoft Sans Serif" w:hAnsi="Microsoft Sans Serif" w:cs="Microsoft Sans Serif"/>
          <w:sz w:val="24"/>
          <w:szCs w:val="24"/>
        </w:rPr>
        <w:t>Rapidpoint</w:t>
      </w:r>
      <w:proofErr w:type="spellEnd"/>
      <w:r w:rsidRPr="006E74BE">
        <w:rPr>
          <w:rFonts w:ascii="Microsoft Sans Serif" w:hAnsi="Microsoft Sans Serif" w:cs="Microsoft Sans Serif"/>
          <w:sz w:val="24"/>
          <w:szCs w:val="24"/>
        </w:rPr>
        <w:t xml:space="preserve"> 500, </w:t>
      </w:r>
      <w:proofErr w:type="spellStart"/>
      <w:r w:rsidRPr="006E74BE">
        <w:rPr>
          <w:rFonts w:ascii="Microsoft Sans Serif" w:hAnsi="Microsoft Sans Serif" w:cs="Microsoft Sans Serif"/>
          <w:sz w:val="24"/>
          <w:szCs w:val="24"/>
        </w:rPr>
        <w:t>Seimens</w:t>
      </w:r>
      <w:proofErr w:type="spellEnd"/>
      <w:r w:rsidRPr="006E74BE">
        <w:rPr>
          <w:rFonts w:ascii="Microsoft Sans Serif" w:hAnsi="Microsoft Sans Serif" w:cs="Microsoft Sans Serif"/>
          <w:sz w:val="24"/>
          <w:szCs w:val="24"/>
        </w:rPr>
        <w:t xml:space="preserve">, Malvern, PA). After the airway was secured and arterial line placed, a 10 cm, 8.5 Fr percutaneous introducer (Arrow/Teleflex, Morrisville, </w:t>
      </w:r>
      <w:r w:rsidRPr="006E74BE">
        <w:rPr>
          <w:rFonts w:ascii="Microsoft Sans Serif" w:hAnsi="Microsoft Sans Serif" w:cs="Microsoft Sans Serif"/>
          <w:sz w:val="24"/>
          <w:szCs w:val="24"/>
        </w:rPr>
        <w:lastRenderedPageBreak/>
        <w:t>NC) was sterilely placed in the left external jugular (EJ) vein under ultrasound guidance. A 7.5 Fr pulmonary artery catheter (Edwards Life Sciences, Irvine CA) was subsequently placed via pressure wave guidance from the left EJ. Heart rate (beats per min), respiratory rate (breaths per minute, bpm), end-tidal carbon dioxide (etCO</w:t>
      </w:r>
      <w:r w:rsidRPr="006E74BE">
        <w:rPr>
          <w:rFonts w:ascii="Microsoft Sans Serif" w:hAnsi="Microsoft Sans Serif" w:cs="Microsoft Sans Serif"/>
          <w:sz w:val="24"/>
          <w:szCs w:val="24"/>
          <w:vertAlign w:val="subscript"/>
        </w:rPr>
        <w:t>2</w:t>
      </w:r>
      <w:r w:rsidRPr="006E74BE">
        <w:rPr>
          <w:rFonts w:ascii="Microsoft Sans Serif" w:hAnsi="Microsoft Sans Serif" w:cs="Microsoft Sans Serif"/>
          <w:sz w:val="24"/>
          <w:szCs w:val="24"/>
        </w:rPr>
        <w:t xml:space="preserve">), arterial blood pressure (mmHg), pulmonary artery (PA) pressure, esophageal temperature, and continuous pulse oximetry were used to continuously monitor the animal and were recorded. Pulmonary capillary wedge pressure (PCWP) was also measured.  </w:t>
      </w:r>
    </w:p>
    <w:p w14:paraId="181A29E3" w14:textId="77777777" w:rsidR="006E74BE" w:rsidRPr="00684DE3" w:rsidRDefault="006E74BE" w:rsidP="000F7F11">
      <w:pPr>
        <w:spacing w:line="480" w:lineRule="auto"/>
        <w:jc w:val="both"/>
        <w:rPr>
          <w:rFonts w:ascii="Microsoft Sans Serif" w:hAnsi="Microsoft Sans Serif" w:cs="Microsoft Sans Serif"/>
          <w:b/>
          <w:sz w:val="24"/>
          <w:szCs w:val="24"/>
        </w:rPr>
      </w:pPr>
      <w:r w:rsidRPr="006E74BE">
        <w:rPr>
          <w:rFonts w:ascii="Microsoft Sans Serif" w:hAnsi="Microsoft Sans Serif" w:cs="Microsoft Sans Serif"/>
          <w:b/>
          <w:sz w:val="24"/>
          <w:szCs w:val="24"/>
        </w:rPr>
        <w:t>Ventilator Management</w:t>
      </w:r>
      <w:r w:rsidR="00684DE3">
        <w:rPr>
          <w:rFonts w:ascii="Microsoft Sans Serif" w:hAnsi="Microsoft Sans Serif" w:cs="Microsoft Sans Serif"/>
          <w:b/>
          <w:sz w:val="24"/>
          <w:szCs w:val="24"/>
        </w:rPr>
        <w:t xml:space="preserve">: </w:t>
      </w:r>
      <w:r w:rsidRPr="006E74BE">
        <w:rPr>
          <w:rFonts w:ascii="Microsoft Sans Serif" w:hAnsi="Microsoft Sans Serif" w:cs="Microsoft Sans Serif"/>
          <w:sz w:val="24"/>
          <w:szCs w:val="24"/>
        </w:rPr>
        <w:t>The animals were ventilated (Servo-</w:t>
      </w:r>
      <w:proofErr w:type="spellStart"/>
      <w:r w:rsidRPr="006E74BE">
        <w:rPr>
          <w:rFonts w:ascii="Microsoft Sans Serif" w:hAnsi="Microsoft Sans Serif" w:cs="Microsoft Sans Serif"/>
          <w:sz w:val="24"/>
          <w:szCs w:val="24"/>
        </w:rPr>
        <w:t>i</w:t>
      </w:r>
      <w:proofErr w:type="spellEnd"/>
      <w:r w:rsidRPr="006E74BE">
        <w:rPr>
          <w:rFonts w:ascii="Microsoft Sans Serif" w:hAnsi="Microsoft Sans Serif" w:cs="Microsoft Sans Serif"/>
          <w:sz w:val="24"/>
          <w:szCs w:val="24"/>
        </w:rPr>
        <w:t xml:space="preserve">, </w:t>
      </w:r>
      <w:proofErr w:type="spellStart"/>
      <w:r w:rsidRPr="006E74BE">
        <w:rPr>
          <w:rFonts w:ascii="Microsoft Sans Serif" w:hAnsi="Microsoft Sans Serif" w:cs="Microsoft Sans Serif"/>
          <w:sz w:val="24"/>
          <w:szCs w:val="24"/>
        </w:rPr>
        <w:t>Maquet</w:t>
      </w:r>
      <w:proofErr w:type="spellEnd"/>
      <w:r w:rsidRPr="006E74BE">
        <w:rPr>
          <w:rFonts w:ascii="Microsoft Sans Serif" w:hAnsi="Microsoft Sans Serif" w:cs="Microsoft Sans Serif"/>
          <w:sz w:val="24"/>
          <w:szCs w:val="24"/>
        </w:rPr>
        <w:t xml:space="preserve"> Getinge Group, Wayne, NJ) using pressure control ventilation (PCV) for the majority of the experiment. A mechanical filter intervened between the ventilator tubing and ETT (Covidien, Mansfield, MA). Alarms were adjusted on the ventilator such that the upper limit of the r</w:t>
      </w:r>
      <w:r w:rsidR="00684DE3">
        <w:rPr>
          <w:rFonts w:ascii="Microsoft Sans Serif" w:hAnsi="Microsoft Sans Serif" w:cs="Microsoft Sans Serif"/>
          <w:sz w:val="24"/>
          <w:szCs w:val="24"/>
        </w:rPr>
        <w:t>espiratory rate and peak airway</w:t>
      </w:r>
      <w:r w:rsidRPr="006E74BE">
        <w:rPr>
          <w:rFonts w:ascii="Microsoft Sans Serif" w:hAnsi="Microsoft Sans Serif" w:cs="Microsoft Sans Serif"/>
          <w:sz w:val="24"/>
          <w:szCs w:val="24"/>
        </w:rPr>
        <w:t xml:space="preserve"> pressures were 50 bpm and 60 cmH</w:t>
      </w:r>
      <w:r w:rsidRPr="006E74BE">
        <w:rPr>
          <w:rFonts w:ascii="Microsoft Sans Serif" w:hAnsi="Microsoft Sans Serif" w:cs="Microsoft Sans Serif"/>
          <w:sz w:val="24"/>
          <w:szCs w:val="24"/>
          <w:vertAlign w:val="subscript"/>
        </w:rPr>
        <w:t>2</w:t>
      </w:r>
      <w:r w:rsidRPr="006E74BE">
        <w:rPr>
          <w:rFonts w:ascii="Microsoft Sans Serif" w:hAnsi="Microsoft Sans Serif" w:cs="Microsoft Sans Serif"/>
          <w:sz w:val="24"/>
          <w:szCs w:val="24"/>
        </w:rPr>
        <w:t>O, respectively. Prior to injury with gastric juice, PCV was set with a driving pressure of 15 cmH</w:t>
      </w:r>
      <w:r w:rsidRPr="006E74BE">
        <w:rPr>
          <w:rFonts w:ascii="Microsoft Sans Serif" w:hAnsi="Microsoft Sans Serif" w:cs="Microsoft Sans Serif"/>
          <w:sz w:val="24"/>
          <w:szCs w:val="24"/>
          <w:vertAlign w:val="subscript"/>
        </w:rPr>
        <w:t>2</w:t>
      </w:r>
      <w:r w:rsidRPr="006E74BE">
        <w:rPr>
          <w:rFonts w:ascii="Microsoft Sans Serif" w:hAnsi="Microsoft Sans Serif" w:cs="Microsoft Sans Serif"/>
          <w:sz w:val="24"/>
          <w:szCs w:val="24"/>
        </w:rPr>
        <w:t>O and peak end-expiratory pressure (PEEP) of 5 cmH</w:t>
      </w:r>
      <w:r w:rsidRPr="006E74BE">
        <w:rPr>
          <w:rFonts w:ascii="Microsoft Sans Serif" w:hAnsi="Microsoft Sans Serif" w:cs="Microsoft Sans Serif"/>
          <w:sz w:val="24"/>
          <w:szCs w:val="24"/>
          <w:vertAlign w:val="subscript"/>
        </w:rPr>
        <w:t>2</w:t>
      </w:r>
      <w:r w:rsidRPr="006E74BE">
        <w:rPr>
          <w:rFonts w:ascii="Microsoft Sans Serif" w:hAnsi="Microsoft Sans Serif" w:cs="Microsoft Sans Serif"/>
          <w:sz w:val="24"/>
          <w:szCs w:val="24"/>
        </w:rPr>
        <w:t>O (PCV 15/5), fraction of inspired oxygen (FiO</w:t>
      </w:r>
      <w:r w:rsidRPr="006E74BE">
        <w:rPr>
          <w:rFonts w:ascii="Microsoft Sans Serif" w:hAnsi="Microsoft Sans Serif" w:cs="Microsoft Sans Serif"/>
          <w:sz w:val="24"/>
          <w:szCs w:val="24"/>
          <w:vertAlign w:val="subscript"/>
        </w:rPr>
        <w:t>2</w:t>
      </w:r>
      <w:r w:rsidRPr="006E74BE">
        <w:rPr>
          <w:rFonts w:ascii="Microsoft Sans Serif" w:hAnsi="Microsoft Sans Serif" w:cs="Microsoft Sans Serif"/>
          <w:sz w:val="24"/>
          <w:szCs w:val="24"/>
        </w:rPr>
        <w:t>) of 50%, respiratory rate (RR) of 15-20, breaths per minute (bpm), inspiratory to expiratory ratio (I:E) 1:2 seconds, 5% inspiratory rise and -5 cmH</w:t>
      </w:r>
      <w:r w:rsidRPr="006E74BE">
        <w:rPr>
          <w:rFonts w:ascii="Microsoft Sans Serif" w:hAnsi="Microsoft Sans Serif" w:cs="Microsoft Sans Serif"/>
          <w:sz w:val="24"/>
          <w:szCs w:val="24"/>
          <w:vertAlign w:val="subscript"/>
        </w:rPr>
        <w:t>2</w:t>
      </w:r>
      <w:r w:rsidRPr="006E74BE">
        <w:rPr>
          <w:rFonts w:ascii="Microsoft Sans Serif" w:hAnsi="Microsoft Sans Serif" w:cs="Microsoft Sans Serif"/>
          <w:sz w:val="24"/>
          <w:szCs w:val="24"/>
        </w:rPr>
        <w:t>O trigger pressure. For 5 minutes immediately after each instillation of gastric juice contents, the mode was changed to volume controlled ventilation (VCV) 10 mL/kg, 100% FiO</w:t>
      </w:r>
      <w:r w:rsidRPr="006E74BE">
        <w:rPr>
          <w:rFonts w:ascii="Microsoft Sans Serif" w:hAnsi="Microsoft Sans Serif" w:cs="Microsoft Sans Serif"/>
          <w:sz w:val="24"/>
          <w:szCs w:val="24"/>
          <w:vertAlign w:val="subscript"/>
        </w:rPr>
        <w:t xml:space="preserve">2 </w:t>
      </w:r>
      <w:r w:rsidRPr="006E74BE">
        <w:rPr>
          <w:rFonts w:ascii="Microsoft Sans Serif" w:hAnsi="Microsoft Sans Serif" w:cs="Microsoft Sans Serif"/>
          <w:sz w:val="24"/>
          <w:szCs w:val="24"/>
        </w:rPr>
        <w:t>and the respiratory rate adjusted immediately post injury in response to hypercapnia. After 5 minutes of VCV at 10 mL/kg the settings were changed back to the original pressure controlled settings with the FiO</w:t>
      </w:r>
      <w:r w:rsidRPr="006E74BE">
        <w:rPr>
          <w:rFonts w:ascii="Microsoft Sans Serif" w:hAnsi="Microsoft Sans Serif" w:cs="Microsoft Sans Serif"/>
          <w:sz w:val="24"/>
          <w:szCs w:val="24"/>
          <w:vertAlign w:val="subscript"/>
        </w:rPr>
        <w:t>2</w:t>
      </w:r>
      <w:r w:rsidRPr="006E74BE">
        <w:rPr>
          <w:rFonts w:ascii="Microsoft Sans Serif" w:hAnsi="Microsoft Sans Serif" w:cs="Microsoft Sans Serif"/>
          <w:sz w:val="24"/>
          <w:szCs w:val="24"/>
        </w:rPr>
        <w:t xml:space="preserve"> kept at 100%. </w:t>
      </w:r>
    </w:p>
    <w:p w14:paraId="3EC5B72A" w14:textId="04ADB5F8" w:rsidR="006E74BE" w:rsidRPr="006E74BE" w:rsidRDefault="006E74BE" w:rsidP="000F7F11">
      <w:pPr>
        <w:spacing w:line="480" w:lineRule="auto"/>
        <w:jc w:val="both"/>
        <w:rPr>
          <w:rFonts w:ascii="Microsoft Sans Serif" w:hAnsi="Microsoft Sans Serif" w:cs="Microsoft Sans Serif"/>
          <w:sz w:val="24"/>
          <w:szCs w:val="24"/>
        </w:rPr>
      </w:pPr>
      <w:r w:rsidRPr="006E74BE">
        <w:rPr>
          <w:rFonts w:ascii="Microsoft Sans Serif" w:hAnsi="Microsoft Sans Serif" w:cs="Microsoft Sans Serif"/>
          <w:sz w:val="24"/>
          <w:szCs w:val="24"/>
        </w:rPr>
        <w:lastRenderedPageBreak/>
        <w:t xml:space="preserve">The rationale for this change in ventilation mode post injury stemmed from results from our pilot experiments. As a result of a large volume of gastric juice being instilled in the airways, the airway resistance increases dramatically and almost obstructs the lumen of the airway. As a result, severe hypercapnia ensues secondary to low tidal volume ventilation on </w:t>
      </w:r>
      <w:proofErr w:type="gramStart"/>
      <w:r w:rsidRPr="006E74BE">
        <w:rPr>
          <w:rFonts w:ascii="Microsoft Sans Serif" w:hAnsi="Microsoft Sans Serif" w:cs="Microsoft Sans Serif"/>
          <w:sz w:val="24"/>
          <w:szCs w:val="24"/>
        </w:rPr>
        <w:t>low pressure</w:t>
      </w:r>
      <w:proofErr w:type="gramEnd"/>
      <w:r w:rsidRPr="006E74BE">
        <w:rPr>
          <w:rFonts w:ascii="Microsoft Sans Serif" w:hAnsi="Microsoft Sans Serif" w:cs="Microsoft Sans Serif"/>
          <w:sz w:val="24"/>
          <w:szCs w:val="24"/>
        </w:rPr>
        <w:t xml:space="preserve"> c</w:t>
      </w:r>
      <w:r w:rsidR="00556BCE">
        <w:rPr>
          <w:rFonts w:ascii="Microsoft Sans Serif" w:hAnsi="Microsoft Sans Serif" w:cs="Microsoft Sans Serif"/>
          <w:sz w:val="24"/>
          <w:szCs w:val="24"/>
        </w:rPr>
        <w:t xml:space="preserve">ontrol ventilation (PCV 15/5). </w:t>
      </w:r>
      <w:r w:rsidRPr="006E74BE">
        <w:rPr>
          <w:rFonts w:ascii="Microsoft Sans Serif" w:hAnsi="Microsoft Sans Serif" w:cs="Microsoft Sans Serif"/>
          <w:sz w:val="24"/>
          <w:szCs w:val="24"/>
        </w:rPr>
        <w:t>Volume control settings guaranteed sufficient tidal ventilation immediately post injury and further minimized dangerous levels of CO</w:t>
      </w:r>
      <w:r w:rsidRPr="006E74BE">
        <w:rPr>
          <w:rFonts w:ascii="Microsoft Sans Serif" w:hAnsi="Microsoft Sans Serif" w:cs="Microsoft Sans Serif"/>
          <w:sz w:val="24"/>
          <w:szCs w:val="24"/>
          <w:vertAlign w:val="subscript"/>
        </w:rPr>
        <w:t>2</w:t>
      </w:r>
      <w:r w:rsidRPr="006E74BE">
        <w:rPr>
          <w:rFonts w:ascii="Microsoft Sans Serif" w:hAnsi="Microsoft Sans Serif" w:cs="Microsoft Sans Serif"/>
          <w:sz w:val="24"/>
          <w:szCs w:val="24"/>
        </w:rPr>
        <w:t xml:space="preserve">. Furthermore, VCV was also used to help distribute the gastric juice more peripherally. </w:t>
      </w:r>
    </w:p>
    <w:p w14:paraId="4210ADF5" w14:textId="77777777" w:rsidR="006E74BE" w:rsidRPr="006E74BE" w:rsidRDefault="006E74BE" w:rsidP="000F7F11">
      <w:pPr>
        <w:spacing w:before="240" w:line="480" w:lineRule="auto"/>
        <w:jc w:val="both"/>
        <w:rPr>
          <w:rFonts w:ascii="Microsoft Sans Serif" w:hAnsi="Microsoft Sans Serif" w:cs="Microsoft Sans Serif"/>
          <w:sz w:val="24"/>
          <w:szCs w:val="24"/>
        </w:rPr>
      </w:pPr>
      <w:r w:rsidRPr="006E74BE">
        <w:rPr>
          <w:rFonts w:ascii="Microsoft Sans Serif" w:hAnsi="Microsoft Sans Serif" w:cs="Microsoft Sans Serif"/>
          <w:sz w:val="24"/>
          <w:szCs w:val="24"/>
        </w:rPr>
        <w:t>After ECMO was initiated and the animal started to show improvement in oxygen saturation/etCO</w:t>
      </w:r>
      <w:r w:rsidRPr="006E74BE">
        <w:rPr>
          <w:rFonts w:ascii="Microsoft Sans Serif" w:hAnsi="Microsoft Sans Serif" w:cs="Microsoft Sans Serif"/>
          <w:sz w:val="24"/>
          <w:szCs w:val="24"/>
          <w:vertAlign w:val="subscript"/>
        </w:rPr>
        <w:t>2</w:t>
      </w:r>
      <w:r w:rsidRPr="006E74BE">
        <w:rPr>
          <w:rFonts w:ascii="Microsoft Sans Serif" w:hAnsi="Microsoft Sans Serif" w:cs="Microsoft Sans Serif"/>
          <w:sz w:val="24"/>
          <w:szCs w:val="24"/>
        </w:rPr>
        <w:t>, the FiO</w:t>
      </w:r>
      <w:r w:rsidRPr="006E74BE">
        <w:rPr>
          <w:rFonts w:ascii="Microsoft Sans Serif" w:hAnsi="Microsoft Sans Serif" w:cs="Microsoft Sans Serif"/>
          <w:sz w:val="24"/>
          <w:szCs w:val="24"/>
          <w:vertAlign w:val="subscript"/>
        </w:rPr>
        <w:t xml:space="preserve">2 </w:t>
      </w:r>
      <w:r w:rsidRPr="006E74BE">
        <w:rPr>
          <w:rFonts w:ascii="Microsoft Sans Serif" w:hAnsi="Microsoft Sans Serif" w:cs="Microsoft Sans Serif"/>
          <w:sz w:val="24"/>
          <w:szCs w:val="24"/>
        </w:rPr>
        <w:t xml:space="preserve">was decreased to 50% for the remainder of the experiment. This was completed within the first 5 minutes after ECMO initiation. </w:t>
      </w:r>
    </w:p>
    <w:p w14:paraId="14EE78D5" w14:textId="77777777" w:rsidR="006E74BE" w:rsidRPr="006E74BE" w:rsidRDefault="006E74BE" w:rsidP="000F7F11">
      <w:pPr>
        <w:spacing w:before="240" w:line="480" w:lineRule="auto"/>
        <w:jc w:val="both"/>
        <w:rPr>
          <w:rFonts w:ascii="Microsoft Sans Serif" w:hAnsi="Microsoft Sans Serif" w:cs="Microsoft Sans Serif"/>
          <w:sz w:val="24"/>
          <w:szCs w:val="24"/>
        </w:rPr>
      </w:pPr>
      <w:r w:rsidRPr="006E74BE">
        <w:rPr>
          <w:rFonts w:ascii="Microsoft Sans Serif" w:hAnsi="Microsoft Sans Serif" w:cs="Microsoft Sans Serif"/>
          <w:sz w:val="24"/>
          <w:szCs w:val="24"/>
        </w:rPr>
        <w:t xml:space="preserve">In both controls and treatment cases, recruitment maneuvers were used. In controls, at 2 hours post injury while on ECMO, a recruitment maneuver included 3 sustained inflations, 10 seconds each with 3 breaths apart, during a 5 minute period of VCV at 10 ml/kg. PCV 15/5 was resumed after this 5 minute period. For treatment groups, PCV 15/5 was used during the saline lavage and VCV 10 mL/kg was used during surfactant instillation. Inflation was sustained during the active administration of the surfactant once the airway was visualized during bronchoscopy. </w:t>
      </w:r>
    </w:p>
    <w:p w14:paraId="1B9E3B47" w14:textId="77777777" w:rsidR="006E74BE" w:rsidRPr="00684DE3" w:rsidRDefault="006E74BE" w:rsidP="000F7F11">
      <w:pPr>
        <w:spacing w:before="240" w:line="480" w:lineRule="auto"/>
        <w:jc w:val="both"/>
        <w:rPr>
          <w:rFonts w:ascii="Microsoft Sans Serif" w:hAnsi="Microsoft Sans Serif" w:cs="Microsoft Sans Serif"/>
          <w:b/>
          <w:sz w:val="24"/>
          <w:szCs w:val="24"/>
        </w:rPr>
      </w:pPr>
      <w:r w:rsidRPr="006E74BE">
        <w:rPr>
          <w:rFonts w:ascii="Microsoft Sans Serif" w:hAnsi="Microsoft Sans Serif" w:cs="Microsoft Sans Serif"/>
          <w:b/>
          <w:sz w:val="24"/>
          <w:szCs w:val="24"/>
        </w:rPr>
        <w:t>ECMO Cannulation and management</w:t>
      </w:r>
      <w:r w:rsidR="00684DE3">
        <w:rPr>
          <w:rFonts w:ascii="Microsoft Sans Serif" w:hAnsi="Microsoft Sans Serif" w:cs="Microsoft Sans Serif"/>
          <w:b/>
          <w:sz w:val="24"/>
          <w:szCs w:val="24"/>
        </w:rPr>
        <w:t xml:space="preserve">: </w:t>
      </w:r>
      <w:r w:rsidRPr="006E74BE">
        <w:rPr>
          <w:rFonts w:ascii="Microsoft Sans Serif" w:hAnsi="Microsoft Sans Serif" w:cs="Microsoft Sans Serif"/>
          <w:sz w:val="24"/>
          <w:szCs w:val="24"/>
        </w:rPr>
        <w:t>After the pulmonary artery catheter was placed, the right neck and groin were prepared and draped in a sterile fashion. Ultrasound was used prior to cutting down the right neck to plan our skin incision. A 15 Fr (5.0 mm x 50 cm, Bio-</w:t>
      </w:r>
      <w:proofErr w:type="spellStart"/>
      <w:r w:rsidRPr="006E74BE">
        <w:rPr>
          <w:rFonts w:ascii="Microsoft Sans Serif" w:hAnsi="Microsoft Sans Serif" w:cs="Microsoft Sans Serif"/>
          <w:sz w:val="24"/>
          <w:szCs w:val="24"/>
        </w:rPr>
        <w:t>medicus</w:t>
      </w:r>
      <w:proofErr w:type="spellEnd"/>
      <w:r w:rsidRPr="006E74BE">
        <w:rPr>
          <w:rFonts w:ascii="Microsoft Sans Serif" w:hAnsi="Microsoft Sans Serif" w:cs="Microsoft Sans Serif"/>
          <w:sz w:val="24"/>
          <w:szCs w:val="24"/>
        </w:rPr>
        <w:t xml:space="preserve"> venous cannula, Medtronic, Minneapolis, MN) was used for the femoral vein (drainage cannula) and a 14 Fr (4.7 mm x 10 cm, Bio-</w:t>
      </w:r>
      <w:proofErr w:type="spellStart"/>
      <w:r w:rsidRPr="006E74BE">
        <w:rPr>
          <w:rFonts w:ascii="Microsoft Sans Serif" w:hAnsi="Microsoft Sans Serif" w:cs="Microsoft Sans Serif"/>
          <w:sz w:val="24"/>
          <w:szCs w:val="24"/>
        </w:rPr>
        <w:t>medicus</w:t>
      </w:r>
      <w:proofErr w:type="spellEnd"/>
      <w:r w:rsidRPr="006E74BE">
        <w:rPr>
          <w:rFonts w:ascii="Microsoft Sans Serif" w:hAnsi="Microsoft Sans Serif" w:cs="Microsoft Sans Serif"/>
          <w:sz w:val="24"/>
          <w:szCs w:val="24"/>
        </w:rPr>
        <w:t xml:space="preserve"> </w:t>
      </w:r>
      <w:r w:rsidRPr="006E74BE">
        <w:rPr>
          <w:rFonts w:ascii="Microsoft Sans Serif" w:hAnsi="Microsoft Sans Serif" w:cs="Microsoft Sans Serif"/>
          <w:sz w:val="24"/>
          <w:szCs w:val="24"/>
        </w:rPr>
        <w:lastRenderedPageBreak/>
        <w:t xml:space="preserve">arterial cannula, Medtronic, Minneapolis, MN) was used for the external jugular vein (return cannula). Chest radiography was used to confirm cannula positioning. Just prior to cannulation, systemic heparinization was achieved with 5000 IU of heparin (Heparin LEO, LEO Pharma Inc, Thornhill, ON, Canada) and subsequently, 1000 IU were administered every hour for the remainder of the experiment. The circuit consisted of a </w:t>
      </w:r>
      <w:proofErr w:type="spellStart"/>
      <w:r w:rsidRPr="006E74BE">
        <w:rPr>
          <w:rFonts w:ascii="Microsoft Sans Serif" w:hAnsi="Microsoft Sans Serif" w:cs="Microsoft Sans Serif"/>
          <w:sz w:val="24"/>
          <w:szCs w:val="24"/>
        </w:rPr>
        <w:t>Quadrox-i</w:t>
      </w:r>
      <w:proofErr w:type="spellEnd"/>
      <w:r w:rsidRPr="006E74BE">
        <w:rPr>
          <w:rFonts w:ascii="Microsoft Sans Serif" w:hAnsi="Microsoft Sans Serif" w:cs="Microsoft Sans Serif"/>
          <w:sz w:val="24"/>
          <w:szCs w:val="24"/>
        </w:rPr>
        <w:t xml:space="preserve"> Adult microporous membrane oxygenator (HMO 70000, </w:t>
      </w:r>
      <w:proofErr w:type="spellStart"/>
      <w:r w:rsidRPr="006E74BE">
        <w:rPr>
          <w:rFonts w:ascii="Microsoft Sans Serif" w:hAnsi="Microsoft Sans Serif" w:cs="Microsoft Sans Serif"/>
          <w:sz w:val="24"/>
          <w:szCs w:val="24"/>
        </w:rPr>
        <w:t>Maquet</w:t>
      </w:r>
      <w:proofErr w:type="spellEnd"/>
      <w:r w:rsidRPr="006E74BE">
        <w:rPr>
          <w:rFonts w:ascii="Microsoft Sans Serif" w:hAnsi="Microsoft Sans Serif" w:cs="Microsoft Sans Serif"/>
          <w:sz w:val="24"/>
          <w:szCs w:val="24"/>
        </w:rPr>
        <w:t xml:space="preserve"> Getinge Group, Wayne, NJ), pump pack custom perfusion system (CB7D91R9, Medtronic Minneapolis, MN), centrifugal pump (050300000, </w:t>
      </w:r>
      <w:proofErr w:type="spellStart"/>
      <w:r w:rsidRPr="006E74BE">
        <w:rPr>
          <w:rFonts w:ascii="Microsoft Sans Serif" w:hAnsi="Microsoft Sans Serif" w:cs="Microsoft Sans Serif"/>
          <w:sz w:val="24"/>
          <w:szCs w:val="24"/>
        </w:rPr>
        <w:t>Sorin</w:t>
      </w:r>
      <w:proofErr w:type="spellEnd"/>
      <w:r w:rsidRPr="006E74BE">
        <w:rPr>
          <w:rFonts w:ascii="Microsoft Sans Serif" w:hAnsi="Microsoft Sans Serif" w:cs="Microsoft Sans Serif"/>
          <w:sz w:val="24"/>
          <w:szCs w:val="24"/>
        </w:rPr>
        <w:t xml:space="preserve">, </w:t>
      </w:r>
      <w:proofErr w:type="spellStart"/>
      <w:r w:rsidRPr="006E74BE">
        <w:rPr>
          <w:rFonts w:ascii="Microsoft Sans Serif" w:hAnsi="Microsoft Sans Serif" w:cs="Microsoft Sans Serif"/>
          <w:sz w:val="24"/>
          <w:szCs w:val="24"/>
        </w:rPr>
        <w:t>Mirandola</w:t>
      </w:r>
      <w:proofErr w:type="spellEnd"/>
      <w:r w:rsidRPr="006E74BE">
        <w:rPr>
          <w:rFonts w:ascii="Microsoft Sans Serif" w:hAnsi="Microsoft Sans Serif" w:cs="Microsoft Sans Serif"/>
          <w:sz w:val="24"/>
          <w:szCs w:val="24"/>
        </w:rPr>
        <w:t>, Italy), pump head (</w:t>
      </w:r>
      <w:proofErr w:type="spellStart"/>
      <w:r w:rsidRPr="006E74BE">
        <w:rPr>
          <w:rFonts w:ascii="Microsoft Sans Serif" w:hAnsi="Microsoft Sans Serif" w:cs="Microsoft Sans Serif"/>
          <w:sz w:val="24"/>
          <w:szCs w:val="24"/>
        </w:rPr>
        <w:t>Stockert</w:t>
      </w:r>
      <w:proofErr w:type="spellEnd"/>
      <w:r w:rsidRPr="006E74BE">
        <w:rPr>
          <w:rFonts w:ascii="Microsoft Sans Serif" w:hAnsi="Microsoft Sans Serif" w:cs="Microsoft Sans Serif"/>
          <w:sz w:val="24"/>
          <w:szCs w:val="24"/>
        </w:rPr>
        <w:t xml:space="preserve">, </w:t>
      </w:r>
      <w:proofErr w:type="spellStart"/>
      <w:r w:rsidRPr="006E74BE">
        <w:rPr>
          <w:rFonts w:ascii="Microsoft Sans Serif" w:hAnsi="Microsoft Sans Serif" w:cs="Microsoft Sans Serif"/>
          <w:sz w:val="24"/>
          <w:szCs w:val="24"/>
        </w:rPr>
        <w:t>Sorin</w:t>
      </w:r>
      <w:proofErr w:type="spellEnd"/>
      <w:r w:rsidRPr="006E74BE">
        <w:rPr>
          <w:rFonts w:ascii="Microsoft Sans Serif" w:hAnsi="Microsoft Sans Serif" w:cs="Microsoft Sans Serif"/>
          <w:sz w:val="24"/>
          <w:szCs w:val="24"/>
        </w:rPr>
        <w:t xml:space="preserve"> Group, Arvada, CO) and heat </w:t>
      </w:r>
      <w:r w:rsidRPr="006E74BE">
        <w:rPr>
          <w:rFonts w:ascii="Microsoft Sans Serif" w:hAnsi="Microsoft Sans Serif" w:cs="Microsoft Sans Serif"/>
          <w:color w:val="000000" w:themeColor="text1"/>
          <w:sz w:val="24"/>
          <w:szCs w:val="24"/>
        </w:rPr>
        <w:t>exchanger (</w:t>
      </w:r>
      <w:r w:rsidRPr="006E74BE">
        <w:rPr>
          <w:rFonts w:ascii="Microsoft Sans Serif" w:hAnsi="Microsoft Sans Serif" w:cs="Microsoft Sans Serif"/>
          <w:bCs/>
          <w:color w:val="000000" w:themeColor="text1"/>
          <w:sz w:val="24"/>
          <w:szCs w:val="24"/>
          <w:shd w:val="clear" w:color="auto" w:fill="FFFFFF"/>
        </w:rPr>
        <w:t>Terumo Cardiovascular Group, Ann Arbor, MI</w:t>
      </w:r>
      <w:r w:rsidRPr="006E74BE">
        <w:rPr>
          <w:rFonts w:ascii="Microsoft Sans Serif" w:hAnsi="Microsoft Sans Serif" w:cs="Microsoft Sans Serif"/>
          <w:color w:val="000000" w:themeColor="text1"/>
          <w:sz w:val="24"/>
          <w:szCs w:val="24"/>
        </w:rPr>
        <w:t xml:space="preserve">). </w:t>
      </w:r>
      <w:r w:rsidRPr="006E74BE">
        <w:rPr>
          <w:rFonts w:ascii="Microsoft Sans Serif" w:hAnsi="Microsoft Sans Serif" w:cs="Microsoft Sans Serif"/>
          <w:sz w:val="24"/>
          <w:szCs w:val="24"/>
        </w:rPr>
        <w:t xml:space="preserve">All animals received a fluid bolus of 200 mL just prior to ECMO initiation. Maximum flow (L/min) was guided by animal hemodynamics such that goal flow rate was maximized when MAP fell to 65 mmHg. Sweep was turned on (2 L/min) one hour after the first injury was administered. </w:t>
      </w:r>
    </w:p>
    <w:p w14:paraId="2054D99A" w14:textId="77777777" w:rsidR="006E74BE" w:rsidRPr="00684DE3" w:rsidRDefault="006E74BE" w:rsidP="000F7F11">
      <w:pPr>
        <w:spacing w:before="240" w:line="480" w:lineRule="auto"/>
        <w:jc w:val="both"/>
        <w:rPr>
          <w:rFonts w:ascii="Microsoft Sans Serif" w:hAnsi="Microsoft Sans Serif" w:cs="Microsoft Sans Serif"/>
          <w:b/>
          <w:sz w:val="24"/>
          <w:szCs w:val="24"/>
        </w:rPr>
      </w:pPr>
      <w:r w:rsidRPr="006E74BE">
        <w:rPr>
          <w:rFonts w:ascii="Microsoft Sans Serif" w:hAnsi="Microsoft Sans Serif" w:cs="Microsoft Sans Serif"/>
          <w:b/>
          <w:sz w:val="24"/>
          <w:szCs w:val="24"/>
        </w:rPr>
        <w:t>Injury with gastric juice</w:t>
      </w:r>
      <w:r w:rsidR="00684DE3">
        <w:rPr>
          <w:rFonts w:ascii="Microsoft Sans Serif" w:hAnsi="Microsoft Sans Serif" w:cs="Microsoft Sans Serif"/>
          <w:b/>
          <w:sz w:val="24"/>
          <w:szCs w:val="24"/>
        </w:rPr>
        <w:t xml:space="preserve">: </w:t>
      </w:r>
      <w:r w:rsidRPr="006E74BE">
        <w:rPr>
          <w:rFonts w:ascii="Microsoft Sans Serif" w:hAnsi="Microsoft Sans Serif" w:cs="Microsoft Sans Serif"/>
          <w:sz w:val="24"/>
          <w:szCs w:val="24"/>
        </w:rPr>
        <w:t xml:space="preserve">Gastric juice (GJ) was collected from pigs of similar weight and pooled. The GJ was initially filtered through surgical gauze and the pH was measured and titrated to a pH of approximately 1.6 and stored at -80 degrees Celsius. On the day of the experiment the pH was measured again to ensure stability of pH and kept in a 37 degree Celsius water bath until required for injury. </w:t>
      </w:r>
    </w:p>
    <w:p w14:paraId="722CB55F" w14:textId="77777777" w:rsidR="006E74BE" w:rsidRPr="006E74BE" w:rsidRDefault="006E74BE" w:rsidP="000F7F11">
      <w:pPr>
        <w:spacing w:before="240" w:line="480" w:lineRule="auto"/>
        <w:jc w:val="both"/>
        <w:rPr>
          <w:rFonts w:ascii="Microsoft Sans Serif" w:hAnsi="Microsoft Sans Serif" w:cs="Microsoft Sans Serif"/>
          <w:sz w:val="24"/>
          <w:szCs w:val="24"/>
        </w:rPr>
      </w:pPr>
      <w:r w:rsidRPr="006E74BE">
        <w:rPr>
          <w:rFonts w:ascii="Microsoft Sans Serif" w:hAnsi="Microsoft Sans Serif" w:cs="Microsoft Sans Serif"/>
          <w:sz w:val="24"/>
          <w:szCs w:val="24"/>
        </w:rPr>
        <w:t xml:space="preserve">Instillation of gastric juice was completed using a bronchoscope (Olympus BF Type 160, </w:t>
      </w:r>
      <w:proofErr w:type="spellStart"/>
      <w:r w:rsidRPr="006E74BE">
        <w:rPr>
          <w:rFonts w:ascii="Microsoft Sans Serif" w:hAnsi="Microsoft Sans Serif" w:cs="Microsoft Sans Serif"/>
          <w:sz w:val="24"/>
          <w:szCs w:val="24"/>
        </w:rPr>
        <w:t>Exera</w:t>
      </w:r>
      <w:proofErr w:type="spellEnd"/>
      <w:r w:rsidRPr="006E74BE">
        <w:rPr>
          <w:rFonts w:ascii="Microsoft Sans Serif" w:hAnsi="Microsoft Sans Serif" w:cs="Microsoft Sans Serif"/>
          <w:sz w:val="24"/>
          <w:szCs w:val="24"/>
        </w:rPr>
        <w:t xml:space="preserve"> II CLV-180/CV180, Tokyo, Japan). The first instillation of gastric injury occurred using a volume of 4 ml/kg. The cranial lobes (L and R) received 25% (12.5% each), right accessory lobe (12.5%), right middle lobe (12.5%), right and left lower lobes received 50%. In each segment the bronchoscope was placed as peripherally as possible and </w:t>
      </w:r>
      <w:r w:rsidRPr="006E74BE">
        <w:rPr>
          <w:rFonts w:ascii="Microsoft Sans Serif" w:hAnsi="Microsoft Sans Serif" w:cs="Microsoft Sans Serif"/>
          <w:sz w:val="24"/>
          <w:szCs w:val="24"/>
        </w:rPr>
        <w:lastRenderedPageBreak/>
        <w:t>the gastric juice was instilled slowly under direct visualization of the airway. After completion of the first injury, the ventilation was switched to VCV 10 mL/kg, FiO</w:t>
      </w:r>
      <w:r w:rsidRPr="006E74BE">
        <w:rPr>
          <w:rFonts w:ascii="Microsoft Sans Serif" w:hAnsi="Microsoft Sans Serif" w:cs="Microsoft Sans Serif"/>
          <w:sz w:val="24"/>
          <w:szCs w:val="24"/>
          <w:vertAlign w:val="subscript"/>
        </w:rPr>
        <w:t>2</w:t>
      </w:r>
      <w:r w:rsidRPr="006E74BE">
        <w:rPr>
          <w:rFonts w:ascii="Microsoft Sans Serif" w:hAnsi="Microsoft Sans Serif" w:cs="Microsoft Sans Serif"/>
          <w:sz w:val="24"/>
          <w:szCs w:val="24"/>
        </w:rPr>
        <w:t xml:space="preserve"> 100%. Thirty minutes after this first injury, a second injury was given (2 mL/kg, 50% in each lower lobes) followed by 5 minutes of VCV (10 mL/kg, FiO</w:t>
      </w:r>
      <w:r w:rsidRPr="006E74BE">
        <w:rPr>
          <w:rFonts w:ascii="Microsoft Sans Serif" w:hAnsi="Microsoft Sans Serif" w:cs="Microsoft Sans Serif"/>
          <w:sz w:val="24"/>
          <w:szCs w:val="24"/>
          <w:vertAlign w:val="subscript"/>
        </w:rPr>
        <w:t>2</w:t>
      </w:r>
      <w:r w:rsidRPr="006E74BE">
        <w:rPr>
          <w:rFonts w:ascii="Microsoft Sans Serif" w:hAnsi="Microsoft Sans Serif" w:cs="Microsoft Sans Serif"/>
          <w:sz w:val="24"/>
          <w:szCs w:val="24"/>
        </w:rPr>
        <w:t xml:space="preserve"> 100%). Serial blood gas analysis occurred every 15 minutes for a one hour period before which the sweep gas (2 L/min) was turned on. </w:t>
      </w:r>
    </w:p>
    <w:p w14:paraId="3836E1D7" w14:textId="77777777" w:rsidR="006E74BE" w:rsidRPr="00684DE3" w:rsidRDefault="006E74BE" w:rsidP="000F7F11">
      <w:pPr>
        <w:spacing w:before="240" w:line="480" w:lineRule="auto"/>
        <w:jc w:val="both"/>
        <w:rPr>
          <w:rFonts w:ascii="Microsoft Sans Serif" w:hAnsi="Microsoft Sans Serif" w:cs="Microsoft Sans Serif"/>
          <w:b/>
          <w:sz w:val="24"/>
          <w:szCs w:val="24"/>
        </w:rPr>
      </w:pPr>
      <w:r w:rsidRPr="006E74BE">
        <w:rPr>
          <w:rFonts w:ascii="Microsoft Sans Serif" w:hAnsi="Microsoft Sans Serif" w:cs="Microsoft Sans Serif"/>
          <w:b/>
          <w:sz w:val="24"/>
          <w:szCs w:val="24"/>
        </w:rPr>
        <w:t>Saline lavage and surfactant administration</w:t>
      </w:r>
      <w:r w:rsidR="00684DE3">
        <w:rPr>
          <w:rFonts w:ascii="Microsoft Sans Serif" w:hAnsi="Microsoft Sans Serif" w:cs="Microsoft Sans Serif"/>
          <w:b/>
          <w:sz w:val="24"/>
          <w:szCs w:val="24"/>
        </w:rPr>
        <w:t xml:space="preserve">: </w:t>
      </w:r>
      <w:r w:rsidRPr="006E74BE">
        <w:rPr>
          <w:rFonts w:ascii="Microsoft Sans Serif" w:hAnsi="Microsoft Sans Serif" w:cs="Microsoft Sans Serif"/>
          <w:sz w:val="24"/>
          <w:szCs w:val="24"/>
        </w:rPr>
        <w:t xml:space="preserve">Two hours after the first injury in our treatment group, 200 mL of (0.9% </w:t>
      </w:r>
      <w:proofErr w:type="spellStart"/>
      <w:r w:rsidRPr="006E74BE">
        <w:rPr>
          <w:rFonts w:ascii="Microsoft Sans Serif" w:hAnsi="Microsoft Sans Serif" w:cs="Microsoft Sans Serif"/>
          <w:sz w:val="24"/>
          <w:szCs w:val="24"/>
        </w:rPr>
        <w:t>NaCl</w:t>
      </w:r>
      <w:proofErr w:type="spellEnd"/>
      <w:r w:rsidRPr="006E74BE">
        <w:rPr>
          <w:rFonts w:ascii="Microsoft Sans Serif" w:hAnsi="Microsoft Sans Serif" w:cs="Microsoft Sans Serif"/>
          <w:sz w:val="24"/>
          <w:szCs w:val="24"/>
        </w:rPr>
        <w:t xml:space="preserve">) saline was used to lavage the lungs. Approximately 20 segments were </w:t>
      </w:r>
      <w:proofErr w:type="spellStart"/>
      <w:r w:rsidRPr="006E74BE">
        <w:rPr>
          <w:rFonts w:ascii="Microsoft Sans Serif" w:hAnsi="Microsoft Sans Serif" w:cs="Microsoft Sans Serif"/>
          <w:sz w:val="24"/>
          <w:szCs w:val="24"/>
        </w:rPr>
        <w:t>lavaged</w:t>
      </w:r>
      <w:proofErr w:type="spellEnd"/>
      <w:r w:rsidRPr="006E74BE">
        <w:rPr>
          <w:rFonts w:ascii="Microsoft Sans Serif" w:hAnsi="Microsoft Sans Serif" w:cs="Microsoft Sans Serif"/>
          <w:sz w:val="24"/>
          <w:szCs w:val="24"/>
        </w:rPr>
        <w:t xml:space="preserve"> with 10 mL per segment. Fluid recovered from segments was intermittently collected into a specimen trap (Argyle, Covidien, Mansfield, MA) attached to the suction valve port and the total volume recorded. </w:t>
      </w:r>
    </w:p>
    <w:p w14:paraId="2C82D757" w14:textId="77777777" w:rsidR="006E74BE" w:rsidRPr="006E74BE" w:rsidRDefault="006E74BE" w:rsidP="000F7F11">
      <w:pPr>
        <w:spacing w:before="240" w:line="480" w:lineRule="auto"/>
        <w:jc w:val="both"/>
        <w:rPr>
          <w:rFonts w:ascii="Microsoft Sans Serif" w:hAnsi="Microsoft Sans Serif" w:cs="Microsoft Sans Serif"/>
          <w:sz w:val="24"/>
          <w:szCs w:val="24"/>
        </w:rPr>
      </w:pPr>
      <w:r w:rsidRPr="006E74BE">
        <w:rPr>
          <w:rFonts w:ascii="Microsoft Sans Serif" w:hAnsi="Microsoft Sans Serif" w:cs="Microsoft Sans Serif"/>
          <w:sz w:val="24"/>
          <w:szCs w:val="24"/>
        </w:rPr>
        <w:t xml:space="preserve">Surfactant (BLES Pharmaceuticals, London, Ontario, Canada) was used in our treatment group. Dosing for our treatment group was based on the manufacturer recommended dose for neonates with respiratory distress syndrome (135 mg/kg, 27 mg/mL). After the 200 mL saline lavage, surfactant was instilled in approximately 20 segments. Each segmental administration was followed with a 5 mL air bolus to clear the channel of any surfactant fluid remaining. Before each administration of the surfactant bolus, inspiration was held to maximize the chances that the airways were open prior to surfactant instillation. After surfactant instillation, ventilation was switched to VCV 10 mL/kg for 5 minutes and 3 sustained inflations (10 sec) were performed.  </w:t>
      </w:r>
    </w:p>
    <w:p w14:paraId="328BDD1A" w14:textId="77777777" w:rsidR="006E74BE" w:rsidRPr="00684DE3" w:rsidRDefault="006E74BE" w:rsidP="000F7F11">
      <w:pPr>
        <w:spacing w:before="240" w:line="480" w:lineRule="auto"/>
        <w:jc w:val="both"/>
        <w:rPr>
          <w:rFonts w:ascii="Microsoft Sans Serif" w:hAnsi="Microsoft Sans Serif" w:cs="Microsoft Sans Serif"/>
          <w:b/>
          <w:sz w:val="24"/>
          <w:szCs w:val="24"/>
        </w:rPr>
      </w:pPr>
      <w:r w:rsidRPr="006E74BE">
        <w:rPr>
          <w:rFonts w:ascii="Microsoft Sans Serif" w:hAnsi="Microsoft Sans Serif" w:cs="Microsoft Sans Serif"/>
          <w:b/>
          <w:sz w:val="24"/>
          <w:szCs w:val="24"/>
        </w:rPr>
        <w:t xml:space="preserve">Plasma collection and BAL collection </w:t>
      </w:r>
      <w:r w:rsidR="00684DE3">
        <w:rPr>
          <w:rFonts w:ascii="Microsoft Sans Serif" w:hAnsi="Microsoft Sans Serif" w:cs="Microsoft Sans Serif"/>
          <w:b/>
          <w:sz w:val="24"/>
          <w:szCs w:val="24"/>
        </w:rPr>
        <w:t xml:space="preserve">: </w:t>
      </w:r>
      <w:r w:rsidRPr="006E74BE">
        <w:rPr>
          <w:rFonts w:ascii="Microsoft Sans Serif" w:hAnsi="Microsoft Sans Serif" w:cs="Microsoft Sans Serif"/>
          <w:sz w:val="24"/>
          <w:szCs w:val="24"/>
        </w:rPr>
        <w:t xml:space="preserve">Bronchial alveolar lavage (BAL) was performed immediately before injury, 2 hours after the first injury and 4 hours after either the recruitment maneuver only (controls) and lavage/surfactant/recruitment (treatment). </w:t>
      </w:r>
      <w:r w:rsidRPr="006E74BE">
        <w:rPr>
          <w:rFonts w:ascii="Microsoft Sans Serif" w:hAnsi="Microsoft Sans Serif" w:cs="Microsoft Sans Serif"/>
          <w:sz w:val="24"/>
          <w:szCs w:val="24"/>
        </w:rPr>
        <w:lastRenderedPageBreak/>
        <w:t xml:space="preserve">Two 25 mL aliquots of 0.9% </w:t>
      </w:r>
      <w:proofErr w:type="spellStart"/>
      <w:r w:rsidRPr="006E74BE">
        <w:rPr>
          <w:rFonts w:ascii="Microsoft Sans Serif" w:hAnsi="Microsoft Sans Serif" w:cs="Microsoft Sans Serif"/>
          <w:sz w:val="24"/>
          <w:szCs w:val="24"/>
        </w:rPr>
        <w:t>NaCl</w:t>
      </w:r>
      <w:proofErr w:type="spellEnd"/>
      <w:r w:rsidRPr="006E74BE">
        <w:rPr>
          <w:rFonts w:ascii="Microsoft Sans Serif" w:hAnsi="Microsoft Sans Serif" w:cs="Microsoft Sans Serif"/>
          <w:sz w:val="24"/>
          <w:szCs w:val="24"/>
        </w:rPr>
        <w:t xml:space="preserve"> (Baxter, Mississauga, ON) were instilled in the right middle lobe of the animal during these times. Each BAL was centrifuged (Centrifuge 5810R 15A, Eppendorf AG, Mississauga, ON) at 4 degrees for 10 minutes at 150g. The supernatant was collected and stored at -80 degrees Celsius until analysis was completed. </w:t>
      </w:r>
    </w:p>
    <w:p w14:paraId="3AAE06A3" w14:textId="77777777" w:rsidR="006E74BE" w:rsidRDefault="006E74BE" w:rsidP="000F7F11">
      <w:pPr>
        <w:spacing w:before="240" w:line="480" w:lineRule="auto"/>
        <w:jc w:val="both"/>
        <w:rPr>
          <w:rFonts w:ascii="Microsoft Sans Serif" w:hAnsi="Microsoft Sans Serif" w:cs="Microsoft Sans Serif"/>
          <w:sz w:val="24"/>
          <w:szCs w:val="24"/>
        </w:rPr>
      </w:pPr>
      <w:r w:rsidRPr="006E74BE">
        <w:rPr>
          <w:rFonts w:ascii="Microsoft Sans Serif" w:hAnsi="Microsoft Sans Serif" w:cs="Microsoft Sans Serif"/>
          <w:color w:val="000000" w:themeColor="text1"/>
          <w:sz w:val="24"/>
          <w:szCs w:val="24"/>
          <w:shd w:val="clear" w:color="auto" w:fill="FFFFFF"/>
        </w:rPr>
        <w:t>Blood was collected at the same time points that the BAL was collected, described above. Blood was c</w:t>
      </w:r>
      <w:r w:rsidRPr="006E74BE">
        <w:rPr>
          <w:rFonts w:ascii="Microsoft Sans Serif" w:hAnsi="Microsoft Sans Serif" w:cs="Microsoft Sans Serif"/>
          <w:sz w:val="24"/>
          <w:szCs w:val="24"/>
        </w:rPr>
        <w:t xml:space="preserve">entrifuged (Centrifuge 5810R 15A, Eppendorf AG, Mississauga, ON) at 4 degrees for 10 minutes at 150g. The supernatant was collected and stored at -80 degrees Celsius until analysis was completed. </w:t>
      </w:r>
    </w:p>
    <w:p w14:paraId="107EF562" w14:textId="77777777" w:rsidR="008B4366" w:rsidRDefault="008B4366">
      <w:pPr>
        <w:rPr>
          <w:rFonts w:ascii="Arial" w:hAnsi="Arial" w:cs="Arial"/>
        </w:rPr>
      </w:pPr>
      <w:r>
        <w:rPr>
          <w:rFonts w:ascii="Arial" w:hAnsi="Arial" w:cs="Arial"/>
        </w:rPr>
        <w:br w:type="page"/>
      </w:r>
    </w:p>
    <w:p w14:paraId="02E82750" w14:textId="02A3449A" w:rsidR="008B4366" w:rsidRPr="000421D6" w:rsidRDefault="008B4366" w:rsidP="008B4366">
      <w:pPr>
        <w:spacing w:line="480" w:lineRule="auto"/>
        <w:rPr>
          <w:rFonts w:ascii="Arial" w:hAnsi="Arial" w:cs="Arial"/>
          <w:b/>
        </w:rPr>
      </w:pPr>
      <w:r w:rsidRPr="00D84F00">
        <w:rPr>
          <w:rFonts w:ascii="Arial" w:hAnsi="Arial" w:cs="Arial"/>
          <w:b/>
        </w:rPr>
        <w:lastRenderedPageBreak/>
        <w:t xml:space="preserve">Table </w:t>
      </w:r>
      <w:r w:rsidR="006B0EF2">
        <w:rPr>
          <w:rFonts w:ascii="Arial" w:hAnsi="Arial" w:cs="Arial"/>
          <w:b/>
        </w:rPr>
        <w:t>E</w:t>
      </w:r>
      <w:bookmarkStart w:id="0" w:name="_GoBack"/>
      <w:bookmarkEnd w:id="0"/>
      <w:r w:rsidRPr="00D84F00">
        <w:rPr>
          <w:rFonts w:ascii="Arial" w:hAnsi="Arial" w:cs="Arial"/>
          <w:b/>
        </w:rPr>
        <w:t>1</w:t>
      </w:r>
      <w:r w:rsidRPr="00D84F00">
        <w:rPr>
          <w:rFonts w:ascii="Arial" w:hAnsi="Arial" w:cs="Arial"/>
        </w:rPr>
        <w:t>: Baseline, experimental and intraoperat</w:t>
      </w:r>
      <w:r>
        <w:rPr>
          <w:rFonts w:ascii="Arial" w:hAnsi="Arial" w:cs="Arial"/>
        </w:rPr>
        <w:t>ive variables between CONTROL</w:t>
      </w:r>
      <w:r w:rsidRPr="00D84F00">
        <w:rPr>
          <w:rFonts w:ascii="Arial" w:hAnsi="Arial" w:cs="Arial"/>
        </w:rPr>
        <w:t xml:space="preserve"> and LAV/</w:t>
      </w:r>
      <w:r>
        <w:rPr>
          <w:rFonts w:ascii="Arial" w:hAnsi="Arial" w:cs="Arial"/>
        </w:rPr>
        <w:t xml:space="preserve">SRT </w:t>
      </w:r>
      <w:r w:rsidRPr="00D84F00">
        <w:rPr>
          <w:rFonts w:ascii="Arial" w:hAnsi="Arial" w:cs="Arial"/>
        </w:rPr>
        <w:t>groups.</w:t>
      </w:r>
    </w:p>
    <w:tbl>
      <w:tblPr>
        <w:tblW w:w="8260" w:type="dxa"/>
        <w:tblLook w:val="04A0" w:firstRow="1" w:lastRow="0" w:firstColumn="1" w:lastColumn="0" w:noHBand="0" w:noVBand="1"/>
      </w:tblPr>
      <w:tblGrid>
        <w:gridCol w:w="3240"/>
        <w:gridCol w:w="2070"/>
        <w:gridCol w:w="1890"/>
        <w:gridCol w:w="1060"/>
      </w:tblGrid>
      <w:tr w:rsidR="008B4366" w:rsidRPr="00D84F00" w14:paraId="1F2A40E7" w14:textId="77777777" w:rsidTr="00AE40AC">
        <w:trPr>
          <w:trHeight w:val="698"/>
        </w:trPr>
        <w:tc>
          <w:tcPr>
            <w:tcW w:w="3240" w:type="dxa"/>
            <w:tcBorders>
              <w:top w:val="single" w:sz="12" w:space="0" w:color="000000"/>
              <w:left w:val="nil"/>
              <w:bottom w:val="nil"/>
              <w:right w:val="nil"/>
            </w:tcBorders>
            <w:shd w:val="clear" w:color="000000" w:fill="D9D9D9"/>
            <w:vAlign w:val="center"/>
            <w:hideMark/>
          </w:tcPr>
          <w:p w14:paraId="1F38CDC1" w14:textId="77777777" w:rsidR="008B4366" w:rsidRPr="00D84F00" w:rsidRDefault="008B4366" w:rsidP="00AE40AC">
            <w:pPr>
              <w:rPr>
                <w:rFonts w:ascii="Arial" w:eastAsia="Times New Roman" w:hAnsi="Arial" w:cs="Arial"/>
              </w:rPr>
            </w:pPr>
            <w:r w:rsidRPr="00D84F00">
              <w:rPr>
                <w:rFonts w:ascii="Arial" w:eastAsia="Times New Roman" w:hAnsi="Arial" w:cs="Arial"/>
              </w:rPr>
              <w:t> </w:t>
            </w:r>
          </w:p>
        </w:tc>
        <w:tc>
          <w:tcPr>
            <w:tcW w:w="2070" w:type="dxa"/>
            <w:tcBorders>
              <w:top w:val="single" w:sz="12" w:space="0" w:color="000000"/>
              <w:left w:val="nil"/>
              <w:bottom w:val="nil"/>
              <w:right w:val="nil"/>
            </w:tcBorders>
            <w:shd w:val="clear" w:color="000000" w:fill="D9D9D9"/>
            <w:vAlign w:val="center"/>
            <w:hideMark/>
          </w:tcPr>
          <w:p w14:paraId="613A269A" w14:textId="77777777" w:rsidR="008B4366" w:rsidRPr="00D84F00" w:rsidRDefault="008B4366" w:rsidP="00AE40AC">
            <w:pPr>
              <w:jc w:val="center"/>
              <w:rPr>
                <w:rFonts w:ascii="Arial" w:eastAsia="Times New Roman" w:hAnsi="Arial" w:cs="Arial"/>
                <w:b/>
                <w:bCs/>
              </w:rPr>
            </w:pPr>
            <w:r>
              <w:rPr>
                <w:rFonts w:ascii="Arial" w:eastAsia="Times New Roman" w:hAnsi="Arial" w:cs="Arial"/>
                <w:b/>
                <w:bCs/>
              </w:rPr>
              <w:t>CONTROL</w:t>
            </w:r>
            <w:r w:rsidRPr="00D84F00">
              <w:rPr>
                <w:rFonts w:ascii="Arial" w:eastAsia="Times New Roman" w:hAnsi="Arial" w:cs="Arial"/>
                <w:b/>
                <w:bCs/>
              </w:rPr>
              <w:t xml:space="preserve"> </w:t>
            </w:r>
            <w:r>
              <w:rPr>
                <w:rFonts w:ascii="Arial" w:eastAsia="Times New Roman" w:hAnsi="Arial" w:cs="Arial"/>
                <w:b/>
                <w:bCs/>
              </w:rPr>
              <w:t xml:space="preserve">   </w:t>
            </w:r>
            <w:r w:rsidRPr="00D84F00">
              <w:rPr>
                <w:rFonts w:ascii="Arial" w:eastAsia="Times New Roman" w:hAnsi="Arial" w:cs="Arial"/>
                <w:b/>
                <w:bCs/>
              </w:rPr>
              <w:t>(n=5)</w:t>
            </w:r>
          </w:p>
        </w:tc>
        <w:tc>
          <w:tcPr>
            <w:tcW w:w="1890" w:type="dxa"/>
            <w:tcBorders>
              <w:top w:val="single" w:sz="12" w:space="0" w:color="000000"/>
              <w:left w:val="nil"/>
              <w:bottom w:val="nil"/>
              <w:right w:val="nil"/>
            </w:tcBorders>
            <w:shd w:val="clear" w:color="000000" w:fill="D9D9D9"/>
            <w:vAlign w:val="center"/>
            <w:hideMark/>
          </w:tcPr>
          <w:p w14:paraId="0EE7C95A" w14:textId="77777777" w:rsidR="008B4366" w:rsidRPr="00D84F00" w:rsidRDefault="008B4366" w:rsidP="00AE40AC">
            <w:pPr>
              <w:jc w:val="center"/>
              <w:rPr>
                <w:rFonts w:ascii="Arial" w:eastAsia="Times New Roman" w:hAnsi="Arial" w:cs="Arial"/>
                <w:b/>
                <w:bCs/>
                <w:color w:val="000000"/>
              </w:rPr>
            </w:pPr>
            <w:r w:rsidRPr="00D84F00">
              <w:rPr>
                <w:rFonts w:ascii="Arial" w:eastAsia="Times New Roman" w:hAnsi="Arial" w:cs="Arial"/>
                <w:b/>
                <w:bCs/>
                <w:color w:val="000000"/>
              </w:rPr>
              <w:t>LAV/SR</w:t>
            </w:r>
            <w:r>
              <w:rPr>
                <w:rFonts w:ascii="Arial" w:eastAsia="Times New Roman" w:hAnsi="Arial" w:cs="Arial"/>
                <w:b/>
                <w:bCs/>
                <w:color w:val="000000"/>
              </w:rPr>
              <w:t xml:space="preserve">T    </w:t>
            </w:r>
            <w:r w:rsidRPr="00D84F00">
              <w:rPr>
                <w:rFonts w:ascii="Arial" w:eastAsia="Times New Roman" w:hAnsi="Arial" w:cs="Arial"/>
                <w:b/>
                <w:bCs/>
                <w:color w:val="000000"/>
              </w:rPr>
              <w:t>(n=5)</w:t>
            </w:r>
          </w:p>
        </w:tc>
        <w:tc>
          <w:tcPr>
            <w:tcW w:w="1060" w:type="dxa"/>
            <w:tcBorders>
              <w:top w:val="single" w:sz="12" w:space="0" w:color="000000"/>
              <w:left w:val="nil"/>
              <w:bottom w:val="nil"/>
              <w:right w:val="nil"/>
            </w:tcBorders>
            <w:shd w:val="clear" w:color="000000" w:fill="D9D9D9"/>
            <w:vAlign w:val="center"/>
            <w:hideMark/>
          </w:tcPr>
          <w:p w14:paraId="6D242848" w14:textId="77777777" w:rsidR="008B4366" w:rsidRPr="00D84F00" w:rsidRDefault="008B4366" w:rsidP="00AE40AC">
            <w:pPr>
              <w:jc w:val="center"/>
              <w:rPr>
                <w:rFonts w:ascii="Arial" w:eastAsia="Times New Roman" w:hAnsi="Arial" w:cs="Arial"/>
              </w:rPr>
            </w:pPr>
            <w:r w:rsidRPr="00D84F00">
              <w:rPr>
                <w:rFonts w:ascii="Arial" w:eastAsia="Times New Roman" w:hAnsi="Arial" w:cs="Arial"/>
              </w:rPr>
              <w:t> </w:t>
            </w:r>
          </w:p>
        </w:tc>
      </w:tr>
      <w:tr w:rsidR="008B4366" w:rsidRPr="00D84F00" w14:paraId="4ABF6D96" w14:textId="77777777" w:rsidTr="00AE40AC">
        <w:trPr>
          <w:trHeight w:val="81"/>
        </w:trPr>
        <w:tc>
          <w:tcPr>
            <w:tcW w:w="3240" w:type="dxa"/>
            <w:tcBorders>
              <w:top w:val="nil"/>
              <w:left w:val="nil"/>
              <w:bottom w:val="single" w:sz="12" w:space="0" w:color="000000"/>
              <w:right w:val="nil"/>
            </w:tcBorders>
            <w:shd w:val="clear" w:color="000000" w:fill="D9D9D9"/>
            <w:vAlign w:val="center"/>
            <w:hideMark/>
          </w:tcPr>
          <w:p w14:paraId="3308A361" w14:textId="77777777" w:rsidR="008B4366" w:rsidRPr="00D84F00" w:rsidRDefault="008B4366" w:rsidP="00AE40AC">
            <w:pPr>
              <w:rPr>
                <w:rFonts w:ascii="Arial" w:eastAsia="Times New Roman" w:hAnsi="Arial" w:cs="Arial"/>
                <w:color w:val="000000"/>
              </w:rPr>
            </w:pPr>
            <w:r w:rsidRPr="00D84F00">
              <w:rPr>
                <w:rFonts w:ascii="Arial" w:eastAsia="Times New Roman" w:hAnsi="Arial" w:cs="Arial"/>
                <w:color w:val="000000"/>
              </w:rPr>
              <w:t> </w:t>
            </w:r>
          </w:p>
        </w:tc>
        <w:tc>
          <w:tcPr>
            <w:tcW w:w="2070" w:type="dxa"/>
            <w:tcBorders>
              <w:top w:val="nil"/>
              <w:left w:val="nil"/>
              <w:bottom w:val="single" w:sz="12" w:space="0" w:color="000000"/>
              <w:right w:val="nil"/>
            </w:tcBorders>
            <w:shd w:val="clear" w:color="000000" w:fill="D9D9D9"/>
            <w:vAlign w:val="center"/>
            <w:hideMark/>
          </w:tcPr>
          <w:p w14:paraId="6D708253" w14:textId="77777777" w:rsidR="008B4366" w:rsidRPr="00D84F00" w:rsidRDefault="008B4366" w:rsidP="00AE40AC">
            <w:pPr>
              <w:jc w:val="center"/>
              <w:rPr>
                <w:rFonts w:ascii="Arial" w:eastAsia="Times New Roman" w:hAnsi="Arial" w:cs="Arial"/>
                <w:color w:val="000000"/>
              </w:rPr>
            </w:pPr>
            <w:proofErr w:type="gramStart"/>
            <w:r w:rsidRPr="00D84F00">
              <w:rPr>
                <w:rFonts w:ascii="Arial" w:eastAsia="Times New Roman" w:hAnsi="Arial" w:cs="Arial"/>
                <w:color w:val="000000"/>
              </w:rPr>
              <w:t>mean</w:t>
            </w:r>
            <w:proofErr w:type="gramEnd"/>
            <w:r w:rsidRPr="00D84F00">
              <w:rPr>
                <w:rFonts w:ascii="Arial" w:eastAsia="Times New Roman" w:hAnsi="Arial" w:cs="Arial"/>
                <w:color w:val="000000"/>
              </w:rPr>
              <w:t xml:space="preserve"> (SD)</w:t>
            </w:r>
          </w:p>
        </w:tc>
        <w:tc>
          <w:tcPr>
            <w:tcW w:w="1890" w:type="dxa"/>
            <w:tcBorders>
              <w:top w:val="nil"/>
              <w:left w:val="nil"/>
              <w:bottom w:val="single" w:sz="12" w:space="0" w:color="000000"/>
              <w:right w:val="nil"/>
            </w:tcBorders>
            <w:shd w:val="clear" w:color="000000" w:fill="D9D9D9"/>
            <w:vAlign w:val="center"/>
            <w:hideMark/>
          </w:tcPr>
          <w:p w14:paraId="10448BF0" w14:textId="77777777" w:rsidR="008B4366" w:rsidRPr="00D84F00" w:rsidRDefault="008B4366" w:rsidP="00AE40AC">
            <w:pPr>
              <w:jc w:val="center"/>
              <w:rPr>
                <w:rFonts w:ascii="Arial" w:eastAsia="Times New Roman" w:hAnsi="Arial" w:cs="Arial"/>
                <w:color w:val="000000"/>
              </w:rPr>
            </w:pPr>
            <w:proofErr w:type="gramStart"/>
            <w:r w:rsidRPr="00D84F00">
              <w:rPr>
                <w:rFonts w:ascii="Arial" w:eastAsia="Times New Roman" w:hAnsi="Arial" w:cs="Arial"/>
                <w:color w:val="000000"/>
              </w:rPr>
              <w:t>mean</w:t>
            </w:r>
            <w:proofErr w:type="gramEnd"/>
            <w:r w:rsidRPr="00D84F00">
              <w:rPr>
                <w:rFonts w:ascii="Arial" w:eastAsia="Times New Roman" w:hAnsi="Arial" w:cs="Arial"/>
                <w:color w:val="000000"/>
              </w:rPr>
              <w:t xml:space="preserve"> (SD)</w:t>
            </w:r>
          </w:p>
        </w:tc>
        <w:tc>
          <w:tcPr>
            <w:tcW w:w="1060" w:type="dxa"/>
            <w:tcBorders>
              <w:top w:val="nil"/>
              <w:left w:val="nil"/>
              <w:bottom w:val="single" w:sz="12" w:space="0" w:color="000000"/>
              <w:right w:val="nil"/>
            </w:tcBorders>
            <w:shd w:val="clear" w:color="000000" w:fill="D9D9D9"/>
            <w:vAlign w:val="center"/>
            <w:hideMark/>
          </w:tcPr>
          <w:p w14:paraId="30B92B50" w14:textId="77777777" w:rsidR="008B4366" w:rsidRPr="00D84F00" w:rsidRDefault="008B4366" w:rsidP="00AE40AC">
            <w:pPr>
              <w:jc w:val="center"/>
              <w:rPr>
                <w:rFonts w:ascii="Arial" w:eastAsia="Times New Roman" w:hAnsi="Arial" w:cs="Arial"/>
              </w:rPr>
            </w:pPr>
            <w:proofErr w:type="gramStart"/>
            <w:r w:rsidRPr="00D84F00">
              <w:rPr>
                <w:rFonts w:ascii="Arial" w:eastAsia="Times New Roman" w:hAnsi="Arial" w:cs="Arial"/>
              </w:rPr>
              <w:t>p</w:t>
            </w:r>
            <w:proofErr w:type="gramEnd"/>
            <w:r w:rsidRPr="00D84F00">
              <w:rPr>
                <w:rFonts w:ascii="Arial" w:eastAsia="Times New Roman" w:hAnsi="Arial" w:cs="Arial"/>
              </w:rPr>
              <w:t>-value</w:t>
            </w:r>
          </w:p>
        </w:tc>
      </w:tr>
      <w:tr w:rsidR="008B4366" w:rsidRPr="00D84F00" w14:paraId="10DCBD40" w14:textId="77777777" w:rsidTr="00AE40AC">
        <w:trPr>
          <w:trHeight w:val="567"/>
        </w:trPr>
        <w:tc>
          <w:tcPr>
            <w:tcW w:w="3240" w:type="dxa"/>
            <w:tcBorders>
              <w:top w:val="nil"/>
              <w:left w:val="nil"/>
              <w:bottom w:val="single" w:sz="8" w:space="0" w:color="FFFFFF"/>
              <w:right w:val="single" w:sz="8" w:space="0" w:color="FFFFFF"/>
            </w:tcBorders>
            <w:shd w:val="clear" w:color="auto" w:fill="auto"/>
            <w:vAlign w:val="center"/>
            <w:hideMark/>
          </w:tcPr>
          <w:p w14:paraId="2CDBDEF2" w14:textId="77777777" w:rsidR="008B4366" w:rsidRPr="00D84F00" w:rsidRDefault="008B4366" w:rsidP="00AE40AC">
            <w:pPr>
              <w:rPr>
                <w:rFonts w:ascii="Arial" w:eastAsia="Times New Roman" w:hAnsi="Arial" w:cs="Arial"/>
                <w:color w:val="000000"/>
              </w:rPr>
            </w:pPr>
            <w:r w:rsidRPr="00D84F00">
              <w:rPr>
                <w:rFonts w:ascii="Arial" w:eastAsia="Times New Roman" w:hAnsi="Arial" w:cs="Arial"/>
                <w:color w:val="000000"/>
              </w:rPr>
              <w:t>Animal weight (kg)</w:t>
            </w:r>
          </w:p>
        </w:tc>
        <w:tc>
          <w:tcPr>
            <w:tcW w:w="2070" w:type="dxa"/>
            <w:tcBorders>
              <w:top w:val="nil"/>
              <w:left w:val="nil"/>
              <w:bottom w:val="single" w:sz="8" w:space="0" w:color="FFFFFF"/>
              <w:right w:val="single" w:sz="12" w:space="0" w:color="000000"/>
            </w:tcBorders>
            <w:shd w:val="clear" w:color="000000" w:fill="FFFFFF"/>
            <w:vAlign w:val="center"/>
            <w:hideMark/>
          </w:tcPr>
          <w:p w14:paraId="0A04C063"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32.2 (1.7)</w:t>
            </w:r>
          </w:p>
        </w:tc>
        <w:tc>
          <w:tcPr>
            <w:tcW w:w="1890" w:type="dxa"/>
            <w:tcBorders>
              <w:top w:val="nil"/>
              <w:left w:val="nil"/>
              <w:bottom w:val="single" w:sz="8" w:space="0" w:color="FFFFFF"/>
              <w:right w:val="single" w:sz="8" w:space="0" w:color="FFFFFF"/>
            </w:tcBorders>
            <w:shd w:val="clear" w:color="000000" w:fill="FFFFFF"/>
            <w:vAlign w:val="center"/>
            <w:hideMark/>
          </w:tcPr>
          <w:p w14:paraId="73553A9A"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33.02 (1.85)</w:t>
            </w:r>
          </w:p>
        </w:tc>
        <w:tc>
          <w:tcPr>
            <w:tcW w:w="1060" w:type="dxa"/>
            <w:tcBorders>
              <w:top w:val="nil"/>
              <w:left w:val="nil"/>
              <w:bottom w:val="single" w:sz="8" w:space="0" w:color="FFFFFF"/>
              <w:right w:val="single" w:sz="8" w:space="0" w:color="FFFFFF"/>
            </w:tcBorders>
            <w:shd w:val="clear" w:color="000000" w:fill="FFFFFF"/>
            <w:vAlign w:val="center"/>
            <w:hideMark/>
          </w:tcPr>
          <w:p w14:paraId="27B61F55"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0.421</w:t>
            </w:r>
          </w:p>
        </w:tc>
      </w:tr>
      <w:tr w:rsidR="008B4366" w:rsidRPr="00D84F00" w14:paraId="53429DA9" w14:textId="77777777" w:rsidTr="00AE40AC">
        <w:trPr>
          <w:trHeight w:val="567"/>
        </w:trPr>
        <w:tc>
          <w:tcPr>
            <w:tcW w:w="3240" w:type="dxa"/>
            <w:tcBorders>
              <w:top w:val="nil"/>
              <w:left w:val="nil"/>
              <w:bottom w:val="single" w:sz="8" w:space="0" w:color="FFFFFF"/>
              <w:right w:val="single" w:sz="8" w:space="0" w:color="FFFFFF"/>
            </w:tcBorders>
            <w:shd w:val="clear" w:color="auto" w:fill="auto"/>
            <w:vAlign w:val="center"/>
            <w:hideMark/>
          </w:tcPr>
          <w:p w14:paraId="7F54EAA8" w14:textId="77777777" w:rsidR="008B4366" w:rsidRPr="00D84F00" w:rsidRDefault="008B4366" w:rsidP="00AE40AC">
            <w:pPr>
              <w:rPr>
                <w:rFonts w:ascii="Arial" w:eastAsia="Times New Roman" w:hAnsi="Arial" w:cs="Arial"/>
                <w:color w:val="000000"/>
              </w:rPr>
            </w:pPr>
            <w:proofErr w:type="gramStart"/>
            <w:r w:rsidRPr="00D84F00">
              <w:rPr>
                <w:rFonts w:ascii="Arial" w:eastAsia="Times New Roman" w:hAnsi="Arial" w:cs="Arial"/>
                <w:color w:val="000000"/>
              </w:rPr>
              <w:t>pH</w:t>
            </w:r>
            <w:proofErr w:type="gramEnd"/>
            <w:r w:rsidRPr="00D84F00">
              <w:rPr>
                <w:rFonts w:ascii="Arial" w:eastAsia="Times New Roman" w:hAnsi="Arial" w:cs="Arial"/>
                <w:color w:val="000000"/>
              </w:rPr>
              <w:t xml:space="preserve"> of gastric juice</w:t>
            </w:r>
          </w:p>
        </w:tc>
        <w:tc>
          <w:tcPr>
            <w:tcW w:w="2070" w:type="dxa"/>
            <w:tcBorders>
              <w:top w:val="nil"/>
              <w:left w:val="nil"/>
              <w:bottom w:val="single" w:sz="8" w:space="0" w:color="FFFFFF"/>
              <w:right w:val="single" w:sz="12" w:space="0" w:color="000000"/>
            </w:tcBorders>
            <w:shd w:val="clear" w:color="000000" w:fill="FFFFFF"/>
            <w:vAlign w:val="center"/>
            <w:hideMark/>
          </w:tcPr>
          <w:p w14:paraId="77BB27E3"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1.684 (0.07)</w:t>
            </w:r>
          </w:p>
        </w:tc>
        <w:tc>
          <w:tcPr>
            <w:tcW w:w="1890" w:type="dxa"/>
            <w:tcBorders>
              <w:top w:val="nil"/>
              <w:left w:val="nil"/>
              <w:bottom w:val="single" w:sz="8" w:space="0" w:color="FFFFFF"/>
              <w:right w:val="single" w:sz="8" w:space="0" w:color="FFFFFF"/>
            </w:tcBorders>
            <w:shd w:val="clear" w:color="000000" w:fill="FFFFFF"/>
            <w:vAlign w:val="center"/>
            <w:hideMark/>
          </w:tcPr>
          <w:p w14:paraId="61F62F37"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1.654 (0.06)</w:t>
            </w:r>
          </w:p>
        </w:tc>
        <w:tc>
          <w:tcPr>
            <w:tcW w:w="1060" w:type="dxa"/>
            <w:tcBorders>
              <w:top w:val="nil"/>
              <w:left w:val="nil"/>
              <w:bottom w:val="single" w:sz="8" w:space="0" w:color="FFFFFF"/>
              <w:right w:val="single" w:sz="8" w:space="0" w:color="FFFFFF"/>
            </w:tcBorders>
            <w:shd w:val="clear" w:color="000000" w:fill="FFFFFF"/>
            <w:vAlign w:val="center"/>
            <w:hideMark/>
          </w:tcPr>
          <w:p w14:paraId="3C7E45A5"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0.674</w:t>
            </w:r>
          </w:p>
        </w:tc>
      </w:tr>
      <w:tr w:rsidR="008B4366" w:rsidRPr="00D84F00" w14:paraId="4D0E8E0C" w14:textId="77777777" w:rsidTr="00AE40AC">
        <w:trPr>
          <w:trHeight w:val="567"/>
        </w:trPr>
        <w:tc>
          <w:tcPr>
            <w:tcW w:w="3240" w:type="dxa"/>
            <w:tcBorders>
              <w:top w:val="nil"/>
              <w:left w:val="nil"/>
              <w:bottom w:val="single" w:sz="8" w:space="0" w:color="FFFFFF"/>
              <w:right w:val="single" w:sz="8" w:space="0" w:color="FFFFFF"/>
            </w:tcBorders>
            <w:shd w:val="clear" w:color="auto" w:fill="auto"/>
            <w:vAlign w:val="center"/>
            <w:hideMark/>
          </w:tcPr>
          <w:p w14:paraId="3DA74A9D" w14:textId="77777777" w:rsidR="008B4366" w:rsidRPr="00D84F00" w:rsidRDefault="008B4366" w:rsidP="00AE40AC">
            <w:pPr>
              <w:rPr>
                <w:rFonts w:ascii="Arial" w:eastAsia="Times New Roman" w:hAnsi="Arial" w:cs="Arial"/>
                <w:color w:val="000000"/>
              </w:rPr>
            </w:pPr>
            <w:r w:rsidRPr="00D84F00">
              <w:rPr>
                <w:rFonts w:ascii="Arial" w:eastAsia="Times New Roman" w:hAnsi="Arial" w:cs="Arial"/>
                <w:color w:val="000000"/>
              </w:rPr>
              <w:t>Volume of gastric juice/body weight  (mL/kg)</w:t>
            </w:r>
          </w:p>
        </w:tc>
        <w:tc>
          <w:tcPr>
            <w:tcW w:w="2070" w:type="dxa"/>
            <w:tcBorders>
              <w:top w:val="nil"/>
              <w:left w:val="nil"/>
              <w:bottom w:val="single" w:sz="8" w:space="0" w:color="FFFFFF"/>
              <w:right w:val="single" w:sz="12" w:space="0" w:color="000000"/>
            </w:tcBorders>
            <w:shd w:val="clear" w:color="000000" w:fill="FFFFFF"/>
            <w:vAlign w:val="center"/>
            <w:hideMark/>
          </w:tcPr>
          <w:p w14:paraId="55E64A4B"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5.97 (0.14)</w:t>
            </w:r>
          </w:p>
        </w:tc>
        <w:tc>
          <w:tcPr>
            <w:tcW w:w="1890" w:type="dxa"/>
            <w:tcBorders>
              <w:top w:val="nil"/>
              <w:left w:val="nil"/>
              <w:bottom w:val="single" w:sz="8" w:space="0" w:color="FFFFFF"/>
              <w:right w:val="single" w:sz="8" w:space="0" w:color="FFFFFF"/>
            </w:tcBorders>
            <w:shd w:val="clear" w:color="000000" w:fill="FFFFFF"/>
            <w:vAlign w:val="center"/>
            <w:hideMark/>
          </w:tcPr>
          <w:p w14:paraId="7EBCF03D"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6.13 (0.3)</w:t>
            </w:r>
          </w:p>
        </w:tc>
        <w:tc>
          <w:tcPr>
            <w:tcW w:w="1060" w:type="dxa"/>
            <w:tcBorders>
              <w:top w:val="nil"/>
              <w:left w:val="nil"/>
              <w:bottom w:val="single" w:sz="8" w:space="0" w:color="FFFFFF"/>
              <w:right w:val="single" w:sz="8" w:space="0" w:color="FFFFFF"/>
            </w:tcBorders>
            <w:shd w:val="clear" w:color="000000" w:fill="FFFFFF"/>
            <w:vAlign w:val="center"/>
            <w:hideMark/>
          </w:tcPr>
          <w:p w14:paraId="315961ED"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0.889</w:t>
            </w:r>
          </w:p>
        </w:tc>
      </w:tr>
      <w:tr w:rsidR="008B4366" w:rsidRPr="00D84F00" w14:paraId="0814B15D" w14:textId="77777777" w:rsidTr="00AE40AC">
        <w:trPr>
          <w:trHeight w:val="567"/>
        </w:trPr>
        <w:tc>
          <w:tcPr>
            <w:tcW w:w="3240" w:type="dxa"/>
            <w:tcBorders>
              <w:top w:val="nil"/>
              <w:left w:val="nil"/>
              <w:bottom w:val="single" w:sz="8" w:space="0" w:color="FFFFFF"/>
              <w:right w:val="single" w:sz="8" w:space="0" w:color="FFFFFF"/>
            </w:tcBorders>
            <w:shd w:val="clear" w:color="auto" w:fill="auto"/>
            <w:vAlign w:val="center"/>
            <w:hideMark/>
          </w:tcPr>
          <w:p w14:paraId="426C511B" w14:textId="77777777" w:rsidR="008B4366" w:rsidRPr="00D84F00" w:rsidRDefault="008B4366" w:rsidP="00AE40AC">
            <w:pPr>
              <w:rPr>
                <w:rFonts w:ascii="Arial" w:eastAsia="Times New Roman" w:hAnsi="Arial" w:cs="Arial"/>
                <w:color w:val="000000"/>
              </w:rPr>
            </w:pPr>
            <w:r w:rsidRPr="00D84F00">
              <w:rPr>
                <w:rFonts w:ascii="Arial" w:eastAsia="Times New Roman" w:hAnsi="Arial" w:cs="Arial"/>
                <w:color w:val="000000"/>
              </w:rPr>
              <w:t>Hemoglobin (g/L) (baseline)</w:t>
            </w:r>
          </w:p>
        </w:tc>
        <w:tc>
          <w:tcPr>
            <w:tcW w:w="2070" w:type="dxa"/>
            <w:tcBorders>
              <w:top w:val="nil"/>
              <w:left w:val="nil"/>
              <w:bottom w:val="single" w:sz="8" w:space="0" w:color="FFFFFF"/>
              <w:right w:val="single" w:sz="12" w:space="0" w:color="000000"/>
            </w:tcBorders>
            <w:shd w:val="clear" w:color="000000" w:fill="FFFFFF"/>
            <w:vAlign w:val="center"/>
            <w:hideMark/>
          </w:tcPr>
          <w:p w14:paraId="50703E1E"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102.8 (4.02)</w:t>
            </w:r>
          </w:p>
        </w:tc>
        <w:tc>
          <w:tcPr>
            <w:tcW w:w="1890" w:type="dxa"/>
            <w:tcBorders>
              <w:top w:val="nil"/>
              <w:left w:val="nil"/>
              <w:bottom w:val="single" w:sz="8" w:space="0" w:color="FFFFFF"/>
              <w:right w:val="single" w:sz="8" w:space="0" w:color="FFFFFF"/>
            </w:tcBorders>
            <w:shd w:val="clear" w:color="000000" w:fill="FFFFFF"/>
            <w:vAlign w:val="center"/>
            <w:hideMark/>
          </w:tcPr>
          <w:p w14:paraId="7D0BDF69"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110.2 (5.81)</w:t>
            </w:r>
          </w:p>
        </w:tc>
        <w:tc>
          <w:tcPr>
            <w:tcW w:w="1060" w:type="dxa"/>
            <w:tcBorders>
              <w:top w:val="nil"/>
              <w:left w:val="nil"/>
              <w:bottom w:val="single" w:sz="8" w:space="0" w:color="FFFFFF"/>
              <w:right w:val="single" w:sz="8" w:space="0" w:color="FFFFFF"/>
            </w:tcBorders>
            <w:shd w:val="clear" w:color="000000" w:fill="FFFFFF"/>
            <w:vAlign w:val="center"/>
            <w:hideMark/>
          </w:tcPr>
          <w:p w14:paraId="4B86A92B"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0.087</w:t>
            </w:r>
          </w:p>
        </w:tc>
      </w:tr>
      <w:tr w:rsidR="008B4366" w:rsidRPr="00D84F00" w14:paraId="55191D20" w14:textId="77777777" w:rsidTr="00AE40AC">
        <w:trPr>
          <w:trHeight w:val="567"/>
        </w:trPr>
        <w:tc>
          <w:tcPr>
            <w:tcW w:w="3240" w:type="dxa"/>
            <w:tcBorders>
              <w:top w:val="nil"/>
              <w:left w:val="nil"/>
              <w:bottom w:val="single" w:sz="8" w:space="0" w:color="FFFFFF"/>
              <w:right w:val="single" w:sz="8" w:space="0" w:color="FFFFFF"/>
            </w:tcBorders>
            <w:shd w:val="clear" w:color="auto" w:fill="auto"/>
            <w:vAlign w:val="center"/>
            <w:hideMark/>
          </w:tcPr>
          <w:p w14:paraId="1CE4EEFD" w14:textId="77777777" w:rsidR="008B4366" w:rsidRPr="00D84F00" w:rsidRDefault="008B4366" w:rsidP="00AE40AC">
            <w:pPr>
              <w:rPr>
                <w:rFonts w:ascii="Arial" w:eastAsia="Times New Roman" w:hAnsi="Arial" w:cs="Arial"/>
                <w:color w:val="000000"/>
              </w:rPr>
            </w:pPr>
            <w:r w:rsidRPr="00D84F00">
              <w:rPr>
                <w:rFonts w:ascii="Arial" w:eastAsia="Times New Roman" w:hAnsi="Arial" w:cs="Arial"/>
                <w:color w:val="000000"/>
              </w:rPr>
              <w:t>Estimated blood loss (mL)</w:t>
            </w:r>
          </w:p>
        </w:tc>
        <w:tc>
          <w:tcPr>
            <w:tcW w:w="2070" w:type="dxa"/>
            <w:tcBorders>
              <w:top w:val="nil"/>
              <w:left w:val="nil"/>
              <w:bottom w:val="single" w:sz="8" w:space="0" w:color="FFFFFF"/>
              <w:right w:val="single" w:sz="12" w:space="0" w:color="000000"/>
            </w:tcBorders>
            <w:shd w:val="clear" w:color="000000" w:fill="FFFFFF"/>
            <w:vAlign w:val="center"/>
            <w:hideMark/>
          </w:tcPr>
          <w:p w14:paraId="15B12E37"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12 (7.58)</w:t>
            </w:r>
          </w:p>
        </w:tc>
        <w:tc>
          <w:tcPr>
            <w:tcW w:w="1890" w:type="dxa"/>
            <w:tcBorders>
              <w:top w:val="nil"/>
              <w:left w:val="nil"/>
              <w:bottom w:val="single" w:sz="8" w:space="0" w:color="FFFFFF"/>
              <w:right w:val="single" w:sz="8" w:space="0" w:color="FFFFFF"/>
            </w:tcBorders>
            <w:shd w:val="clear" w:color="000000" w:fill="FFFFFF"/>
            <w:vAlign w:val="center"/>
            <w:hideMark/>
          </w:tcPr>
          <w:p w14:paraId="4946A056"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11 (4.18)</w:t>
            </w:r>
          </w:p>
        </w:tc>
        <w:tc>
          <w:tcPr>
            <w:tcW w:w="1060" w:type="dxa"/>
            <w:tcBorders>
              <w:top w:val="nil"/>
              <w:left w:val="nil"/>
              <w:bottom w:val="single" w:sz="8" w:space="0" w:color="FFFFFF"/>
              <w:right w:val="single" w:sz="8" w:space="0" w:color="FFFFFF"/>
            </w:tcBorders>
            <w:shd w:val="clear" w:color="000000" w:fill="FFFFFF"/>
            <w:vAlign w:val="center"/>
            <w:hideMark/>
          </w:tcPr>
          <w:p w14:paraId="3581F176"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&gt;0.999</w:t>
            </w:r>
          </w:p>
        </w:tc>
      </w:tr>
      <w:tr w:rsidR="008B4366" w:rsidRPr="00D84F00" w14:paraId="4717D94F" w14:textId="77777777" w:rsidTr="00AE40AC">
        <w:trPr>
          <w:trHeight w:val="567"/>
        </w:trPr>
        <w:tc>
          <w:tcPr>
            <w:tcW w:w="3240" w:type="dxa"/>
            <w:tcBorders>
              <w:top w:val="nil"/>
              <w:left w:val="nil"/>
              <w:bottom w:val="single" w:sz="8" w:space="0" w:color="FFFFFF"/>
              <w:right w:val="single" w:sz="8" w:space="0" w:color="FFFFFF"/>
            </w:tcBorders>
            <w:shd w:val="clear" w:color="auto" w:fill="auto"/>
            <w:vAlign w:val="center"/>
            <w:hideMark/>
          </w:tcPr>
          <w:p w14:paraId="3F7F259F" w14:textId="77777777" w:rsidR="008B4366" w:rsidRPr="00D84F00" w:rsidRDefault="008B4366" w:rsidP="00AE40AC">
            <w:pPr>
              <w:rPr>
                <w:rFonts w:ascii="Arial" w:eastAsia="Times New Roman" w:hAnsi="Arial" w:cs="Arial"/>
                <w:color w:val="000000"/>
              </w:rPr>
            </w:pPr>
            <w:r w:rsidRPr="00D84F00">
              <w:rPr>
                <w:rFonts w:ascii="Arial" w:eastAsia="Times New Roman" w:hAnsi="Arial" w:cs="Arial"/>
                <w:color w:val="000000"/>
              </w:rPr>
              <w:t>Blood flow on ECMO* (L/min)</w:t>
            </w:r>
          </w:p>
        </w:tc>
        <w:tc>
          <w:tcPr>
            <w:tcW w:w="2070" w:type="dxa"/>
            <w:tcBorders>
              <w:top w:val="nil"/>
              <w:left w:val="nil"/>
              <w:bottom w:val="single" w:sz="8" w:space="0" w:color="FFFFFF"/>
              <w:right w:val="single" w:sz="12" w:space="0" w:color="000000"/>
            </w:tcBorders>
            <w:shd w:val="clear" w:color="000000" w:fill="FFFFFF"/>
            <w:vAlign w:val="center"/>
            <w:hideMark/>
          </w:tcPr>
          <w:p w14:paraId="0BD32C2B"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1.254 (0.22)</w:t>
            </w:r>
          </w:p>
        </w:tc>
        <w:tc>
          <w:tcPr>
            <w:tcW w:w="1890" w:type="dxa"/>
            <w:tcBorders>
              <w:top w:val="nil"/>
              <w:left w:val="nil"/>
              <w:bottom w:val="single" w:sz="8" w:space="0" w:color="FFFFFF"/>
              <w:right w:val="single" w:sz="8" w:space="0" w:color="FFFFFF"/>
            </w:tcBorders>
            <w:shd w:val="clear" w:color="000000" w:fill="FFFFFF"/>
            <w:vAlign w:val="center"/>
            <w:hideMark/>
          </w:tcPr>
          <w:p w14:paraId="3F521436"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1.57 (0.22)</w:t>
            </w:r>
          </w:p>
        </w:tc>
        <w:tc>
          <w:tcPr>
            <w:tcW w:w="1060" w:type="dxa"/>
            <w:tcBorders>
              <w:top w:val="nil"/>
              <w:left w:val="nil"/>
              <w:bottom w:val="single" w:sz="8" w:space="0" w:color="FFFFFF"/>
              <w:right w:val="single" w:sz="8" w:space="0" w:color="FFFFFF"/>
            </w:tcBorders>
            <w:shd w:val="clear" w:color="000000" w:fill="FFFFFF"/>
            <w:vAlign w:val="center"/>
            <w:hideMark/>
          </w:tcPr>
          <w:p w14:paraId="4ADE23FF"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0.095</w:t>
            </w:r>
          </w:p>
        </w:tc>
      </w:tr>
      <w:tr w:rsidR="008B4366" w:rsidRPr="00D84F00" w14:paraId="7124B684" w14:textId="77777777" w:rsidTr="00AE40AC">
        <w:trPr>
          <w:trHeight w:val="567"/>
        </w:trPr>
        <w:tc>
          <w:tcPr>
            <w:tcW w:w="3240" w:type="dxa"/>
            <w:tcBorders>
              <w:top w:val="nil"/>
              <w:left w:val="nil"/>
              <w:bottom w:val="single" w:sz="8" w:space="0" w:color="FFFFFF"/>
              <w:right w:val="single" w:sz="8" w:space="0" w:color="FFFFFF"/>
            </w:tcBorders>
            <w:shd w:val="clear" w:color="auto" w:fill="auto"/>
            <w:vAlign w:val="center"/>
            <w:hideMark/>
          </w:tcPr>
          <w:p w14:paraId="78F88636" w14:textId="77777777" w:rsidR="008B4366" w:rsidRPr="00D84F00" w:rsidRDefault="008B4366" w:rsidP="00AE40AC">
            <w:pPr>
              <w:rPr>
                <w:rFonts w:ascii="Arial" w:eastAsia="Times New Roman" w:hAnsi="Arial" w:cs="Arial"/>
                <w:color w:val="000000"/>
              </w:rPr>
            </w:pPr>
            <w:proofErr w:type="gramStart"/>
            <w:r w:rsidRPr="00D84F00">
              <w:rPr>
                <w:rFonts w:ascii="Arial" w:eastAsia="Times New Roman" w:hAnsi="Arial" w:cs="Arial"/>
                <w:color w:val="000000"/>
              </w:rPr>
              <w:t>partial</w:t>
            </w:r>
            <w:proofErr w:type="gramEnd"/>
            <w:r w:rsidRPr="00D84F00">
              <w:rPr>
                <w:rFonts w:ascii="Arial" w:eastAsia="Times New Roman" w:hAnsi="Arial" w:cs="Arial"/>
                <w:color w:val="000000"/>
              </w:rPr>
              <w:t xml:space="preserve"> pressure of CO</w:t>
            </w:r>
            <w:r w:rsidRPr="00D84F00">
              <w:rPr>
                <w:rFonts w:ascii="Arial" w:eastAsia="Times New Roman" w:hAnsi="Arial" w:cs="Arial"/>
                <w:color w:val="000000"/>
                <w:vertAlign w:val="subscript"/>
              </w:rPr>
              <w:t>2</w:t>
            </w:r>
            <w:r w:rsidRPr="00D84F00">
              <w:rPr>
                <w:rFonts w:ascii="Arial" w:eastAsia="Times New Roman" w:hAnsi="Arial" w:cs="Arial"/>
                <w:color w:val="000000"/>
              </w:rPr>
              <w:t xml:space="preserve"> (pCO</w:t>
            </w:r>
            <w:r w:rsidRPr="00D84F00">
              <w:rPr>
                <w:rFonts w:ascii="Arial" w:eastAsia="Times New Roman" w:hAnsi="Arial" w:cs="Arial"/>
                <w:color w:val="000000"/>
                <w:vertAlign w:val="subscript"/>
              </w:rPr>
              <w:t xml:space="preserve">2 </w:t>
            </w:r>
            <w:r w:rsidRPr="00D84F00">
              <w:rPr>
                <w:rFonts w:ascii="Arial" w:eastAsia="Times New Roman" w:hAnsi="Arial" w:cs="Arial"/>
                <w:color w:val="000000"/>
              </w:rPr>
              <w:t>mmHg)</w:t>
            </w:r>
          </w:p>
        </w:tc>
        <w:tc>
          <w:tcPr>
            <w:tcW w:w="2070" w:type="dxa"/>
            <w:tcBorders>
              <w:top w:val="nil"/>
              <w:left w:val="nil"/>
              <w:bottom w:val="single" w:sz="8" w:space="0" w:color="FFFFFF"/>
              <w:right w:val="single" w:sz="12" w:space="0" w:color="000000"/>
            </w:tcBorders>
            <w:shd w:val="clear" w:color="000000" w:fill="FFFFFF"/>
            <w:vAlign w:val="center"/>
            <w:hideMark/>
          </w:tcPr>
          <w:p w14:paraId="7141AFA3"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43 (1)</w:t>
            </w:r>
          </w:p>
        </w:tc>
        <w:tc>
          <w:tcPr>
            <w:tcW w:w="1890" w:type="dxa"/>
            <w:tcBorders>
              <w:top w:val="nil"/>
              <w:left w:val="nil"/>
              <w:bottom w:val="single" w:sz="8" w:space="0" w:color="FFFFFF"/>
              <w:right w:val="nil"/>
            </w:tcBorders>
            <w:shd w:val="clear" w:color="000000" w:fill="FFFFFF"/>
            <w:vAlign w:val="center"/>
            <w:hideMark/>
          </w:tcPr>
          <w:p w14:paraId="7FFC0150"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44 (1)</w:t>
            </w:r>
          </w:p>
        </w:tc>
        <w:tc>
          <w:tcPr>
            <w:tcW w:w="1060" w:type="dxa"/>
            <w:tcBorders>
              <w:top w:val="nil"/>
              <w:left w:val="single" w:sz="8" w:space="0" w:color="FFFFFF"/>
              <w:bottom w:val="single" w:sz="8" w:space="0" w:color="FFFFFF"/>
              <w:right w:val="single" w:sz="8" w:space="0" w:color="FFFFFF"/>
            </w:tcBorders>
            <w:shd w:val="clear" w:color="000000" w:fill="FFFFFF"/>
            <w:vAlign w:val="center"/>
            <w:hideMark/>
          </w:tcPr>
          <w:p w14:paraId="01CB5912"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0.34</w:t>
            </w:r>
          </w:p>
        </w:tc>
      </w:tr>
      <w:tr w:rsidR="008B4366" w:rsidRPr="00D84F00" w14:paraId="3644D7C6" w14:textId="77777777" w:rsidTr="00AE40AC">
        <w:trPr>
          <w:trHeight w:val="567"/>
        </w:trPr>
        <w:tc>
          <w:tcPr>
            <w:tcW w:w="3240" w:type="dxa"/>
            <w:tcBorders>
              <w:top w:val="nil"/>
              <w:left w:val="nil"/>
              <w:bottom w:val="single" w:sz="8" w:space="0" w:color="FFFFFF"/>
              <w:right w:val="single" w:sz="8" w:space="0" w:color="FFFFFF"/>
            </w:tcBorders>
            <w:shd w:val="clear" w:color="auto" w:fill="auto"/>
            <w:vAlign w:val="center"/>
            <w:hideMark/>
          </w:tcPr>
          <w:p w14:paraId="287AE1E3" w14:textId="77777777" w:rsidR="008B4366" w:rsidRPr="00D84F00" w:rsidRDefault="008B4366" w:rsidP="00AE40AC">
            <w:pPr>
              <w:rPr>
                <w:rFonts w:ascii="Arial" w:eastAsia="Times New Roman" w:hAnsi="Arial" w:cs="Arial"/>
                <w:color w:val="000000"/>
              </w:rPr>
            </w:pPr>
            <w:r w:rsidRPr="00D84F00">
              <w:rPr>
                <w:rFonts w:ascii="Arial" w:eastAsia="Times New Roman" w:hAnsi="Arial" w:cs="Arial"/>
                <w:color w:val="000000"/>
              </w:rPr>
              <w:t>Expired tidal volume (mL)</w:t>
            </w:r>
          </w:p>
        </w:tc>
        <w:tc>
          <w:tcPr>
            <w:tcW w:w="2070" w:type="dxa"/>
            <w:tcBorders>
              <w:top w:val="nil"/>
              <w:left w:val="nil"/>
              <w:bottom w:val="single" w:sz="8" w:space="0" w:color="FFFFFF"/>
              <w:right w:val="single" w:sz="12" w:space="0" w:color="000000"/>
            </w:tcBorders>
            <w:shd w:val="clear" w:color="000000" w:fill="FFFFFF"/>
            <w:vAlign w:val="center"/>
            <w:hideMark/>
          </w:tcPr>
          <w:p w14:paraId="0D389CA8"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374 (6)</w:t>
            </w:r>
          </w:p>
        </w:tc>
        <w:tc>
          <w:tcPr>
            <w:tcW w:w="1890" w:type="dxa"/>
            <w:tcBorders>
              <w:top w:val="nil"/>
              <w:left w:val="nil"/>
              <w:bottom w:val="single" w:sz="8" w:space="0" w:color="FFFFFF"/>
              <w:right w:val="nil"/>
            </w:tcBorders>
            <w:shd w:val="clear" w:color="000000" w:fill="FFFFFF"/>
            <w:vAlign w:val="center"/>
            <w:hideMark/>
          </w:tcPr>
          <w:p w14:paraId="4FDE8EAE"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354 (33)</w:t>
            </w:r>
          </w:p>
        </w:tc>
        <w:tc>
          <w:tcPr>
            <w:tcW w:w="1060" w:type="dxa"/>
            <w:tcBorders>
              <w:top w:val="nil"/>
              <w:left w:val="single" w:sz="8" w:space="0" w:color="FFFFFF"/>
              <w:bottom w:val="single" w:sz="8" w:space="0" w:color="FFFFFF"/>
              <w:right w:val="single" w:sz="8" w:space="0" w:color="FFFFFF"/>
            </w:tcBorders>
            <w:shd w:val="clear" w:color="000000" w:fill="FFFFFF"/>
            <w:vAlign w:val="center"/>
            <w:hideMark/>
          </w:tcPr>
          <w:p w14:paraId="28148526"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0.246</w:t>
            </w:r>
          </w:p>
        </w:tc>
      </w:tr>
      <w:tr w:rsidR="008B4366" w:rsidRPr="00D84F00" w14:paraId="285468FE" w14:textId="77777777" w:rsidTr="00AE40AC">
        <w:trPr>
          <w:trHeight w:val="567"/>
        </w:trPr>
        <w:tc>
          <w:tcPr>
            <w:tcW w:w="3240" w:type="dxa"/>
            <w:tcBorders>
              <w:top w:val="nil"/>
              <w:left w:val="nil"/>
              <w:bottom w:val="single" w:sz="8" w:space="0" w:color="FFFFFF"/>
              <w:right w:val="single" w:sz="8" w:space="0" w:color="FFFFFF"/>
            </w:tcBorders>
            <w:shd w:val="clear" w:color="FFFFFF" w:fill="FFFFFF"/>
            <w:vAlign w:val="center"/>
            <w:hideMark/>
          </w:tcPr>
          <w:p w14:paraId="0A16A006" w14:textId="77777777" w:rsidR="008B4366" w:rsidRPr="00D84F00" w:rsidRDefault="008B4366" w:rsidP="00AE40AC">
            <w:pPr>
              <w:rPr>
                <w:rFonts w:ascii="Arial" w:eastAsia="Times New Roman" w:hAnsi="Arial" w:cs="Arial"/>
                <w:color w:val="000000"/>
              </w:rPr>
            </w:pPr>
            <w:r w:rsidRPr="00D84F00">
              <w:rPr>
                <w:rFonts w:ascii="Arial" w:eastAsia="Times New Roman" w:hAnsi="Arial" w:cs="Arial"/>
                <w:color w:val="000000"/>
              </w:rPr>
              <w:t>Respiratory rate (breaths per min)</w:t>
            </w:r>
          </w:p>
        </w:tc>
        <w:tc>
          <w:tcPr>
            <w:tcW w:w="2070" w:type="dxa"/>
            <w:tcBorders>
              <w:top w:val="nil"/>
              <w:left w:val="nil"/>
              <w:bottom w:val="single" w:sz="8" w:space="0" w:color="FFFFFF"/>
              <w:right w:val="single" w:sz="12" w:space="0" w:color="000000"/>
            </w:tcBorders>
            <w:shd w:val="clear" w:color="000000" w:fill="FFFFFF"/>
            <w:vAlign w:val="center"/>
            <w:hideMark/>
          </w:tcPr>
          <w:p w14:paraId="2105B889"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15 (1)</w:t>
            </w:r>
          </w:p>
        </w:tc>
        <w:tc>
          <w:tcPr>
            <w:tcW w:w="1890" w:type="dxa"/>
            <w:tcBorders>
              <w:top w:val="nil"/>
              <w:left w:val="nil"/>
              <w:bottom w:val="single" w:sz="8" w:space="0" w:color="FFFFFF"/>
              <w:right w:val="nil"/>
            </w:tcBorders>
            <w:shd w:val="clear" w:color="000000" w:fill="FFFFFF"/>
            <w:vAlign w:val="center"/>
            <w:hideMark/>
          </w:tcPr>
          <w:p w14:paraId="738515A4"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17 (2)</w:t>
            </w:r>
          </w:p>
        </w:tc>
        <w:tc>
          <w:tcPr>
            <w:tcW w:w="1060" w:type="dxa"/>
            <w:tcBorders>
              <w:top w:val="nil"/>
              <w:left w:val="single" w:sz="8" w:space="0" w:color="FFFFFF"/>
              <w:bottom w:val="single" w:sz="8" w:space="0" w:color="FFFFFF"/>
              <w:right w:val="single" w:sz="8" w:space="0" w:color="FFFFFF"/>
            </w:tcBorders>
            <w:shd w:val="clear" w:color="000000" w:fill="FFFFFF"/>
            <w:vAlign w:val="center"/>
            <w:hideMark/>
          </w:tcPr>
          <w:p w14:paraId="539C256B"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0.08</w:t>
            </w:r>
          </w:p>
        </w:tc>
      </w:tr>
      <w:tr w:rsidR="008B4366" w:rsidRPr="00D84F00" w14:paraId="0E0D55EE" w14:textId="77777777" w:rsidTr="00AE40AC">
        <w:trPr>
          <w:trHeight w:val="567"/>
        </w:trPr>
        <w:tc>
          <w:tcPr>
            <w:tcW w:w="3240" w:type="dxa"/>
            <w:tcBorders>
              <w:top w:val="nil"/>
              <w:left w:val="nil"/>
              <w:bottom w:val="single" w:sz="8" w:space="0" w:color="FFFFFF"/>
              <w:right w:val="single" w:sz="8" w:space="0" w:color="FFFFFF"/>
            </w:tcBorders>
            <w:shd w:val="clear" w:color="FFFFFF" w:fill="FFFFFF"/>
            <w:vAlign w:val="center"/>
            <w:hideMark/>
          </w:tcPr>
          <w:p w14:paraId="494C9A0F" w14:textId="77777777" w:rsidR="008B4366" w:rsidRPr="00D84F00" w:rsidRDefault="008B4366" w:rsidP="00AE40AC">
            <w:pPr>
              <w:rPr>
                <w:rFonts w:ascii="Arial" w:eastAsia="Times New Roman" w:hAnsi="Arial" w:cs="Arial"/>
                <w:color w:val="000000"/>
              </w:rPr>
            </w:pPr>
            <w:proofErr w:type="gramStart"/>
            <w:r w:rsidRPr="00D84F00">
              <w:rPr>
                <w:rFonts w:ascii="Arial" w:eastAsia="Times New Roman" w:hAnsi="Arial" w:cs="Arial"/>
                <w:color w:val="000000"/>
              </w:rPr>
              <w:t>pH</w:t>
            </w:r>
            <w:proofErr w:type="gramEnd"/>
          </w:p>
        </w:tc>
        <w:tc>
          <w:tcPr>
            <w:tcW w:w="2070" w:type="dxa"/>
            <w:tcBorders>
              <w:top w:val="nil"/>
              <w:left w:val="nil"/>
              <w:bottom w:val="nil"/>
              <w:right w:val="single" w:sz="12" w:space="0" w:color="000000"/>
            </w:tcBorders>
            <w:shd w:val="clear" w:color="000000" w:fill="FFFFFF"/>
            <w:vAlign w:val="center"/>
            <w:hideMark/>
          </w:tcPr>
          <w:p w14:paraId="1ABF1DB9"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7.43 (0.03)</w:t>
            </w:r>
          </w:p>
        </w:tc>
        <w:tc>
          <w:tcPr>
            <w:tcW w:w="1890" w:type="dxa"/>
            <w:tcBorders>
              <w:top w:val="nil"/>
              <w:left w:val="nil"/>
              <w:bottom w:val="nil"/>
              <w:right w:val="nil"/>
            </w:tcBorders>
            <w:shd w:val="clear" w:color="000000" w:fill="FFFFFF"/>
            <w:vAlign w:val="center"/>
            <w:hideMark/>
          </w:tcPr>
          <w:p w14:paraId="30E407BE"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7.41 (0.01)</w:t>
            </w:r>
          </w:p>
        </w:tc>
        <w:tc>
          <w:tcPr>
            <w:tcW w:w="1060" w:type="dxa"/>
            <w:tcBorders>
              <w:top w:val="nil"/>
              <w:left w:val="single" w:sz="8" w:space="0" w:color="FFFFFF"/>
              <w:bottom w:val="single" w:sz="8" w:space="0" w:color="FFFFFF"/>
              <w:right w:val="single" w:sz="8" w:space="0" w:color="FFFFFF"/>
            </w:tcBorders>
            <w:shd w:val="clear" w:color="000000" w:fill="FFFFFF"/>
            <w:vAlign w:val="center"/>
            <w:hideMark/>
          </w:tcPr>
          <w:p w14:paraId="3709CD14"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0.54</w:t>
            </w:r>
          </w:p>
        </w:tc>
      </w:tr>
      <w:tr w:rsidR="008B4366" w:rsidRPr="00D84F00" w14:paraId="3DB9001A" w14:textId="77777777" w:rsidTr="00AE40AC">
        <w:trPr>
          <w:trHeight w:val="567"/>
        </w:trPr>
        <w:tc>
          <w:tcPr>
            <w:tcW w:w="3240" w:type="dxa"/>
            <w:tcBorders>
              <w:top w:val="nil"/>
              <w:left w:val="nil"/>
              <w:bottom w:val="single" w:sz="8" w:space="0" w:color="FFFFFF"/>
              <w:right w:val="single" w:sz="8" w:space="0" w:color="FFFFFF"/>
            </w:tcBorders>
            <w:shd w:val="clear" w:color="auto" w:fill="auto"/>
            <w:vAlign w:val="center"/>
            <w:hideMark/>
          </w:tcPr>
          <w:p w14:paraId="30A640E3" w14:textId="77777777" w:rsidR="008B4366" w:rsidRPr="00D84F00" w:rsidRDefault="008B4366" w:rsidP="00AE40AC">
            <w:pPr>
              <w:rPr>
                <w:rFonts w:ascii="Arial" w:eastAsia="Times New Roman" w:hAnsi="Arial" w:cs="Arial"/>
                <w:color w:val="000000"/>
              </w:rPr>
            </w:pPr>
            <w:r w:rsidRPr="00D84F00">
              <w:rPr>
                <w:rFonts w:ascii="Arial" w:eastAsia="Times New Roman" w:hAnsi="Arial" w:cs="Arial"/>
                <w:color w:val="000000"/>
              </w:rPr>
              <w:t>Time on ventilator prior to injury (min)</w:t>
            </w:r>
          </w:p>
        </w:tc>
        <w:tc>
          <w:tcPr>
            <w:tcW w:w="2070" w:type="dxa"/>
            <w:tcBorders>
              <w:top w:val="single" w:sz="8" w:space="0" w:color="FFFFFF"/>
              <w:left w:val="nil"/>
              <w:bottom w:val="nil"/>
              <w:right w:val="single" w:sz="12" w:space="0" w:color="000000"/>
            </w:tcBorders>
            <w:shd w:val="clear" w:color="000000" w:fill="FFFFFF"/>
            <w:vAlign w:val="center"/>
            <w:hideMark/>
          </w:tcPr>
          <w:p w14:paraId="75140B7E"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219.4 (41.3)</w:t>
            </w:r>
          </w:p>
        </w:tc>
        <w:tc>
          <w:tcPr>
            <w:tcW w:w="1890" w:type="dxa"/>
            <w:tcBorders>
              <w:top w:val="single" w:sz="8" w:space="0" w:color="FFFFFF"/>
              <w:left w:val="nil"/>
              <w:bottom w:val="nil"/>
              <w:right w:val="single" w:sz="8" w:space="0" w:color="FFFFFF"/>
            </w:tcBorders>
            <w:shd w:val="clear" w:color="000000" w:fill="FFFFFF"/>
            <w:vAlign w:val="center"/>
            <w:hideMark/>
          </w:tcPr>
          <w:p w14:paraId="1D09E879"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203.6 (24.3)</w:t>
            </w:r>
          </w:p>
        </w:tc>
        <w:tc>
          <w:tcPr>
            <w:tcW w:w="1060" w:type="dxa"/>
            <w:tcBorders>
              <w:top w:val="nil"/>
              <w:left w:val="nil"/>
              <w:bottom w:val="single" w:sz="8" w:space="0" w:color="FFFFFF"/>
              <w:right w:val="single" w:sz="8" w:space="0" w:color="FFFFFF"/>
            </w:tcBorders>
            <w:shd w:val="clear" w:color="000000" w:fill="FFFFFF"/>
            <w:vAlign w:val="center"/>
            <w:hideMark/>
          </w:tcPr>
          <w:p w14:paraId="20281BA3"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0.937</w:t>
            </w:r>
          </w:p>
        </w:tc>
      </w:tr>
      <w:tr w:rsidR="008B4366" w:rsidRPr="00D84F00" w14:paraId="1C63F440" w14:textId="77777777" w:rsidTr="00AE40AC">
        <w:trPr>
          <w:trHeight w:val="567"/>
        </w:trPr>
        <w:tc>
          <w:tcPr>
            <w:tcW w:w="3240" w:type="dxa"/>
            <w:tcBorders>
              <w:top w:val="nil"/>
              <w:left w:val="nil"/>
              <w:bottom w:val="single" w:sz="8" w:space="0" w:color="FFFFFF"/>
              <w:right w:val="nil"/>
            </w:tcBorders>
            <w:shd w:val="clear" w:color="auto" w:fill="auto"/>
            <w:vAlign w:val="center"/>
            <w:hideMark/>
          </w:tcPr>
          <w:p w14:paraId="7D45AEA6" w14:textId="77777777" w:rsidR="008B4366" w:rsidRPr="00D84F00" w:rsidRDefault="008B4366" w:rsidP="00AE40AC">
            <w:pPr>
              <w:rPr>
                <w:rFonts w:ascii="Arial" w:eastAsia="Times New Roman" w:hAnsi="Arial" w:cs="Arial"/>
                <w:color w:val="000000"/>
              </w:rPr>
            </w:pPr>
            <w:r w:rsidRPr="00D84F00">
              <w:rPr>
                <w:rFonts w:ascii="Arial" w:eastAsia="Times New Roman" w:hAnsi="Arial" w:cs="Arial"/>
                <w:color w:val="000000"/>
              </w:rPr>
              <w:t>PaO</w:t>
            </w:r>
            <w:r w:rsidRPr="00D84F00">
              <w:rPr>
                <w:rFonts w:ascii="Arial" w:eastAsia="Times New Roman" w:hAnsi="Arial" w:cs="Arial"/>
                <w:color w:val="000000"/>
                <w:vertAlign w:val="subscript"/>
              </w:rPr>
              <w:t>2</w:t>
            </w:r>
            <w:r w:rsidRPr="00D84F00">
              <w:rPr>
                <w:rFonts w:ascii="Arial" w:eastAsia="Times New Roman" w:hAnsi="Arial" w:cs="Arial"/>
                <w:color w:val="000000"/>
              </w:rPr>
              <w:t>/FiO</w:t>
            </w:r>
            <w:r w:rsidRPr="00D84F00">
              <w:rPr>
                <w:rFonts w:ascii="Arial" w:eastAsia="Times New Roman" w:hAnsi="Arial" w:cs="Arial"/>
                <w:color w:val="000000"/>
                <w:vertAlign w:val="subscript"/>
              </w:rPr>
              <w:t>2</w:t>
            </w:r>
            <w:r w:rsidRPr="00D84F00">
              <w:rPr>
                <w:rFonts w:ascii="Arial" w:eastAsia="Times New Roman" w:hAnsi="Arial" w:cs="Arial"/>
                <w:color w:val="000000"/>
              </w:rPr>
              <w:t xml:space="preserve"> ratio (mmHg)</w:t>
            </w:r>
          </w:p>
        </w:tc>
        <w:tc>
          <w:tcPr>
            <w:tcW w:w="2070" w:type="dxa"/>
            <w:tcBorders>
              <w:top w:val="nil"/>
              <w:left w:val="nil"/>
              <w:bottom w:val="nil"/>
              <w:right w:val="single" w:sz="12" w:space="0" w:color="000000"/>
            </w:tcBorders>
            <w:shd w:val="clear" w:color="000000" w:fill="FFFFFF"/>
            <w:vAlign w:val="center"/>
            <w:hideMark/>
          </w:tcPr>
          <w:p w14:paraId="754A01E6"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485 (15)</w:t>
            </w:r>
          </w:p>
        </w:tc>
        <w:tc>
          <w:tcPr>
            <w:tcW w:w="1890" w:type="dxa"/>
            <w:tcBorders>
              <w:top w:val="nil"/>
              <w:left w:val="nil"/>
              <w:bottom w:val="nil"/>
              <w:right w:val="nil"/>
            </w:tcBorders>
            <w:shd w:val="clear" w:color="000000" w:fill="FFFFFF"/>
            <w:vAlign w:val="center"/>
            <w:hideMark/>
          </w:tcPr>
          <w:p w14:paraId="3337CE77"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490 (25)</w:t>
            </w:r>
          </w:p>
        </w:tc>
        <w:tc>
          <w:tcPr>
            <w:tcW w:w="1060" w:type="dxa"/>
            <w:tcBorders>
              <w:top w:val="nil"/>
              <w:left w:val="nil"/>
              <w:bottom w:val="single" w:sz="8" w:space="0" w:color="FFFFFF"/>
              <w:right w:val="single" w:sz="8" w:space="0" w:color="FFFFFF"/>
            </w:tcBorders>
            <w:shd w:val="clear" w:color="000000" w:fill="FFFFFF"/>
            <w:vAlign w:val="center"/>
            <w:hideMark/>
          </w:tcPr>
          <w:p w14:paraId="7EF87315"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&gt;0.999</w:t>
            </w:r>
          </w:p>
        </w:tc>
      </w:tr>
      <w:tr w:rsidR="008B4366" w:rsidRPr="00D84F00" w14:paraId="225E30AC" w14:textId="77777777" w:rsidTr="00AE40AC">
        <w:trPr>
          <w:trHeight w:val="567"/>
        </w:trPr>
        <w:tc>
          <w:tcPr>
            <w:tcW w:w="3240" w:type="dxa"/>
            <w:tcBorders>
              <w:top w:val="nil"/>
              <w:left w:val="nil"/>
              <w:bottom w:val="single" w:sz="8" w:space="0" w:color="FFFFFF"/>
              <w:right w:val="single" w:sz="8" w:space="0" w:color="FFFFFF"/>
            </w:tcBorders>
            <w:shd w:val="clear" w:color="auto" w:fill="auto"/>
            <w:vAlign w:val="center"/>
            <w:hideMark/>
          </w:tcPr>
          <w:p w14:paraId="419E0C66" w14:textId="77777777" w:rsidR="008B4366" w:rsidRPr="00D84F00" w:rsidRDefault="008B4366" w:rsidP="00AE40AC">
            <w:pPr>
              <w:rPr>
                <w:rFonts w:ascii="Arial" w:eastAsia="Times New Roman" w:hAnsi="Arial" w:cs="Arial"/>
                <w:color w:val="000000"/>
              </w:rPr>
            </w:pPr>
            <w:proofErr w:type="spellStart"/>
            <w:r w:rsidRPr="00D84F00">
              <w:rPr>
                <w:rFonts w:ascii="Arial" w:eastAsia="Times New Roman" w:hAnsi="Arial" w:cs="Arial"/>
                <w:color w:val="000000"/>
              </w:rPr>
              <w:t>Preinjury</w:t>
            </w:r>
            <w:proofErr w:type="spellEnd"/>
            <w:r w:rsidRPr="00D84F00">
              <w:rPr>
                <w:rFonts w:ascii="Arial" w:eastAsia="Times New Roman" w:hAnsi="Arial" w:cs="Arial"/>
                <w:color w:val="000000"/>
              </w:rPr>
              <w:t xml:space="preserve"> PCWP</w:t>
            </w:r>
            <w:r w:rsidRPr="00D84F00">
              <w:rPr>
                <w:rFonts w:ascii="Geneva" w:eastAsia="Times New Roman" w:hAnsi="Geneva" w:cs="Geneva"/>
                <w:color w:val="000000"/>
              </w:rPr>
              <w:t>ꝉ</w:t>
            </w:r>
            <w:r w:rsidRPr="00D84F00">
              <w:rPr>
                <w:rFonts w:ascii="Arial" w:eastAsia="Times New Roman" w:hAnsi="Arial" w:cs="Arial"/>
                <w:color w:val="000000"/>
              </w:rPr>
              <w:t xml:space="preserve"> (mmHg)</w:t>
            </w:r>
          </w:p>
        </w:tc>
        <w:tc>
          <w:tcPr>
            <w:tcW w:w="2070" w:type="dxa"/>
            <w:tcBorders>
              <w:top w:val="nil"/>
              <w:left w:val="nil"/>
              <w:bottom w:val="single" w:sz="8" w:space="0" w:color="FFFFFF"/>
              <w:right w:val="single" w:sz="12" w:space="0" w:color="000000"/>
            </w:tcBorders>
            <w:shd w:val="clear" w:color="000000" w:fill="FFFFFF"/>
            <w:vAlign w:val="center"/>
            <w:hideMark/>
          </w:tcPr>
          <w:p w14:paraId="674E7407"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7.2 (4.32)</w:t>
            </w:r>
          </w:p>
        </w:tc>
        <w:tc>
          <w:tcPr>
            <w:tcW w:w="1890" w:type="dxa"/>
            <w:tcBorders>
              <w:top w:val="nil"/>
              <w:left w:val="nil"/>
              <w:bottom w:val="single" w:sz="8" w:space="0" w:color="FFFFFF"/>
              <w:right w:val="single" w:sz="8" w:space="0" w:color="FFFFFF"/>
            </w:tcBorders>
            <w:shd w:val="clear" w:color="000000" w:fill="FFFFFF"/>
            <w:vAlign w:val="center"/>
            <w:hideMark/>
          </w:tcPr>
          <w:p w14:paraId="47C61B9E"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7.8 (4.81)</w:t>
            </w:r>
          </w:p>
        </w:tc>
        <w:tc>
          <w:tcPr>
            <w:tcW w:w="1060" w:type="dxa"/>
            <w:tcBorders>
              <w:top w:val="nil"/>
              <w:left w:val="nil"/>
              <w:bottom w:val="single" w:sz="8" w:space="0" w:color="FFFFFF"/>
              <w:right w:val="single" w:sz="8" w:space="0" w:color="FFFFFF"/>
            </w:tcBorders>
            <w:shd w:val="clear" w:color="000000" w:fill="FFFFFF"/>
            <w:vAlign w:val="center"/>
            <w:hideMark/>
          </w:tcPr>
          <w:p w14:paraId="161E4588"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0.999</w:t>
            </w:r>
          </w:p>
        </w:tc>
      </w:tr>
      <w:tr w:rsidR="008B4366" w:rsidRPr="00D84F00" w14:paraId="2D78A1C3" w14:textId="77777777" w:rsidTr="00AE40AC">
        <w:trPr>
          <w:trHeight w:val="567"/>
        </w:trPr>
        <w:tc>
          <w:tcPr>
            <w:tcW w:w="3240" w:type="dxa"/>
            <w:tcBorders>
              <w:top w:val="nil"/>
              <w:left w:val="nil"/>
              <w:bottom w:val="nil"/>
              <w:right w:val="single" w:sz="8" w:space="0" w:color="FFFFFF"/>
            </w:tcBorders>
            <w:shd w:val="clear" w:color="auto" w:fill="auto"/>
            <w:vAlign w:val="center"/>
            <w:hideMark/>
          </w:tcPr>
          <w:p w14:paraId="127E0E27" w14:textId="77777777" w:rsidR="008B4366" w:rsidRPr="00D84F00" w:rsidRDefault="008B4366" w:rsidP="00AE40AC">
            <w:pPr>
              <w:rPr>
                <w:rFonts w:ascii="Arial" w:eastAsia="Times New Roman" w:hAnsi="Arial" w:cs="Arial"/>
                <w:color w:val="000000"/>
              </w:rPr>
            </w:pPr>
            <w:r w:rsidRPr="00D84F00">
              <w:rPr>
                <w:rFonts w:ascii="Arial" w:eastAsia="Times New Roman" w:hAnsi="Arial" w:cs="Arial"/>
                <w:color w:val="000000"/>
              </w:rPr>
              <w:t>Total intravenous fluid administration (mL)</w:t>
            </w:r>
          </w:p>
        </w:tc>
        <w:tc>
          <w:tcPr>
            <w:tcW w:w="2070" w:type="dxa"/>
            <w:tcBorders>
              <w:top w:val="nil"/>
              <w:left w:val="nil"/>
              <w:bottom w:val="single" w:sz="8" w:space="0" w:color="FFFFFF"/>
              <w:right w:val="single" w:sz="12" w:space="0" w:color="000000"/>
            </w:tcBorders>
            <w:shd w:val="clear" w:color="000000" w:fill="FFFFFF"/>
            <w:vAlign w:val="center"/>
            <w:hideMark/>
          </w:tcPr>
          <w:p w14:paraId="08F1B594"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2554.8 (929)</w:t>
            </w:r>
          </w:p>
        </w:tc>
        <w:tc>
          <w:tcPr>
            <w:tcW w:w="1890" w:type="dxa"/>
            <w:tcBorders>
              <w:top w:val="nil"/>
              <w:left w:val="nil"/>
              <w:bottom w:val="single" w:sz="8" w:space="0" w:color="FFFFFF"/>
              <w:right w:val="single" w:sz="8" w:space="0" w:color="FFFFFF"/>
            </w:tcBorders>
            <w:shd w:val="clear" w:color="000000" w:fill="FFFFFF"/>
            <w:vAlign w:val="center"/>
            <w:hideMark/>
          </w:tcPr>
          <w:p w14:paraId="3BCFA637"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2471.2 (333)</w:t>
            </w:r>
          </w:p>
        </w:tc>
        <w:tc>
          <w:tcPr>
            <w:tcW w:w="1060" w:type="dxa"/>
            <w:tcBorders>
              <w:top w:val="nil"/>
              <w:left w:val="nil"/>
              <w:bottom w:val="single" w:sz="8" w:space="0" w:color="FFFFFF"/>
              <w:right w:val="single" w:sz="8" w:space="0" w:color="FFFFFF"/>
            </w:tcBorders>
            <w:shd w:val="clear" w:color="000000" w:fill="FFFFFF"/>
            <w:vAlign w:val="center"/>
            <w:hideMark/>
          </w:tcPr>
          <w:p w14:paraId="28284F58"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0.999</w:t>
            </w:r>
          </w:p>
        </w:tc>
      </w:tr>
      <w:tr w:rsidR="008B4366" w:rsidRPr="00D84F00" w14:paraId="6C486B6A" w14:textId="77777777" w:rsidTr="00AE40AC">
        <w:trPr>
          <w:trHeight w:val="567"/>
        </w:trPr>
        <w:tc>
          <w:tcPr>
            <w:tcW w:w="3240" w:type="dxa"/>
            <w:tcBorders>
              <w:top w:val="nil"/>
              <w:left w:val="nil"/>
              <w:bottom w:val="nil"/>
              <w:right w:val="nil"/>
            </w:tcBorders>
            <w:shd w:val="clear" w:color="FFFFFF" w:fill="FFFFFF"/>
            <w:vAlign w:val="center"/>
            <w:hideMark/>
          </w:tcPr>
          <w:p w14:paraId="07E27190" w14:textId="77777777" w:rsidR="008B4366" w:rsidRPr="00D84F00" w:rsidRDefault="008B4366" w:rsidP="00AE40AC">
            <w:pPr>
              <w:rPr>
                <w:rFonts w:ascii="Arial" w:eastAsia="Times New Roman" w:hAnsi="Arial" w:cs="Arial"/>
                <w:color w:val="000000"/>
              </w:rPr>
            </w:pPr>
            <w:r w:rsidRPr="00D84F00">
              <w:rPr>
                <w:rFonts w:ascii="Arial" w:eastAsia="Times New Roman" w:hAnsi="Arial" w:cs="Arial"/>
                <w:color w:val="000000"/>
              </w:rPr>
              <w:t>BAL‡ bile acid concentration (µ</w:t>
            </w:r>
            <w:proofErr w:type="spellStart"/>
            <w:r w:rsidRPr="00D84F00">
              <w:rPr>
                <w:rFonts w:ascii="Arial" w:eastAsia="Times New Roman" w:hAnsi="Arial" w:cs="Arial"/>
                <w:color w:val="000000"/>
              </w:rPr>
              <w:t>mol</w:t>
            </w:r>
            <w:proofErr w:type="spellEnd"/>
            <w:r w:rsidRPr="00D84F00">
              <w:rPr>
                <w:rFonts w:ascii="Arial" w:eastAsia="Times New Roman" w:hAnsi="Arial" w:cs="Arial"/>
                <w:color w:val="000000"/>
              </w:rPr>
              <w:t>/L)</w:t>
            </w:r>
          </w:p>
        </w:tc>
        <w:tc>
          <w:tcPr>
            <w:tcW w:w="2070" w:type="dxa"/>
            <w:tcBorders>
              <w:top w:val="nil"/>
              <w:left w:val="nil"/>
              <w:bottom w:val="single" w:sz="8" w:space="0" w:color="FFFFFF"/>
              <w:right w:val="single" w:sz="12" w:space="0" w:color="000000"/>
            </w:tcBorders>
            <w:shd w:val="clear" w:color="000000" w:fill="FFFFFF"/>
            <w:vAlign w:val="center"/>
            <w:hideMark/>
          </w:tcPr>
          <w:p w14:paraId="152B4BE0"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0.67 (1.38)</w:t>
            </w:r>
          </w:p>
        </w:tc>
        <w:tc>
          <w:tcPr>
            <w:tcW w:w="1890" w:type="dxa"/>
            <w:tcBorders>
              <w:top w:val="nil"/>
              <w:left w:val="nil"/>
              <w:bottom w:val="single" w:sz="8" w:space="0" w:color="FFFFFF"/>
              <w:right w:val="single" w:sz="8" w:space="0" w:color="FFFFFF"/>
            </w:tcBorders>
            <w:shd w:val="clear" w:color="000000" w:fill="FFFFFF"/>
            <w:vAlign w:val="center"/>
            <w:hideMark/>
          </w:tcPr>
          <w:p w14:paraId="390A8A72"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0.03 (0.02)</w:t>
            </w:r>
          </w:p>
        </w:tc>
        <w:tc>
          <w:tcPr>
            <w:tcW w:w="1060" w:type="dxa"/>
            <w:tcBorders>
              <w:top w:val="nil"/>
              <w:left w:val="nil"/>
              <w:bottom w:val="single" w:sz="8" w:space="0" w:color="FFFFFF"/>
              <w:right w:val="single" w:sz="8" w:space="0" w:color="FFFFFF"/>
            </w:tcBorders>
            <w:shd w:val="clear" w:color="000000" w:fill="FFFFFF"/>
            <w:vAlign w:val="center"/>
            <w:hideMark/>
          </w:tcPr>
          <w:p w14:paraId="646E087C"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0.175</w:t>
            </w:r>
          </w:p>
        </w:tc>
      </w:tr>
      <w:tr w:rsidR="008B4366" w:rsidRPr="00D84F00" w14:paraId="6AE0B585" w14:textId="77777777" w:rsidTr="00AE40AC">
        <w:trPr>
          <w:trHeight w:val="567"/>
        </w:trPr>
        <w:tc>
          <w:tcPr>
            <w:tcW w:w="3240" w:type="dxa"/>
            <w:tcBorders>
              <w:top w:val="nil"/>
              <w:left w:val="nil"/>
              <w:bottom w:val="nil"/>
              <w:right w:val="nil"/>
            </w:tcBorders>
            <w:shd w:val="clear" w:color="FFFFFF" w:fill="FFFFFF"/>
            <w:vAlign w:val="center"/>
            <w:hideMark/>
          </w:tcPr>
          <w:p w14:paraId="314DB0B4" w14:textId="77777777" w:rsidR="008B4366" w:rsidRPr="00D84F00" w:rsidRDefault="008B4366" w:rsidP="00AE40AC">
            <w:pPr>
              <w:rPr>
                <w:rFonts w:ascii="Arial" w:eastAsia="Times New Roman" w:hAnsi="Arial" w:cs="Arial"/>
                <w:color w:val="000000"/>
              </w:rPr>
            </w:pPr>
            <w:r w:rsidRPr="00D84F00">
              <w:rPr>
                <w:rFonts w:ascii="Arial" w:eastAsia="Times New Roman" w:hAnsi="Arial" w:cs="Arial"/>
                <w:color w:val="000000"/>
              </w:rPr>
              <w:t>Recovered saline lavage (200 mL)</w:t>
            </w:r>
          </w:p>
        </w:tc>
        <w:tc>
          <w:tcPr>
            <w:tcW w:w="2070" w:type="dxa"/>
            <w:tcBorders>
              <w:top w:val="nil"/>
              <w:left w:val="nil"/>
              <w:bottom w:val="nil"/>
              <w:right w:val="single" w:sz="12" w:space="0" w:color="000000"/>
            </w:tcBorders>
            <w:shd w:val="clear" w:color="000000" w:fill="FFFFFF"/>
            <w:vAlign w:val="center"/>
            <w:hideMark/>
          </w:tcPr>
          <w:p w14:paraId="0C80B226" w14:textId="77777777" w:rsidR="008B4366" w:rsidRPr="00D84F00" w:rsidRDefault="008B4366" w:rsidP="00AE40AC">
            <w:pPr>
              <w:jc w:val="center"/>
              <w:rPr>
                <w:rFonts w:ascii="Arial" w:eastAsia="Times New Roman" w:hAnsi="Arial" w:cs="Arial"/>
                <w:color w:val="000000"/>
              </w:rPr>
            </w:pPr>
            <w:proofErr w:type="gramStart"/>
            <w:r w:rsidRPr="00D84F00">
              <w:rPr>
                <w:rFonts w:ascii="Arial" w:eastAsia="Times New Roman" w:hAnsi="Arial" w:cs="Arial"/>
                <w:color w:val="000000"/>
              </w:rPr>
              <w:t>n</w:t>
            </w:r>
            <w:proofErr w:type="gramEnd"/>
            <w:r w:rsidRPr="00D84F00">
              <w:rPr>
                <w:rFonts w:ascii="Arial" w:eastAsia="Times New Roman" w:hAnsi="Arial" w:cs="Arial"/>
                <w:color w:val="000000"/>
              </w:rPr>
              <w:t>/a</w:t>
            </w:r>
          </w:p>
        </w:tc>
        <w:tc>
          <w:tcPr>
            <w:tcW w:w="1890" w:type="dxa"/>
            <w:tcBorders>
              <w:top w:val="nil"/>
              <w:left w:val="nil"/>
              <w:bottom w:val="nil"/>
              <w:right w:val="single" w:sz="8" w:space="0" w:color="FFFFFF"/>
            </w:tcBorders>
            <w:shd w:val="clear" w:color="000000" w:fill="FFFFFF"/>
            <w:vAlign w:val="center"/>
            <w:hideMark/>
          </w:tcPr>
          <w:p w14:paraId="403F1D98"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134.3 (16.6)</w:t>
            </w:r>
          </w:p>
        </w:tc>
        <w:tc>
          <w:tcPr>
            <w:tcW w:w="1060" w:type="dxa"/>
            <w:tcBorders>
              <w:top w:val="nil"/>
              <w:left w:val="nil"/>
              <w:bottom w:val="nil"/>
              <w:right w:val="single" w:sz="8" w:space="0" w:color="FFFFFF"/>
            </w:tcBorders>
            <w:shd w:val="clear" w:color="000000" w:fill="FFFFFF"/>
            <w:vAlign w:val="center"/>
            <w:hideMark/>
          </w:tcPr>
          <w:p w14:paraId="505F1620" w14:textId="77777777" w:rsidR="008B4366" w:rsidRPr="00D84F00" w:rsidRDefault="008B4366" w:rsidP="00AE40AC">
            <w:pPr>
              <w:jc w:val="center"/>
              <w:rPr>
                <w:rFonts w:ascii="Arial" w:eastAsia="Times New Roman" w:hAnsi="Arial" w:cs="Arial"/>
                <w:color w:val="000000"/>
              </w:rPr>
            </w:pPr>
            <w:proofErr w:type="gramStart"/>
            <w:r w:rsidRPr="00D84F00">
              <w:rPr>
                <w:rFonts w:ascii="Arial" w:eastAsia="Times New Roman" w:hAnsi="Arial" w:cs="Arial"/>
                <w:color w:val="000000"/>
              </w:rPr>
              <w:t>n</w:t>
            </w:r>
            <w:proofErr w:type="gramEnd"/>
            <w:r w:rsidRPr="00D84F00">
              <w:rPr>
                <w:rFonts w:ascii="Arial" w:eastAsia="Times New Roman" w:hAnsi="Arial" w:cs="Arial"/>
                <w:color w:val="000000"/>
              </w:rPr>
              <w:t>/a</w:t>
            </w:r>
          </w:p>
        </w:tc>
      </w:tr>
      <w:tr w:rsidR="008B4366" w:rsidRPr="00D84F00" w14:paraId="44D1FAD4" w14:textId="77777777" w:rsidTr="00AE40AC">
        <w:trPr>
          <w:trHeight w:val="567"/>
        </w:trPr>
        <w:tc>
          <w:tcPr>
            <w:tcW w:w="3240" w:type="dxa"/>
            <w:tcBorders>
              <w:top w:val="nil"/>
              <w:left w:val="nil"/>
              <w:bottom w:val="single" w:sz="12" w:space="0" w:color="auto"/>
              <w:right w:val="nil"/>
            </w:tcBorders>
            <w:shd w:val="clear" w:color="FFFFFF" w:fill="FFFFFF"/>
            <w:vAlign w:val="center"/>
            <w:hideMark/>
          </w:tcPr>
          <w:p w14:paraId="49A09EBC" w14:textId="77777777" w:rsidR="008B4366" w:rsidRPr="00D84F00" w:rsidRDefault="008B4366" w:rsidP="00AE40AC">
            <w:pPr>
              <w:rPr>
                <w:rFonts w:ascii="Arial" w:eastAsia="Times New Roman" w:hAnsi="Arial" w:cs="Arial"/>
                <w:color w:val="000000"/>
              </w:rPr>
            </w:pPr>
            <w:r w:rsidRPr="00D84F00">
              <w:rPr>
                <w:rFonts w:ascii="Arial" w:eastAsia="Times New Roman" w:hAnsi="Arial" w:cs="Arial"/>
                <w:color w:val="000000"/>
              </w:rPr>
              <w:lastRenderedPageBreak/>
              <w:t>Volume of surfactant used (mL)</w:t>
            </w:r>
          </w:p>
        </w:tc>
        <w:tc>
          <w:tcPr>
            <w:tcW w:w="2070" w:type="dxa"/>
            <w:tcBorders>
              <w:top w:val="nil"/>
              <w:left w:val="nil"/>
              <w:bottom w:val="single" w:sz="12" w:space="0" w:color="000000"/>
              <w:right w:val="single" w:sz="12" w:space="0" w:color="000000"/>
            </w:tcBorders>
            <w:shd w:val="clear" w:color="000000" w:fill="FFFFFF"/>
            <w:vAlign w:val="center"/>
            <w:hideMark/>
          </w:tcPr>
          <w:p w14:paraId="31F67009" w14:textId="77777777" w:rsidR="008B4366" w:rsidRPr="00D84F00" w:rsidRDefault="008B4366" w:rsidP="00AE40AC">
            <w:pPr>
              <w:jc w:val="center"/>
              <w:rPr>
                <w:rFonts w:ascii="Arial" w:eastAsia="Times New Roman" w:hAnsi="Arial" w:cs="Arial"/>
                <w:color w:val="000000"/>
              </w:rPr>
            </w:pPr>
            <w:proofErr w:type="gramStart"/>
            <w:r w:rsidRPr="00D84F00">
              <w:rPr>
                <w:rFonts w:ascii="Arial" w:eastAsia="Times New Roman" w:hAnsi="Arial" w:cs="Arial"/>
                <w:color w:val="000000"/>
              </w:rPr>
              <w:t>n</w:t>
            </w:r>
            <w:proofErr w:type="gramEnd"/>
            <w:r w:rsidRPr="00D84F00">
              <w:rPr>
                <w:rFonts w:ascii="Arial" w:eastAsia="Times New Roman" w:hAnsi="Arial" w:cs="Arial"/>
                <w:color w:val="000000"/>
              </w:rPr>
              <w:t>/a</w:t>
            </w:r>
          </w:p>
        </w:tc>
        <w:tc>
          <w:tcPr>
            <w:tcW w:w="1890" w:type="dxa"/>
            <w:tcBorders>
              <w:top w:val="nil"/>
              <w:left w:val="nil"/>
              <w:bottom w:val="single" w:sz="12" w:space="0" w:color="000000"/>
              <w:right w:val="nil"/>
            </w:tcBorders>
            <w:shd w:val="clear" w:color="000000" w:fill="FFFFFF"/>
            <w:vAlign w:val="center"/>
            <w:hideMark/>
          </w:tcPr>
          <w:p w14:paraId="5634C5A9" w14:textId="77777777" w:rsidR="008B4366" w:rsidRPr="00D84F00" w:rsidRDefault="008B4366" w:rsidP="00AE40AC">
            <w:pPr>
              <w:jc w:val="center"/>
              <w:rPr>
                <w:rFonts w:ascii="Arial" w:eastAsia="Times New Roman" w:hAnsi="Arial" w:cs="Arial"/>
                <w:color w:val="000000"/>
              </w:rPr>
            </w:pPr>
            <w:r w:rsidRPr="00D84F00">
              <w:rPr>
                <w:rFonts w:ascii="Arial" w:eastAsia="Times New Roman" w:hAnsi="Arial" w:cs="Arial"/>
                <w:color w:val="000000"/>
              </w:rPr>
              <w:t>164.8 (9.09)</w:t>
            </w:r>
          </w:p>
        </w:tc>
        <w:tc>
          <w:tcPr>
            <w:tcW w:w="1060" w:type="dxa"/>
            <w:tcBorders>
              <w:top w:val="nil"/>
              <w:left w:val="nil"/>
              <w:bottom w:val="single" w:sz="12" w:space="0" w:color="auto"/>
              <w:right w:val="nil"/>
            </w:tcBorders>
            <w:shd w:val="clear" w:color="000000" w:fill="FFFFFF"/>
            <w:vAlign w:val="center"/>
            <w:hideMark/>
          </w:tcPr>
          <w:p w14:paraId="418FCDAB" w14:textId="77777777" w:rsidR="008B4366" w:rsidRPr="00D84F00" w:rsidRDefault="008B4366" w:rsidP="00AE40AC">
            <w:pPr>
              <w:jc w:val="center"/>
              <w:rPr>
                <w:rFonts w:ascii="Arial" w:eastAsia="Times New Roman" w:hAnsi="Arial" w:cs="Arial"/>
                <w:color w:val="000000"/>
              </w:rPr>
            </w:pPr>
            <w:proofErr w:type="gramStart"/>
            <w:r w:rsidRPr="00D84F00">
              <w:rPr>
                <w:rFonts w:ascii="Arial" w:eastAsia="Times New Roman" w:hAnsi="Arial" w:cs="Arial"/>
                <w:color w:val="000000"/>
              </w:rPr>
              <w:t>n</w:t>
            </w:r>
            <w:proofErr w:type="gramEnd"/>
            <w:r w:rsidRPr="00D84F00">
              <w:rPr>
                <w:rFonts w:ascii="Arial" w:eastAsia="Times New Roman" w:hAnsi="Arial" w:cs="Arial"/>
                <w:color w:val="000000"/>
              </w:rPr>
              <w:t>/a</w:t>
            </w:r>
          </w:p>
        </w:tc>
      </w:tr>
      <w:tr w:rsidR="008B4366" w:rsidRPr="00D84F00" w14:paraId="2D775C8B" w14:textId="77777777" w:rsidTr="00AE40AC">
        <w:trPr>
          <w:trHeight w:val="630"/>
        </w:trPr>
        <w:tc>
          <w:tcPr>
            <w:tcW w:w="8260" w:type="dxa"/>
            <w:gridSpan w:val="4"/>
            <w:tcBorders>
              <w:top w:val="single" w:sz="12" w:space="0" w:color="auto"/>
              <w:left w:val="nil"/>
              <w:bottom w:val="nil"/>
              <w:right w:val="nil"/>
            </w:tcBorders>
            <w:shd w:val="clear" w:color="FFFFFF" w:fill="FFFFFF"/>
            <w:vAlign w:val="bottom"/>
            <w:hideMark/>
          </w:tcPr>
          <w:p w14:paraId="46906B76" w14:textId="77777777" w:rsidR="008B4366" w:rsidRPr="00D84F00" w:rsidRDefault="008B4366" w:rsidP="00AE40AC">
            <w:pPr>
              <w:rPr>
                <w:rFonts w:ascii="Arial" w:eastAsia="Times New Roman" w:hAnsi="Arial" w:cs="Arial"/>
                <w:color w:val="000000"/>
              </w:rPr>
            </w:pPr>
            <w:r w:rsidRPr="00D84F00">
              <w:rPr>
                <w:rFonts w:ascii="Arial" w:eastAsia="Times New Roman" w:hAnsi="Arial" w:cs="Arial"/>
                <w:color w:val="000000"/>
              </w:rPr>
              <w:t>*</w:t>
            </w:r>
            <w:proofErr w:type="gramStart"/>
            <w:r w:rsidRPr="00D84F00">
              <w:rPr>
                <w:rFonts w:ascii="Arial" w:eastAsia="Times New Roman" w:hAnsi="Arial" w:cs="Arial"/>
                <w:color w:val="000000"/>
              </w:rPr>
              <w:t>sweep</w:t>
            </w:r>
            <w:proofErr w:type="gramEnd"/>
            <w:r w:rsidRPr="00D84F00">
              <w:rPr>
                <w:rFonts w:ascii="Arial" w:eastAsia="Times New Roman" w:hAnsi="Arial" w:cs="Arial"/>
                <w:color w:val="000000"/>
              </w:rPr>
              <w:t xml:space="preserve"> = 2 L/min for both groups; </w:t>
            </w:r>
            <w:r w:rsidRPr="00D84F00">
              <w:rPr>
                <w:rFonts w:ascii="Geneva" w:eastAsia="Times New Roman" w:hAnsi="Geneva" w:cs="Geneva"/>
                <w:color w:val="000000"/>
              </w:rPr>
              <w:t>ꝉ</w:t>
            </w:r>
            <w:r w:rsidRPr="00D84F00">
              <w:rPr>
                <w:rFonts w:ascii="Arial" w:eastAsia="Times New Roman" w:hAnsi="Arial" w:cs="Arial"/>
                <w:color w:val="000000"/>
              </w:rPr>
              <w:t>pulmonary capillary wedge pressure; ‡</w:t>
            </w:r>
            <w:proofErr w:type="spellStart"/>
            <w:r w:rsidRPr="00D84F00">
              <w:rPr>
                <w:rFonts w:ascii="Arial" w:eastAsia="Times New Roman" w:hAnsi="Arial" w:cs="Arial"/>
                <w:color w:val="000000"/>
              </w:rPr>
              <w:t>bronchoalveolar</w:t>
            </w:r>
            <w:proofErr w:type="spellEnd"/>
            <w:r w:rsidRPr="00D84F00">
              <w:rPr>
                <w:rFonts w:ascii="Arial" w:eastAsia="Times New Roman" w:hAnsi="Arial" w:cs="Arial"/>
                <w:color w:val="000000"/>
              </w:rPr>
              <w:t xml:space="preserve"> lavage (</w:t>
            </w:r>
            <w:proofErr w:type="spellStart"/>
            <w:r w:rsidRPr="00D84F00">
              <w:rPr>
                <w:rFonts w:ascii="Arial" w:eastAsia="Times New Roman" w:hAnsi="Arial" w:cs="Arial"/>
                <w:color w:val="000000"/>
              </w:rPr>
              <w:t>preinjury</w:t>
            </w:r>
            <w:proofErr w:type="spellEnd"/>
            <w:r w:rsidRPr="00D84F00">
              <w:rPr>
                <w:rFonts w:ascii="Arial" w:eastAsia="Times New Roman" w:hAnsi="Arial" w:cs="Arial"/>
                <w:color w:val="000000"/>
              </w:rPr>
              <w:t>); p-value calculated by Mann-Whitney test</w:t>
            </w:r>
          </w:p>
        </w:tc>
      </w:tr>
    </w:tbl>
    <w:p w14:paraId="517312AE" w14:textId="1B3108CE" w:rsidR="008B4366" w:rsidRDefault="008B4366">
      <w:pPr>
        <w:rPr>
          <w:rFonts w:ascii="Microsoft Sans Serif" w:hAnsi="Microsoft Sans Serif" w:cs="Microsoft Sans Serif"/>
          <w:b/>
          <w:sz w:val="24"/>
          <w:szCs w:val="24"/>
        </w:rPr>
      </w:pPr>
    </w:p>
    <w:p w14:paraId="432B91EA" w14:textId="77777777" w:rsidR="008B4366" w:rsidRDefault="008B4366">
      <w:pPr>
        <w:rPr>
          <w:rFonts w:ascii="Microsoft Sans Serif" w:hAnsi="Microsoft Sans Serif" w:cs="Microsoft Sans Serif"/>
          <w:b/>
          <w:sz w:val="24"/>
          <w:szCs w:val="24"/>
        </w:rPr>
      </w:pPr>
      <w:r>
        <w:rPr>
          <w:rFonts w:ascii="Microsoft Sans Serif" w:hAnsi="Microsoft Sans Serif" w:cs="Microsoft Sans Serif"/>
          <w:b/>
          <w:sz w:val="24"/>
          <w:szCs w:val="24"/>
        </w:rPr>
        <w:br w:type="page"/>
      </w:r>
    </w:p>
    <w:p w14:paraId="0600D999" w14:textId="33A59BCB" w:rsidR="00684DE3" w:rsidRDefault="000F7F11">
      <w:pPr>
        <w:rPr>
          <w:rFonts w:ascii="Microsoft Sans Serif" w:hAnsi="Microsoft Sans Serif" w:cs="Microsoft Sans Serif"/>
          <w:b/>
          <w:sz w:val="24"/>
          <w:szCs w:val="24"/>
        </w:rPr>
      </w:pPr>
      <w:r>
        <w:rPr>
          <w:rFonts w:ascii="Microsoft Sans Serif" w:hAnsi="Microsoft Sans Serif" w:cs="Microsoft Sans Serif"/>
          <w:b/>
          <w:sz w:val="24"/>
          <w:szCs w:val="24"/>
        </w:rPr>
        <w:lastRenderedPageBreak/>
        <w:t>Figure legend.</w:t>
      </w:r>
    </w:p>
    <w:p w14:paraId="27639DB3" w14:textId="77777777" w:rsidR="000F7F11" w:rsidRDefault="000F7F11">
      <w:pPr>
        <w:rPr>
          <w:rFonts w:ascii="Microsoft Sans Serif" w:hAnsi="Microsoft Sans Serif" w:cs="Microsoft Sans Serif"/>
          <w:b/>
          <w:sz w:val="24"/>
          <w:szCs w:val="24"/>
        </w:rPr>
      </w:pPr>
    </w:p>
    <w:p w14:paraId="615C0589" w14:textId="5ABB8592" w:rsidR="00C92C40" w:rsidRDefault="00684DE3" w:rsidP="00BB6EE7">
      <w:pPr>
        <w:spacing w:after="0" w:line="360" w:lineRule="auto"/>
        <w:jc w:val="both"/>
        <w:rPr>
          <w:rFonts w:ascii="Microsoft Sans Serif" w:hAnsi="Microsoft Sans Serif" w:cs="Microsoft Sans Serif"/>
        </w:rPr>
      </w:pPr>
      <w:r w:rsidRPr="000C1AFC">
        <w:rPr>
          <w:rFonts w:ascii="Microsoft Sans Serif" w:hAnsi="Microsoft Sans Serif" w:cs="Microsoft Sans Serif"/>
        </w:rPr>
        <w:t xml:space="preserve">Figure E1: A baseline preinjury chest </w:t>
      </w:r>
      <w:proofErr w:type="spellStart"/>
      <w:r w:rsidRPr="000C1AFC">
        <w:rPr>
          <w:rFonts w:ascii="Microsoft Sans Serif" w:hAnsi="Microsoft Sans Serif" w:cs="Microsoft Sans Serif"/>
        </w:rPr>
        <w:t>xray</w:t>
      </w:r>
      <w:proofErr w:type="spellEnd"/>
      <w:r w:rsidRPr="000C1AFC">
        <w:rPr>
          <w:rFonts w:ascii="Microsoft Sans Serif" w:hAnsi="Microsoft Sans Serif" w:cs="Microsoft Sans Serif"/>
        </w:rPr>
        <w:t xml:space="preserve"> is shown above on the left and a subsequent </w:t>
      </w:r>
      <w:proofErr w:type="spellStart"/>
      <w:r w:rsidRPr="000C1AFC">
        <w:rPr>
          <w:rFonts w:ascii="Microsoft Sans Serif" w:hAnsi="Microsoft Sans Serif" w:cs="Microsoft Sans Serif"/>
        </w:rPr>
        <w:t>xray</w:t>
      </w:r>
      <w:proofErr w:type="spellEnd"/>
      <w:r w:rsidRPr="000C1AFC">
        <w:rPr>
          <w:rFonts w:ascii="Microsoft Sans Serif" w:hAnsi="Microsoft Sans Serif" w:cs="Microsoft Sans Serif"/>
        </w:rPr>
        <w:t xml:space="preserve"> 2 hours after the </w:t>
      </w:r>
      <w:r w:rsidR="00556BCE">
        <w:rPr>
          <w:rFonts w:ascii="Microsoft Sans Serif" w:hAnsi="Microsoft Sans Serif" w:cs="Microsoft Sans Serif"/>
        </w:rPr>
        <w:t>GJ</w:t>
      </w:r>
      <w:r w:rsidRPr="000C1AFC">
        <w:rPr>
          <w:rFonts w:ascii="Microsoft Sans Serif" w:hAnsi="Microsoft Sans Serif" w:cs="Microsoft Sans Serif"/>
        </w:rPr>
        <w:t xml:space="preserve"> was instilled. The chest </w:t>
      </w:r>
      <w:proofErr w:type="spellStart"/>
      <w:r w:rsidRPr="000C1AFC">
        <w:rPr>
          <w:rFonts w:ascii="Microsoft Sans Serif" w:hAnsi="Microsoft Sans Serif" w:cs="Microsoft Sans Serif"/>
        </w:rPr>
        <w:t>xray</w:t>
      </w:r>
      <w:proofErr w:type="spellEnd"/>
      <w:r w:rsidRPr="000C1AFC">
        <w:rPr>
          <w:rFonts w:ascii="Microsoft Sans Serif" w:hAnsi="Microsoft Sans Serif" w:cs="Microsoft Sans Serif"/>
        </w:rPr>
        <w:t xml:space="preserve"> on the right demonstrates bilateral opacities typical of ARDS. The pulmonary artery catheter, esophageal temperature probe, ECMO drainage and return cannulas ca</w:t>
      </w:r>
      <w:r w:rsidR="00C92C40">
        <w:rPr>
          <w:rFonts w:ascii="Microsoft Sans Serif" w:hAnsi="Microsoft Sans Serif" w:cs="Microsoft Sans Serif"/>
        </w:rPr>
        <w:t>n also be seen on both images.</w:t>
      </w:r>
    </w:p>
    <w:p w14:paraId="13F6F056" w14:textId="77777777" w:rsidR="00BB6EE7" w:rsidRDefault="00BB6EE7" w:rsidP="00BB6EE7">
      <w:pPr>
        <w:spacing w:after="0" w:line="360" w:lineRule="auto"/>
        <w:jc w:val="both"/>
        <w:rPr>
          <w:rFonts w:ascii="Microsoft Sans Serif" w:hAnsi="Microsoft Sans Serif" w:cs="Microsoft Sans Serif"/>
        </w:rPr>
      </w:pPr>
    </w:p>
    <w:p w14:paraId="087E469F" w14:textId="07470A0F" w:rsidR="00684DE3" w:rsidRPr="000C1AFC" w:rsidRDefault="00684DE3" w:rsidP="00BB6EE7">
      <w:pPr>
        <w:spacing w:after="0" w:line="360" w:lineRule="auto"/>
        <w:jc w:val="both"/>
        <w:rPr>
          <w:rFonts w:ascii="Microsoft Sans Serif" w:hAnsi="Microsoft Sans Serif" w:cs="Microsoft Sans Serif"/>
        </w:rPr>
      </w:pPr>
      <w:r w:rsidRPr="000C1AFC">
        <w:rPr>
          <w:rFonts w:ascii="Microsoft Sans Serif" w:hAnsi="Microsoft Sans Serif" w:cs="Microsoft Sans Serif"/>
        </w:rPr>
        <w:t xml:space="preserve">Figure E2: Representative bronchoscopy images during course of experiment. </w:t>
      </w:r>
      <w:r w:rsidRPr="000C1AFC">
        <w:rPr>
          <w:rFonts w:ascii="Microsoft Sans Serif" w:hAnsi="Microsoft Sans Serif" w:cs="Microsoft Sans Serif"/>
          <w:b/>
        </w:rPr>
        <w:t>(A)</w:t>
      </w:r>
      <w:r w:rsidRPr="000C1AFC">
        <w:rPr>
          <w:rFonts w:ascii="Microsoft Sans Serif" w:hAnsi="Microsoft Sans Serif" w:cs="Microsoft Sans Serif"/>
        </w:rPr>
        <w:t xml:space="preserve"> </w:t>
      </w:r>
      <w:proofErr w:type="gramStart"/>
      <w:r w:rsidRPr="000C1AFC">
        <w:rPr>
          <w:rFonts w:ascii="Microsoft Sans Serif" w:hAnsi="Microsoft Sans Serif" w:cs="Microsoft Sans Serif"/>
        </w:rPr>
        <w:t>shows</w:t>
      </w:r>
      <w:proofErr w:type="gramEnd"/>
      <w:r w:rsidRPr="000C1AFC">
        <w:rPr>
          <w:rFonts w:ascii="Microsoft Sans Serif" w:hAnsi="Microsoft Sans Serif" w:cs="Microsoft Sans Serif"/>
        </w:rPr>
        <w:t xml:space="preserve"> the preinjury airways </w:t>
      </w:r>
      <w:r w:rsidRPr="000C1AFC">
        <w:rPr>
          <w:rFonts w:ascii="Microsoft Sans Serif" w:hAnsi="Microsoft Sans Serif" w:cs="Microsoft Sans Serif"/>
          <w:b/>
        </w:rPr>
        <w:t>(B)</w:t>
      </w:r>
      <w:r w:rsidRPr="000C1AFC">
        <w:rPr>
          <w:rFonts w:ascii="Microsoft Sans Serif" w:hAnsi="Microsoft Sans Serif" w:cs="Microsoft Sans Serif"/>
        </w:rPr>
        <w:t xml:space="preserve"> taken during instillation of gastric juice </w:t>
      </w:r>
      <w:r w:rsidRPr="000C1AFC">
        <w:rPr>
          <w:rFonts w:ascii="Microsoft Sans Serif" w:hAnsi="Microsoft Sans Serif" w:cs="Microsoft Sans Serif"/>
          <w:b/>
        </w:rPr>
        <w:t>(C)</w:t>
      </w:r>
      <w:r w:rsidRPr="000C1AFC">
        <w:rPr>
          <w:rFonts w:ascii="Microsoft Sans Serif" w:hAnsi="Microsoft Sans Serif" w:cs="Microsoft Sans Serif"/>
        </w:rPr>
        <w:t xml:space="preserve"> shows the airways 2 hours after the injury and </w:t>
      </w:r>
      <w:r w:rsidRPr="000C1AFC">
        <w:rPr>
          <w:rFonts w:ascii="Microsoft Sans Serif" w:hAnsi="Microsoft Sans Serif" w:cs="Microsoft Sans Serif"/>
          <w:b/>
        </w:rPr>
        <w:t>(D)</w:t>
      </w:r>
      <w:r w:rsidRPr="000C1AFC">
        <w:rPr>
          <w:rFonts w:ascii="Microsoft Sans Serif" w:hAnsi="Microsoft Sans Serif" w:cs="Microsoft Sans Serif"/>
        </w:rPr>
        <w:t xml:space="preserve"> shows the instillation</w:t>
      </w:r>
      <w:r w:rsidR="00FC1789">
        <w:rPr>
          <w:rFonts w:ascii="Microsoft Sans Serif" w:hAnsi="Microsoft Sans Serif" w:cs="Microsoft Sans Serif"/>
        </w:rPr>
        <w:t xml:space="preserve"> of surfactant in the LAV/SRT</w:t>
      </w:r>
      <w:r w:rsidRPr="000C1AFC">
        <w:rPr>
          <w:rFonts w:ascii="Microsoft Sans Serif" w:hAnsi="Microsoft Sans Serif" w:cs="Microsoft Sans Serif"/>
        </w:rPr>
        <w:t xml:space="preserve"> group. </w:t>
      </w:r>
    </w:p>
    <w:p w14:paraId="4BC4BA0C" w14:textId="33FC409E" w:rsidR="00684DE3" w:rsidRPr="000C1AFC" w:rsidRDefault="00684DE3" w:rsidP="00BB6EE7">
      <w:pPr>
        <w:spacing w:after="0" w:line="360" w:lineRule="auto"/>
        <w:jc w:val="both"/>
        <w:rPr>
          <w:rFonts w:ascii="Microsoft Sans Serif" w:hAnsi="Microsoft Sans Serif" w:cs="Microsoft Sans Serif"/>
        </w:rPr>
      </w:pPr>
    </w:p>
    <w:p w14:paraId="036AFDA7" w14:textId="3573F7DB" w:rsidR="00684DE3" w:rsidRPr="00722617" w:rsidRDefault="00684DE3" w:rsidP="00BB6EE7">
      <w:pPr>
        <w:spacing w:after="0" w:line="360" w:lineRule="auto"/>
        <w:jc w:val="both"/>
        <w:rPr>
          <w:rFonts w:ascii="Microsoft Sans Serif" w:hAnsi="Microsoft Sans Serif" w:cs="Microsoft Sans Serif"/>
        </w:rPr>
      </w:pPr>
      <w:r w:rsidRPr="000C1AFC">
        <w:rPr>
          <w:rFonts w:ascii="Microsoft Sans Serif" w:hAnsi="Microsoft Sans Serif" w:cs="Microsoft Sans Serif"/>
        </w:rPr>
        <w:t>Figure E3: representative gross image of lungs after median sternotomy at the conclusion of one of the cases. Two consecutive instillations of gastric juice consisten</w:t>
      </w:r>
      <w:r w:rsidR="00556BCE">
        <w:rPr>
          <w:rFonts w:ascii="Microsoft Sans Serif" w:hAnsi="Microsoft Sans Serif" w:cs="Microsoft Sans Serif"/>
        </w:rPr>
        <w:t xml:space="preserve">tly reproduced the bilateral, </w:t>
      </w:r>
      <w:proofErr w:type="spellStart"/>
      <w:r w:rsidR="00556BCE">
        <w:rPr>
          <w:rFonts w:ascii="Microsoft Sans Serif" w:hAnsi="Microsoft Sans Serif" w:cs="Microsoft Sans Serif"/>
        </w:rPr>
        <w:t>dis</w:t>
      </w:r>
      <w:r w:rsidRPr="000C1AFC">
        <w:rPr>
          <w:rFonts w:ascii="Microsoft Sans Serif" w:hAnsi="Microsoft Sans Serif" w:cs="Microsoft Sans Serif"/>
        </w:rPr>
        <w:t>homogenous</w:t>
      </w:r>
      <w:proofErr w:type="spellEnd"/>
      <w:r w:rsidRPr="000C1AFC">
        <w:rPr>
          <w:rFonts w:ascii="Microsoft Sans Serif" w:hAnsi="Microsoft Sans Serif" w:cs="Microsoft Sans Serif"/>
        </w:rPr>
        <w:t xml:space="preserve"> distribution of injury observed above. The most injur</w:t>
      </w:r>
      <w:r w:rsidR="00556BCE">
        <w:rPr>
          <w:rFonts w:ascii="Microsoft Sans Serif" w:hAnsi="Microsoft Sans Serif" w:cs="Microsoft Sans Serif"/>
        </w:rPr>
        <w:t>ed</w:t>
      </w:r>
      <w:r w:rsidRPr="000C1AFC">
        <w:rPr>
          <w:rFonts w:ascii="Microsoft Sans Serif" w:hAnsi="Microsoft Sans Serif" w:cs="Microsoft Sans Serif"/>
        </w:rPr>
        <w:t xml:space="preserve"> areas of the lung were often at the posterior bases in keeping with the animal’s supine position during the experiment. The impression of the PA catheter within the right ventricle can be appreciated in the heart and the tip of the ECMO drainage cannula in the inferior vena cava is observed at the bottom right of the photograph. </w:t>
      </w:r>
    </w:p>
    <w:sectPr w:rsidR="00684DE3" w:rsidRPr="00722617" w:rsidSect="00556B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Microsoft Sans Serif">
    <w:panose1 w:val="020B0604020202020204"/>
    <w:charset w:val="00"/>
    <w:family w:val="auto"/>
    <w:pitch w:val="variable"/>
    <w:sig w:usb0="E1002AFF" w:usb1="C0000002" w:usb2="00000008" w:usb3="00000000" w:csb0="000101FF" w:csb1="00000000"/>
  </w:font>
  <w:font w:name="Arial">
    <w:panose1 w:val="020B0604020202020204"/>
    <w:charset w:val="00"/>
    <w:family w:val="auto"/>
    <w:pitch w:val="variable"/>
    <w:sig w:usb0="E0002AFF" w:usb1="C0007843" w:usb2="00000009" w:usb3="00000000" w:csb0="000001FF" w:csb1="00000000"/>
  </w:font>
  <w:font w:name="Geneva">
    <w:panose1 w:val="020B0503030404040204"/>
    <w:charset w:val="00"/>
    <w:family w:val="auto"/>
    <w:pitch w:val="variable"/>
    <w:sig w:usb0="E00002FF" w:usb1="5200205F" w:usb2="00A0C000" w:usb3="00000000" w:csb0="0000019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6A8A"/>
    <w:rsid w:val="00005E2A"/>
    <w:rsid w:val="00075329"/>
    <w:rsid w:val="000F7F11"/>
    <w:rsid w:val="00142856"/>
    <w:rsid w:val="002257D9"/>
    <w:rsid w:val="00255231"/>
    <w:rsid w:val="00280491"/>
    <w:rsid w:val="00413D1A"/>
    <w:rsid w:val="0053373A"/>
    <w:rsid w:val="00546B4E"/>
    <w:rsid w:val="00556BCE"/>
    <w:rsid w:val="00600C14"/>
    <w:rsid w:val="00623A05"/>
    <w:rsid w:val="00684DE3"/>
    <w:rsid w:val="006B0EF2"/>
    <w:rsid w:val="006D5ABF"/>
    <w:rsid w:val="006E74BE"/>
    <w:rsid w:val="00722617"/>
    <w:rsid w:val="00823471"/>
    <w:rsid w:val="008B4366"/>
    <w:rsid w:val="00AF33E5"/>
    <w:rsid w:val="00B5337F"/>
    <w:rsid w:val="00BA1A57"/>
    <w:rsid w:val="00BB6EE7"/>
    <w:rsid w:val="00C548CB"/>
    <w:rsid w:val="00C92C40"/>
    <w:rsid w:val="00C9480D"/>
    <w:rsid w:val="00CC1D8E"/>
    <w:rsid w:val="00D55871"/>
    <w:rsid w:val="00F02CB6"/>
    <w:rsid w:val="00F26229"/>
    <w:rsid w:val="00FB10D3"/>
    <w:rsid w:val="00FC1789"/>
    <w:rsid w:val="00FF6A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BEE1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42856"/>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42856"/>
    <w:rPr>
      <w:rFonts w:ascii="Lucida Grande" w:hAnsi="Lucida Grande" w:cs="Lucida Grande"/>
      <w:sz w:val="18"/>
      <w:szCs w:val="18"/>
    </w:rPr>
  </w:style>
  <w:style w:type="character" w:styleId="CommentReference">
    <w:name w:val="annotation reference"/>
    <w:basedOn w:val="DefaultParagraphFont"/>
    <w:uiPriority w:val="99"/>
    <w:semiHidden/>
    <w:unhideWhenUsed/>
    <w:rsid w:val="00142856"/>
    <w:rPr>
      <w:sz w:val="18"/>
      <w:szCs w:val="18"/>
    </w:rPr>
  </w:style>
  <w:style w:type="paragraph" w:styleId="CommentText">
    <w:name w:val="annotation text"/>
    <w:basedOn w:val="Normal"/>
    <w:link w:val="CommentTextChar"/>
    <w:uiPriority w:val="99"/>
    <w:semiHidden/>
    <w:unhideWhenUsed/>
    <w:rsid w:val="00142856"/>
    <w:pPr>
      <w:spacing w:line="240" w:lineRule="auto"/>
    </w:pPr>
    <w:rPr>
      <w:sz w:val="24"/>
      <w:szCs w:val="24"/>
    </w:rPr>
  </w:style>
  <w:style w:type="character" w:customStyle="1" w:styleId="CommentTextChar">
    <w:name w:val="Comment Text Char"/>
    <w:basedOn w:val="DefaultParagraphFont"/>
    <w:link w:val="CommentText"/>
    <w:uiPriority w:val="99"/>
    <w:semiHidden/>
    <w:rsid w:val="00142856"/>
    <w:rPr>
      <w:sz w:val="24"/>
      <w:szCs w:val="24"/>
    </w:rPr>
  </w:style>
  <w:style w:type="paragraph" w:styleId="CommentSubject">
    <w:name w:val="annotation subject"/>
    <w:basedOn w:val="CommentText"/>
    <w:next w:val="CommentText"/>
    <w:link w:val="CommentSubjectChar"/>
    <w:uiPriority w:val="99"/>
    <w:semiHidden/>
    <w:unhideWhenUsed/>
    <w:rsid w:val="00142856"/>
    <w:rPr>
      <w:b/>
      <w:bCs/>
      <w:sz w:val="20"/>
      <w:szCs w:val="20"/>
    </w:rPr>
  </w:style>
  <w:style w:type="character" w:customStyle="1" w:styleId="CommentSubjectChar">
    <w:name w:val="Comment Subject Char"/>
    <w:basedOn w:val="CommentTextChar"/>
    <w:link w:val="CommentSubject"/>
    <w:uiPriority w:val="99"/>
    <w:semiHidden/>
    <w:rsid w:val="00142856"/>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42856"/>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42856"/>
    <w:rPr>
      <w:rFonts w:ascii="Lucida Grande" w:hAnsi="Lucida Grande" w:cs="Lucida Grande"/>
      <w:sz w:val="18"/>
      <w:szCs w:val="18"/>
    </w:rPr>
  </w:style>
  <w:style w:type="character" w:styleId="CommentReference">
    <w:name w:val="annotation reference"/>
    <w:basedOn w:val="DefaultParagraphFont"/>
    <w:uiPriority w:val="99"/>
    <w:semiHidden/>
    <w:unhideWhenUsed/>
    <w:rsid w:val="00142856"/>
    <w:rPr>
      <w:sz w:val="18"/>
      <w:szCs w:val="18"/>
    </w:rPr>
  </w:style>
  <w:style w:type="paragraph" w:styleId="CommentText">
    <w:name w:val="annotation text"/>
    <w:basedOn w:val="Normal"/>
    <w:link w:val="CommentTextChar"/>
    <w:uiPriority w:val="99"/>
    <w:semiHidden/>
    <w:unhideWhenUsed/>
    <w:rsid w:val="00142856"/>
    <w:pPr>
      <w:spacing w:line="240" w:lineRule="auto"/>
    </w:pPr>
    <w:rPr>
      <w:sz w:val="24"/>
      <w:szCs w:val="24"/>
    </w:rPr>
  </w:style>
  <w:style w:type="character" w:customStyle="1" w:styleId="CommentTextChar">
    <w:name w:val="Comment Text Char"/>
    <w:basedOn w:val="DefaultParagraphFont"/>
    <w:link w:val="CommentText"/>
    <w:uiPriority w:val="99"/>
    <w:semiHidden/>
    <w:rsid w:val="00142856"/>
    <w:rPr>
      <w:sz w:val="24"/>
      <w:szCs w:val="24"/>
    </w:rPr>
  </w:style>
  <w:style w:type="paragraph" w:styleId="CommentSubject">
    <w:name w:val="annotation subject"/>
    <w:basedOn w:val="CommentText"/>
    <w:next w:val="CommentText"/>
    <w:link w:val="CommentSubjectChar"/>
    <w:uiPriority w:val="99"/>
    <w:semiHidden/>
    <w:unhideWhenUsed/>
    <w:rsid w:val="00142856"/>
    <w:rPr>
      <w:b/>
      <w:bCs/>
      <w:sz w:val="20"/>
      <w:szCs w:val="20"/>
    </w:rPr>
  </w:style>
  <w:style w:type="character" w:customStyle="1" w:styleId="CommentSubjectChar">
    <w:name w:val="Comment Subject Char"/>
    <w:basedOn w:val="CommentTextChar"/>
    <w:link w:val="CommentSubject"/>
    <w:uiPriority w:val="99"/>
    <w:semiHidden/>
    <w:rsid w:val="0014285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1887</Words>
  <Characters>10761</Characters>
  <Application>Microsoft Macintosh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Qaqish</dc:creator>
  <cp:keywords/>
  <dc:description/>
  <cp:lastModifiedBy>Lorenzo Del Sorbo</cp:lastModifiedBy>
  <cp:revision>6</cp:revision>
  <dcterms:created xsi:type="dcterms:W3CDTF">2020-02-27T18:43:00Z</dcterms:created>
  <dcterms:modified xsi:type="dcterms:W3CDTF">2020-02-28T10:54:00Z</dcterms:modified>
</cp:coreProperties>
</file>