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17A8D" w14:textId="77777777" w:rsidR="00FA7870" w:rsidRPr="00B368F5" w:rsidRDefault="00FA7870" w:rsidP="00FA7870">
      <w:pPr>
        <w:jc w:val="center"/>
        <w:rPr>
          <w:rFonts w:cs="Arial"/>
          <w:b/>
          <w:bCs/>
          <w:szCs w:val="22"/>
        </w:rPr>
      </w:pPr>
      <w:bookmarkStart w:id="0" w:name="_Hlk178341729"/>
      <w:r w:rsidRPr="00B368F5">
        <w:rPr>
          <w:rFonts w:cs="Arial"/>
          <w:b/>
          <w:bCs/>
          <w:sz w:val="28"/>
          <w:szCs w:val="28"/>
        </w:rPr>
        <w:t>Large-scale Plasma Proteomic Profiling Unveils Novel Diagnostic Biomarkers and Pathways for Alzheimer's Disease</w:t>
      </w:r>
    </w:p>
    <w:bookmarkEnd w:id="0"/>
    <w:p w14:paraId="75F733A8" w14:textId="77777777" w:rsidR="00FA7870" w:rsidRPr="00B368F5" w:rsidRDefault="00FA7870" w:rsidP="00FA7870">
      <w:pPr>
        <w:pStyle w:val="Affilitations"/>
        <w:rPr>
          <w:highlight w:val="yellow"/>
        </w:rPr>
      </w:pPr>
    </w:p>
    <w:p w14:paraId="2785BC54" w14:textId="77777777" w:rsidR="00FA7870" w:rsidRPr="00B368F5" w:rsidRDefault="00FA7870" w:rsidP="00FA7870">
      <w:pPr>
        <w:pStyle w:val="Affilitations"/>
      </w:pPr>
      <w:r w:rsidRPr="00B368F5">
        <w:rPr>
          <w:lang w:eastAsia="zh-CN"/>
        </w:rPr>
        <w:t>Gyujin Heo</w:t>
      </w:r>
      <w:r w:rsidRPr="00B368F5">
        <w:rPr>
          <w:vertAlign w:val="superscript"/>
          <w:lang w:eastAsia="zh-CN"/>
        </w:rPr>
        <w:t>1,2</w:t>
      </w:r>
      <w:r w:rsidRPr="00B368F5">
        <w:rPr>
          <w:lang w:eastAsia="zh-CN"/>
        </w:rPr>
        <w:t xml:space="preserve">*, </w:t>
      </w:r>
      <w:r w:rsidRPr="00B368F5">
        <w:rPr>
          <w:highlight w:val="yellow"/>
          <w:lang w:eastAsia="zh-CN"/>
        </w:rPr>
        <w:t>Ying Xu</w:t>
      </w:r>
      <w:r w:rsidRPr="00B368F5">
        <w:rPr>
          <w:highlight w:val="yellow"/>
          <w:vertAlign w:val="superscript"/>
          <w:lang w:eastAsia="zh-CN"/>
        </w:rPr>
        <w:t>1,2</w:t>
      </w:r>
      <w:r w:rsidRPr="00B368F5">
        <w:rPr>
          <w:highlight w:val="yellow"/>
          <w:lang w:eastAsia="zh-CN"/>
        </w:rPr>
        <w:t>*</w:t>
      </w:r>
      <w:r w:rsidRPr="00B368F5">
        <w:rPr>
          <w:lang w:eastAsia="zh-CN"/>
        </w:rPr>
        <w:t>, Muhammad Ali</w:t>
      </w:r>
      <w:r w:rsidRPr="00B368F5">
        <w:rPr>
          <w:vertAlign w:val="superscript"/>
          <w:lang w:eastAsia="zh-CN"/>
        </w:rPr>
        <w:t>1,2</w:t>
      </w:r>
      <w:r w:rsidRPr="00B368F5">
        <w:rPr>
          <w:lang w:eastAsia="zh-CN"/>
        </w:rPr>
        <w:t>, Hamilton Se-Hwee Oh</w:t>
      </w:r>
      <w:r w:rsidRPr="00B368F5">
        <w:rPr>
          <w:vertAlign w:val="superscript"/>
          <w:lang w:eastAsia="zh-CN"/>
        </w:rPr>
        <w:t>3,4,5</w:t>
      </w:r>
      <w:r w:rsidRPr="00B368F5">
        <w:rPr>
          <w:lang w:eastAsia="zh-CN"/>
        </w:rPr>
        <w:t xml:space="preserve">, </w:t>
      </w:r>
      <w:r w:rsidRPr="00B368F5">
        <w:rPr>
          <w:highlight w:val="yellow"/>
          <w:lang w:eastAsia="zh-CN"/>
        </w:rPr>
        <w:t>Patricia Moran Losada</w:t>
      </w:r>
      <w:r w:rsidRPr="00B368F5">
        <w:rPr>
          <w:highlight w:val="yellow"/>
          <w:vertAlign w:val="superscript"/>
          <w:lang w:eastAsia="zh-CN"/>
        </w:rPr>
        <w:t>4,5,6</w:t>
      </w:r>
      <w:r w:rsidRPr="00B368F5">
        <w:rPr>
          <w:highlight w:val="yellow"/>
          <w:lang w:eastAsia="zh-CN"/>
        </w:rPr>
        <w:t>, Federica Anastasi</w:t>
      </w:r>
      <w:r w:rsidRPr="00B368F5">
        <w:rPr>
          <w:highlight w:val="yellow"/>
          <w:vertAlign w:val="superscript"/>
          <w:lang w:eastAsia="zh-CN"/>
        </w:rPr>
        <w:t>7,8,9</w:t>
      </w:r>
      <w:r w:rsidRPr="00B368F5">
        <w:rPr>
          <w:highlight w:val="yellow"/>
          <w:lang w:eastAsia="zh-CN"/>
        </w:rPr>
        <w:t>, Armand González Escalante</w:t>
      </w:r>
      <w:r w:rsidRPr="00B368F5">
        <w:rPr>
          <w:highlight w:val="yellow"/>
          <w:vertAlign w:val="superscript"/>
          <w:lang w:eastAsia="zh-CN"/>
        </w:rPr>
        <w:t>7,8,10</w:t>
      </w:r>
      <w:r w:rsidRPr="00B368F5">
        <w:rPr>
          <w:highlight w:val="yellow"/>
          <w:lang w:eastAsia="zh-CN"/>
        </w:rPr>
        <w:t>, Raquel Puerta</w:t>
      </w:r>
      <w:r w:rsidRPr="00B368F5">
        <w:rPr>
          <w:highlight w:val="yellow"/>
          <w:vertAlign w:val="superscript"/>
          <w:lang w:eastAsia="zh-CN"/>
        </w:rPr>
        <w:t>11,12</w:t>
      </w:r>
      <w:r w:rsidRPr="00B368F5">
        <w:rPr>
          <w:lang w:eastAsia="zh-CN"/>
        </w:rPr>
        <w:t>, Erming Wang</w:t>
      </w:r>
      <w:r w:rsidRPr="00B368F5">
        <w:rPr>
          <w:vertAlign w:val="superscript"/>
          <w:lang w:eastAsia="zh-CN"/>
        </w:rPr>
        <w:t>13,14</w:t>
      </w:r>
      <w:r w:rsidRPr="00B368F5">
        <w:rPr>
          <w:lang w:eastAsia="zh-CN"/>
        </w:rPr>
        <w:t>, Soomin Song</w:t>
      </w:r>
      <w:r w:rsidRPr="00B368F5">
        <w:rPr>
          <w:vertAlign w:val="superscript"/>
          <w:lang w:eastAsia="zh-CN"/>
        </w:rPr>
        <w:t>1,2</w:t>
      </w:r>
      <w:r w:rsidRPr="00B368F5">
        <w:rPr>
          <w:lang w:eastAsia="zh-CN"/>
        </w:rPr>
        <w:t>, Jigyasha Timsina</w:t>
      </w:r>
      <w:r w:rsidRPr="00B368F5">
        <w:rPr>
          <w:vertAlign w:val="superscript"/>
          <w:lang w:eastAsia="zh-CN"/>
        </w:rPr>
        <w:t>1,2</w:t>
      </w:r>
      <w:r w:rsidRPr="00B368F5">
        <w:rPr>
          <w:lang w:eastAsia="zh-CN"/>
        </w:rPr>
        <w:t>, Menghan Liu</w:t>
      </w:r>
      <w:r w:rsidRPr="00B368F5">
        <w:rPr>
          <w:vertAlign w:val="superscript"/>
          <w:lang w:eastAsia="zh-CN"/>
        </w:rPr>
        <w:t>1,2</w:t>
      </w:r>
      <w:r w:rsidRPr="00B368F5">
        <w:rPr>
          <w:lang w:eastAsia="zh-CN"/>
        </w:rPr>
        <w:t>, Daniel Western</w:t>
      </w:r>
      <w:r w:rsidRPr="00B368F5">
        <w:rPr>
          <w:vertAlign w:val="superscript"/>
          <w:lang w:eastAsia="zh-CN"/>
        </w:rPr>
        <w:t>1,2</w:t>
      </w:r>
      <w:r w:rsidRPr="00B368F5">
        <w:rPr>
          <w:lang w:eastAsia="zh-CN"/>
        </w:rPr>
        <w:t>, Katherine Gong</w:t>
      </w:r>
      <w:r w:rsidRPr="00B368F5">
        <w:rPr>
          <w:vertAlign w:val="superscript"/>
          <w:lang w:eastAsia="zh-CN"/>
        </w:rPr>
        <w:t>1,2</w:t>
      </w:r>
      <w:r w:rsidRPr="00B368F5">
        <w:rPr>
          <w:lang w:eastAsia="zh-CN"/>
        </w:rPr>
        <w:t>, Yike Chen</w:t>
      </w:r>
      <w:r w:rsidRPr="00B368F5">
        <w:rPr>
          <w:vertAlign w:val="superscript"/>
          <w:lang w:eastAsia="zh-CN"/>
        </w:rPr>
        <w:t>1,2</w:t>
      </w:r>
      <w:r w:rsidRPr="00B368F5">
        <w:rPr>
          <w:lang w:eastAsia="zh-CN"/>
        </w:rPr>
        <w:t>, Pat Kohlfeld</w:t>
      </w:r>
      <w:r w:rsidRPr="00B368F5">
        <w:rPr>
          <w:vertAlign w:val="superscript"/>
          <w:lang w:eastAsia="zh-CN"/>
        </w:rPr>
        <w:t>1,2</w:t>
      </w:r>
      <w:r w:rsidRPr="00B368F5">
        <w:rPr>
          <w:lang w:eastAsia="zh-CN"/>
        </w:rPr>
        <w:t>, Allison Flynn</w:t>
      </w:r>
      <w:r w:rsidRPr="00B368F5">
        <w:rPr>
          <w:vertAlign w:val="superscript"/>
          <w:lang w:eastAsia="zh-CN"/>
        </w:rPr>
        <w:t>1,2</w:t>
      </w:r>
      <w:r w:rsidRPr="00B368F5">
        <w:rPr>
          <w:lang w:eastAsia="zh-CN"/>
        </w:rPr>
        <w:t>, Alvin G. Thomas</w:t>
      </w:r>
      <w:r w:rsidRPr="00B368F5">
        <w:rPr>
          <w:vertAlign w:val="superscript"/>
          <w:lang w:eastAsia="zh-CN"/>
        </w:rPr>
        <w:t>1,2</w:t>
      </w:r>
      <w:r w:rsidRPr="00B368F5">
        <w:rPr>
          <w:lang w:eastAsia="zh-CN"/>
        </w:rPr>
        <w:t>, Joseph Lowery</w:t>
      </w:r>
      <w:r w:rsidRPr="00B368F5">
        <w:rPr>
          <w:vertAlign w:val="superscript"/>
          <w:lang w:eastAsia="zh-CN"/>
        </w:rPr>
        <w:t>1,2</w:t>
      </w:r>
      <w:r w:rsidRPr="00B368F5">
        <w:rPr>
          <w:lang w:eastAsia="zh-CN"/>
        </w:rPr>
        <w:t>, John C. Morris</w:t>
      </w:r>
      <w:r w:rsidRPr="00B368F5">
        <w:rPr>
          <w:vertAlign w:val="superscript"/>
          <w:lang w:eastAsia="zh-CN"/>
        </w:rPr>
        <w:t>15</w:t>
      </w:r>
      <w:r w:rsidRPr="00B368F5">
        <w:rPr>
          <w:lang w:eastAsia="zh-CN"/>
        </w:rPr>
        <w:t>, David M. Holtzman</w:t>
      </w:r>
      <w:r w:rsidRPr="00B368F5">
        <w:rPr>
          <w:vertAlign w:val="superscript"/>
          <w:lang w:eastAsia="zh-CN"/>
        </w:rPr>
        <w:t>15,16,17</w:t>
      </w:r>
      <w:r w:rsidRPr="00B368F5">
        <w:rPr>
          <w:lang w:eastAsia="zh-CN"/>
        </w:rPr>
        <w:t>, Joel S. Perlmutter</w:t>
      </w:r>
      <w:r w:rsidRPr="00B368F5">
        <w:rPr>
          <w:vertAlign w:val="superscript"/>
          <w:lang w:eastAsia="zh-CN"/>
        </w:rPr>
        <w:t>18</w:t>
      </w:r>
      <w:r w:rsidRPr="00B368F5">
        <w:rPr>
          <w:lang w:eastAsia="zh-CN"/>
        </w:rPr>
        <w:t>, Suzanne E. Schindler</w:t>
      </w:r>
      <w:r w:rsidRPr="00B368F5">
        <w:rPr>
          <w:vertAlign w:val="superscript"/>
          <w:lang w:eastAsia="zh-CN"/>
        </w:rPr>
        <w:t>15</w:t>
      </w:r>
      <w:r w:rsidRPr="00B368F5">
        <w:rPr>
          <w:lang w:eastAsia="zh-CN"/>
        </w:rPr>
        <w:t xml:space="preserve">, </w:t>
      </w:r>
      <w:r w:rsidRPr="00B368F5">
        <w:rPr>
          <w:highlight w:val="yellow"/>
          <w:lang w:eastAsia="zh-CN"/>
        </w:rPr>
        <w:t>Natalia Vilor-Tejedor</w:t>
      </w:r>
      <w:r w:rsidRPr="00B368F5">
        <w:rPr>
          <w:highlight w:val="yellow"/>
          <w:vertAlign w:val="superscript"/>
          <w:lang w:eastAsia="zh-CN"/>
        </w:rPr>
        <w:t>7,8,9,19</w:t>
      </w:r>
      <w:r w:rsidRPr="00B368F5">
        <w:rPr>
          <w:highlight w:val="yellow"/>
          <w:lang w:eastAsia="zh-CN"/>
        </w:rPr>
        <w:t>, Marc Suárez-Calvet</w:t>
      </w:r>
      <w:r w:rsidRPr="00B368F5">
        <w:rPr>
          <w:highlight w:val="yellow"/>
          <w:vertAlign w:val="superscript"/>
          <w:lang w:eastAsia="zh-CN"/>
        </w:rPr>
        <w:t>7,8,20</w:t>
      </w:r>
      <w:r w:rsidRPr="00B368F5">
        <w:rPr>
          <w:highlight w:val="yellow"/>
          <w:lang w:eastAsia="zh-CN"/>
        </w:rPr>
        <w:t>, Pablo García-González</w:t>
      </w:r>
      <w:r w:rsidRPr="00B368F5">
        <w:rPr>
          <w:highlight w:val="yellow"/>
          <w:vertAlign w:val="superscript"/>
          <w:lang w:eastAsia="zh-CN"/>
        </w:rPr>
        <w:t>11,21</w:t>
      </w:r>
      <w:r w:rsidRPr="00B368F5">
        <w:rPr>
          <w:highlight w:val="yellow"/>
          <w:lang w:eastAsia="zh-CN"/>
        </w:rPr>
        <w:t>, Marta Marquié</w:t>
      </w:r>
      <w:r w:rsidRPr="00B368F5">
        <w:rPr>
          <w:highlight w:val="yellow"/>
          <w:vertAlign w:val="superscript"/>
          <w:lang w:eastAsia="zh-CN"/>
        </w:rPr>
        <w:t>11,21</w:t>
      </w:r>
      <w:r w:rsidRPr="00B368F5">
        <w:rPr>
          <w:highlight w:val="yellow"/>
          <w:lang w:eastAsia="zh-CN"/>
        </w:rPr>
        <w:t>, Maria Victoria Fernández</w:t>
      </w:r>
      <w:r w:rsidRPr="00B368F5">
        <w:rPr>
          <w:highlight w:val="yellow"/>
          <w:vertAlign w:val="superscript"/>
          <w:lang w:eastAsia="zh-CN"/>
        </w:rPr>
        <w:t>11,21</w:t>
      </w:r>
      <w:r w:rsidRPr="00B368F5">
        <w:rPr>
          <w:highlight w:val="yellow"/>
          <w:lang w:eastAsia="zh-CN"/>
        </w:rPr>
        <w:t>, Mercè Boada</w:t>
      </w:r>
      <w:r w:rsidRPr="00B368F5">
        <w:rPr>
          <w:highlight w:val="yellow"/>
          <w:vertAlign w:val="superscript"/>
          <w:lang w:eastAsia="zh-CN"/>
        </w:rPr>
        <w:t>11,21</w:t>
      </w:r>
      <w:r w:rsidRPr="00B368F5">
        <w:rPr>
          <w:highlight w:val="yellow"/>
          <w:lang w:eastAsia="zh-CN"/>
        </w:rPr>
        <w:t>, Amanda Cano</w:t>
      </w:r>
      <w:r w:rsidRPr="00B368F5">
        <w:rPr>
          <w:highlight w:val="yellow"/>
          <w:vertAlign w:val="superscript"/>
          <w:lang w:eastAsia="zh-CN"/>
        </w:rPr>
        <w:t>11,21</w:t>
      </w:r>
      <w:r w:rsidRPr="00B368F5">
        <w:rPr>
          <w:highlight w:val="yellow"/>
          <w:lang w:eastAsia="zh-CN"/>
        </w:rPr>
        <w:t>, Agustín Ruiz</w:t>
      </w:r>
      <w:r w:rsidRPr="00B368F5">
        <w:rPr>
          <w:highlight w:val="yellow"/>
          <w:vertAlign w:val="superscript"/>
          <w:lang w:eastAsia="zh-CN"/>
        </w:rPr>
        <w:t>11,21,22</w:t>
      </w:r>
      <w:r w:rsidRPr="00B368F5">
        <w:rPr>
          <w:lang w:eastAsia="zh-CN"/>
        </w:rPr>
        <w:t>, Bin Zhang</w:t>
      </w:r>
      <w:r w:rsidRPr="00B368F5">
        <w:rPr>
          <w:vertAlign w:val="superscript"/>
          <w:lang w:eastAsia="zh-CN"/>
        </w:rPr>
        <w:t>13,14,23,24,25</w:t>
      </w:r>
      <w:r w:rsidRPr="00B368F5">
        <w:rPr>
          <w:lang w:eastAsia="zh-CN"/>
        </w:rPr>
        <w:t>, David A. Bennett</w:t>
      </w:r>
      <w:r w:rsidRPr="00B368F5">
        <w:rPr>
          <w:vertAlign w:val="superscript"/>
          <w:lang w:eastAsia="zh-CN"/>
        </w:rPr>
        <w:t>26</w:t>
      </w:r>
      <w:r w:rsidRPr="00B368F5">
        <w:rPr>
          <w:lang w:eastAsia="zh-CN"/>
        </w:rPr>
        <w:t>, Tammie Benzinger</w:t>
      </w:r>
      <w:r w:rsidRPr="00B368F5">
        <w:rPr>
          <w:vertAlign w:val="superscript"/>
          <w:lang w:eastAsia="zh-CN"/>
        </w:rPr>
        <w:t>18</w:t>
      </w:r>
      <w:r w:rsidRPr="00B368F5">
        <w:rPr>
          <w:lang w:eastAsia="zh-CN"/>
        </w:rPr>
        <w:t>, Tony Wyss-Coray</w:t>
      </w:r>
      <w:r w:rsidRPr="00B368F5">
        <w:rPr>
          <w:vertAlign w:val="superscript"/>
          <w:lang w:eastAsia="zh-CN"/>
        </w:rPr>
        <w:t>5</w:t>
      </w:r>
      <w:r w:rsidRPr="00B368F5">
        <w:rPr>
          <w:lang w:eastAsia="zh-CN"/>
        </w:rPr>
        <w:t>, Laura Ibanez</w:t>
      </w:r>
      <w:r w:rsidRPr="00B368F5">
        <w:rPr>
          <w:vertAlign w:val="superscript"/>
          <w:lang w:eastAsia="zh-CN"/>
        </w:rPr>
        <w:t>1,2,15</w:t>
      </w:r>
      <w:r w:rsidRPr="00B368F5">
        <w:rPr>
          <w:lang w:eastAsia="zh-CN"/>
        </w:rPr>
        <w:t>, Yun Ju Sung</w:t>
      </w:r>
      <w:r w:rsidRPr="00B368F5">
        <w:rPr>
          <w:vertAlign w:val="superscript"/>
          <w:lang w:eastAsia="zh-CN"/>
        </w:rPr>
        <w:t>1,2,27</w:t>
      </w:r>
      <w:r w:rsidRPr="00B368F5">
        <w:rPr>
          <w:lang w:eastAsia="zh-CN"/>
        </w:rPr>
        <w:t>, Carlos Cruchaga</w:t>
      </w:r>
      <w:r w:rsidRPr="00B368F5">
        <w:rPr>
          <w:vertAlign w:val="superscript"/>
          <w:lang w:eastAsia="zh-CN"/>
        </w:rPr>
        <w:t>1,2,15,16,17</w:t>
      </w:r>
    </w:p>
    <w:p w14:paraId="5096A593" w14:textId="77777777" w:rsidR="00FA7870" w:rsidRPr="00B368F5" w:rsidRDefault="00FA7870" w:rsidP="00FA7870">
      <w:pPr>
        <w:pStyle w:val="Affilitations"/>
      </w:pPr>
    </w:p>
    <w:p w14:paraId="3E5AE80C" w14:textId="77777777" w:rsidR="00FA7870" w:rsidRPr="00B368F5" w:rsidRDefault="00FA7870" w:rsidP="00FA7870">
      <w:pPr>
        <w:pStyle w:val="Affilitations"/>
      </w:pPr>
      <w:r w:rsidRPr="00B368F5">
        <w:t>* These authors contributed equally</w:t>
      </w:r>
    </w:p>
    <w:p w14:paraId="4084E090" w14:textId="77777777" w:rsidR="00FA7870" w:rsidRPr="00B368F5" w:rsidRDefault="00FA7870" w:rsidP="00FA7870">
      <w:pPr>
        <w:pStyle w:val="Affilitations"/>
      </w:pPr>
    </w:p>
    <w:p w14:paraId="44A7C3BD" w14:textId="77777777" w:rsidR="00FA7870" w:rsidRPr="00B368F5" w:rsidRDefault="00FA7870" w:rsidP="00FA7870">
      <w:pPr>
        <w:pStyle w:val="Affilitations"/>
        <w:rPr>
          <w:sz w:val="20"/>
          <w:szCs w:val="20"/>
        </w:rPr>
      </w:pPr>
      <w:r w:rsidRPr="00B368F5">
        <w:rPr>
          <w:sz w:val="20"/>
          <w:szCs w:val="20"/>
        </w:rPr>
        <w:t xml:space="preserve">Author Affiliations: </w:t>
      </w:r>
    </w:p>
    <w:p w14:paraId="730CF1D0" w14:textId="77777777" w:rsidR="00FA7870" w:rsidRPr="00B368F5" w:rsidRDefault="00FA7870" w:rsidP="00FA7870">
      <w:pPr>
        <w:pStyle w:val="Affilitations"/>
        <w:rPr>
          <w:sz w:val="20"/>
          <w:szCs w:val="20"/>
        </w:rPr>
      </w:pPr>
      <w:r w:rsidRPr="00B368F5">
        <w:rPr>
          <w:sz w:val="20"/>
          <w:szCs w:val="20"/>
          <w:vertAlign w:val="superscript"/>
        </w:rPr>
        <w:t>1</w:t>
      </w:r>
      <w:r w:rsidRPr="00B368F5">
        <w:rPr>
          <w:sz w:val="20"/>
          <w:szCs w:val="20"/>
        </w:rPr>
        <w:t>Department of Psychiatry, Washington University School of Medicine, St. Louis, MO, USA.</w:t>
      </w:r>
    </w:p>
    <w:p w14:paraId="52A5B5B1" w14:textId="77777777" w:rsidR="00FA7870" w:rsidRPr="00B368F5" w:rsidRDefault="00FA7870" w:rsidP="00FA7870">
      <w:pPr>
        <w:pStyle w:val="Affilitations"/>
        <w:rPr>
          <w:sz w:val="20"/>
          <w:szCs w:val="20"/>
        </w:rPr>
      </w:pPr>
      <w:r w:rsidRPr="00B368F5">
        <w:rPr>
          <w:sz w:val="20"/>
          <w:szCs w:val="20"/>
          <w:vertAlign w:val="superscript"/>
        </w:rPr>
        <w:t>2</w:t>
      </w:r>
      <w:r w:rsidRPr="00B368F5">
        <w:rPr>
          <w:sz w:val="20"/>
          <w:szCs w:val="20"/>
        </w:rPr>
        <w:t>NeuroGenomics and Informatics Center, Washington University, St. Louis, MO, USA.</w:t>
      </w:r>
    </w:p>
    <w:p w14:paraId="3A382E54" w14:textId="77777777" w:rsidR="00FA7870" w:rsidRPr="00B368F5" w:rsidRDefault="00FA7870" w:rsidP="00FA7870">
      <w:pPr>
        <w:pStyle w:val="Affilitations"/>
        <w:rPr>
          <w:sz w:val="20"/>
          <w:szCs w:val="20"/>
        </w:rPr>
      </w:pPr>
      <w:r w:rsidRPr="00B368F5">
        <w:rPr>
          <w:sz w:val="20"/>
          <w:szCs w:val="20"/>
          <w:vertAlign w:val="superscript"/>
        </w:rPr>
        <w:t>3</w:t>
      </w:r>
      <w:r w:rsidRPr="00B368F5">
        <w:rPr>
          <w:sz w:val="20"/>
          <w:szCs w:val="20"/>
        </w:rPr>
        <w:t xml:space="preserve">Graduate Program in Stem Cell and Regenerative Medicine, Stanford University, Stanford, CA, USA. </w:t>
      </w:r>
    </w:p>
    <w:p w14:paraId="18561CFE" w14:textId="77777777" w:rsidR="00FA7870" w:rsidRPr="00B368F5" w:rsidRDefault="00FA7870" w:rsidP="00FA7870">
      <w:pPr>
        <w:pStyle w:val="Affilitations"/>
        <w:rPr>
          <w:sz w:val="20"/>
          <w:szCs w:val="20"/>
        </w:rPr>
      </w:pPr>
      <w:r w:rsidRPr="00B368F5">
        <w:rPr>
          <w:sz w:val="20"/>
          <w:szCs w:val="20"/>
          <w:vertAlign w:val="superscript"/>
        </w:rPr>
        <w:t>4</w:t>
      </w:r>
      <w:r w:rsidRPr="00B368F5">
        <w:rPr>
          <w:sz w:val="20"/>
          <w:szCs w:val="20"/>
        </w:rPr>
        <w:t>The Phil and Penny Knight Initiative for Brain Resilience, Stanford University, Stanford, CA, USA.</w:t>
      </w:r>
    </w:p>
    <w:p w14:paraId="3AA2F2E6" w14:textId="77777777" w:rsidR="00FA7870" w:rsidRPr="00B368F5" w:rsidRDefault="00FA7870" w:rsidP="00FA7870">
      <w:pPr>
        <w:pStyle w:val="Affilitations"/>
        <w:rPr>
          <w:sz w:val="20"/>
          <w:szCs w:val="20"/>
        </w:rPr>
      </w:pPr>
      <w:r w:rsidRPr="00B368F5">
        <w:rPr>
          <w:sz w:val="20"/>
          <w:szCs w:val="20"/>
          <w:vertAlign w:val="superscript"/>
        </w:rPr>
        <w:t>5</w:t>
      </w:r>
      <w:r w:rsidRPr="00B368F5">
        <w:rPr>
          <w:sz w:val="20"/>
          <w:szCs w:val="20"/>
        </w:rPr>
        <w:t>Wu Tsai Neurosciences Institute, Stanford University, Stanford, CA, USA.</w:t>
      </w:r>
    </w:p>
    <w:p w14:paraId="184D24FE" w14:textId="77777777" w:rsidR="00FA7870" w:rsidRPr="00B368F5" w:rsidRDefault="00FA7870" w:rsidP="00FA7870">
      <w:pPr>
        <w:pStyle w:val="Affilitations"/>
        <w:rPr>
          <w:sz w:val="20"/>
          <w:szCs w:val="20"/>
        </w:rPr>
      </w:pPr>
      <w:r w:rsidRPr="00B368F5">
        <w:rPr>
          <w:sz w:val="20"/>
          <w:szCs w:val="20"/>
          <w:vertAlign w:val="superscript"/>
        </w:rPr>
        <w:t>6</w:t>
      </w:r>
      <w:r w:rsidRPr="00B368F5">
        <w:rPr>
          <w:sz w:val="20"/>
          <w:szCs w:val="20"/>
        </w:rPr>
        <w:t>Department of Neurology and Neurological Sciences, Stanford University School of Medicine, Stanford, CA, USA.</w:t>
      </w:r>
    </w:p>
    <w:p w14:paraId="6290EA08" w14:textId="77777777" w:rsidR="00FA7870" w:rsidRPr="00B368F5" w:rsidRDefault="00FA7870" w:rsidP="00FA7870">
      <w:pPr>
        <w:pStyle w:val="Affilitations"/>
        <w:rPr>
          <w:sz w:val="20"/>
          <w:szCs w:val="20"/>
        </w:rPr>
      </w:pPr>
      <w:r w:rsidRPr="00B368F5">
        <w:rPr>
          <w:sz w:val="20"/>
          <w:szCs w:val="20"/>
          <w:vertAlign w:val="superscript"/>
        </w:rPr>
        <w:t>7</w:t>
      </w:r>
      <w:r w:rsidRPr="00B368F5">
        <w:rPr>
          <w:sz w:val="20"/>
          <w:szCs w:val="20"/>
        </w:rPr>
        <w:t>Barcelonaβeta Brain Research Center (BBRC), Pasqual Maragall Foundation, Barcelona, Spain.</w:t>
      </w:r>
    </w:p>
    <w:p w14:paraId="6C6F12DD" w14:textId="77777777" w:rsidR="00FA7870" w:rsidRPr="001416EE" w:rsidRDefault="00FA7870" w:rsidP="00FA7870">
      <w:pPr>
        <w:pStyle w:val="Affilitations"/>
        <w:rPr>
          <w:sz w:val="20"/>
          <w:szCs w:val="20"/>
          <w:lang w:val="es-ES"/>
        </w:rPr>
      </w:pPr>
      <w:r w:rsidRPr="001416EE">
        <w:rPr>
          <w:sz w:val="20"/>
          <w:szCs w:val="20"/>
          <w:vertAlign w:val="superscript"/>
          <w:lang w:val="es-ES"/>
        </w:rPr>
        <w:t>8</w:t>
      </w:r>
      <w:r w:rsidRPr="001416EE">
        <w:rPr>
          <w:sz w:val="20"/>
          <w:szCs w:val="20"/>
          <w:lang w:val="es-ES"/>
        </w:rPr>
        <w:t>Hospital del Mar Research Institute, Barcelona, Spain.</w:t>
      </w:r>
    </w:p>
    <w:p w14:paraId="7C339FF1" w14:textId="77777777" w:rsidR="00FA7870" w:rsidRPr="00B368F5" w:rsidRDefault="00FA7870" w:rsidP="00FA7870">
      <w:pPr>
        <w:pStyle w:val="Affilitations"/>
        <w:rPr>
          <w:sz w:val="20"/>
          <w:szCs w:val="20"/>
        </w:rPr>
      </w:pPr>
      <w:r w:rsidRPr="00B368F5">
        <w:rPr>
          <w:sz w:val="20"/>
          <w:szCs w:val="20"/>
          <w:vertAlign w:val="superscript"/>
        </w:rPr>
        <w:t>9</w:t>
      </w:r>
      <w:r w:rsidRPr="00B368F5">
        <w:rPr>
          <w:sz w:val="20"/>
          <w:szCs w:val="20"/>
        </w:rPr>
        <w:t>Centre for Genomic Regulation (CRG), Barcelona Institute of Science and Technology (BIST), Barcelona, Spain.</w:t>
      </w:r>
    </w:p>
    <w:p w14:paraId="638BE3E6" w14:textId="77777777" w:rsidR="00FA7870" w:rsidRPr="00B368F5" w:rsidRDefault="00FA7870" w:rsidP="00FA7870">
      <w:pPr>
        <w:pStyle w:val="Affilitations"/>
        <w:rPr>
          <w:sz w:val="20"/>
          <w:szCs w:val="20"/>
        </w:rPr>
      </w:pPr>
      <w:r w:rsidRPr="00B368F5">
        <w:rPr>
          <w:sz w:val="20"/>
          <w:szCs w:val="20"/>
          <w:vertAlign w:val="superscript"/>
        </w:rPr>
        <w:t>10</w:t>
      </w:r>
      <w:r w:rsidRPr="00B368F5">
        <w:rPr>
          <w:sz w:val="20"/>
          <w:szCs w:val="20"/>
        </w:rPr>
        <w:t>Department of Medicine and Life Sciences, Universitat Pompeu Fabra, Barcelona, Spain.</w:t>
      </w:r>
    </w:p>
    <w:p w14:paraId="08B2D86F" w14:textId="77777777" w:rsidR="00FA7870" w:rsidRPr="001416EE" w:rsidRDefault="00FA7870" w:rsidP="00FA7870">
      <w:pPr>
        <w:pStyle w:val="Affilitations"/>
        <w:rPr>
          <w:sz w:val="20"/>
          <w:szCs w:val="20"/>
          <w:lang w:val="es-ES"/>
        </w:rPr>
      </w:pPr>
      <w:r w:rsidRPr="001416EE">
        <w:rPr>
          <w:sz w:val="20"/>
          <w:szCs w:val="20"/>
          <w:vertAlign w:val="superscript"/>
          <w:lang w:val="es-ES"/>
        </w:rPr>
        <w:t>11</w:t>
      </w:r>
      <w:r w:rsidRPr="001416EE">
        <w:rPr>
          <w:sz w:val="20"/>
          <w:szCs w:val="20"/>
          <w:lang w:val="es-ES"/>
        </w:rPr>
        <w:t>Ace Alzheimer Center Barcelona, Universitat Internacional de Catalunya, Barcelona, Spain.</w:t>
      </w:r>
    </w:p>
    <w:p w14:paraId="5025C0B0" w14:textId="77777777" w:rsidR="00FA7870" w:rsidRPr="00B368F5" w:rsidRDefault="00FA7870" w:rsidP="00FA7870">
      <w:pPr>
        <w:pStyle w:val="Affilitations"/>
        <w:rPr>
          <w:sz w:val="20"/>
          <w:szCs w:val="20"/>
        </w:rPr>
      </w:pPr>
      <w:r w:rsidRPr="00B368F5">
        <w:rPr>
          <w:sz w:val="20"/>
          <w:szCs w:val="20"/>
          <w:vertAlign w:val="superscript"/>
        </w:rPr>
        <w:t>12</w:t>
      </w:r>
      <w:r w:rsidRPr="00B368F5">
        <w:rPr>
          <w:sz w:val="20"/>
          <w:szCs w:val="20"/>
        </w:rPr>
        <w:t>PhD Program in Biotecnology, Faculty of Pharmacy and Food Sciences, University of Barcelona, Barcelona, Spain.</w:t>
      </w:r>
    </w:p>
    <w:p w14:paraId="535DF9C7" w14:textId="77777777" w:rsidR="00FA7870" w:rsidRPr="00B368F5" w:rsidRDefault="00FA7870" w:rsidP="00FA7870">
      <w:pPr>
        <w:pStyle w:val="Affilitations"/>
        <w:rPr>
          <w:sz w:val="20"/>
          <w:szCs w:val="20"/>
        </w:rPr>
      </w:pPr>
      <w:r w:rsidRPr="00B368F5">
        <w:rPr>
          <w:sz w:val="20"/>
          <w:szCs w:val="20"/>
          <w:vertAlign w:val="superscript"/>
        </w:rPr>
        <w:t>13</w:t>
      </w:r>
      <w:r w:rsidRPr="00B368F5">
        <w:rPr>
          <w:sz w:val="20"/>
          <w:szCs w:val="20"/>
        </w:rPr>
        <w:t>Department of Genetics and Genomic Sciences, Icahn School of Medicine at Mount Sinai, New York, NY, USA.</w:t>
      </w:r>
    </w:p>
    <w:p w14:paraId="574418F7" w14:textId="77777777" w:rsidR="00FA7870" w:rsidRPr="00B368F5" w:rsidRDefault="00FA7870" w:rsidP="00FA7870">
      <w:pPr>
        <w:pStyle w:val="Affilitations"/>
        <w:rPr>
          <w:sz w:val="20"/>
          <w:szCs w:val="20"/>
        </w:rPr>
      </w:pPr>
      <w:r w:rsidRPr="00B368F5">
        <w:rPr>
          <w:sz w:val="20"/>
          <w:szCs w:val="20"/>
          <w:vertAlign w:val="superscript"/>
        </w:rPr>
        <w:t>14</w:t>
      </w:r>
      <w:r w:rsidRPr="00B368F5">
        <w:rPr>
          <w:sz w:val="20"/>
          <w:szCs w:val="20"/>
        </w:rPr>
        <w:t>Mount Sinai Center for Transformative Disease Modeling, Icahn School of Medicine at Mount Sinai, New York, NY, USA.</w:t>
      </w:r>
    </w:p>
    <w:p w14:paraId="6A7E951E" w14:textId="77777777" w:rsidR="00FA7870" w:rsidRPr="00B368F5" w:rsidRDefault="00FA7870" w:rsidP="00FA7870">
      <w:pPr>
        <w:pStyle w:val="Affilitations"/>
        <w:rPr>
          <w:sz w:val="20"/>
          <w:szCs w:val="20"/>
        </w:rPr>
      </w:pPr>
      <w:r w:rsidRPr="00B368F5">
        <w:rPr>
          <w:sz w:val="20"/>
          <w:szCs w:val="20"/>
          <w:vertAlign w:val="superscript"/>
        </w:rPr>
        <w:t>15</w:t>
      </w:r>
      <w:r w:rsidRPr="00B368F5">
        <w:rPr>
          <w:sz w:val="20"/>
          <w:szCs w:val="20"/>
        </w:rPr>
        <w:t>Department of Neurology, Washington University School of Medicine, St. Louis, MO, USA.</w:t>
      </w:r>
    </w:p>
    <w:p w14:paraId="152B947D" w14:textId="77777777" w:rsidR="00FA7870" w:rsidRPr="00B368F5" w:rsidRDefault="00FA7870" w:rsidP="00FA7870">
      <w:pPr>
        <w:pStyle w:val="Affilitations"/>
        <w:rPr>
          <w:sz w:val="20"/>
          <w:szCs w:val="20"/>
        </w:rPr>
      </w:pPr>
      <w:r w:rsidRPr="00B368F5">
        <w:rPr>
          <w:sz w:val="20"/>
          <w:szCs w:val="20"/>
          <w:vertAlign w:val="superscript"/>
        </w:rPr>
        <w:t>16</w:t>
      </w:r>
      <w:r w:rsidRPr="00B368F5">
        <w:rPr>
          <w:sz w:val="20"/>
          <w:szCs w:val="20"/>
        </w:rPr>
        <w:t>Hope Center for Neurologic Diseases, Washington University, St. Louis, MO, USA.</w:t>
      </w:r>
    </w:p>
    <w:p w14:paraId="43EC4B2A" w14:textId="77777777" w:rsidR="00FA7870" w:rsidRPr="00B368F5" w:rsidRDefault="00FA7870" w:rsidP="00FA7870">
      <w:pPr>
        <w:pStyle w:val="Affilitations"/>
        <w:rPr>
          <w:sz w:val="20"/>
          <w:szCs w:val="20"/>
        </w:rPr>
      </w:pPr>
      <w:r w:rsidRPr="00B368F5">
        <w:rPr>
          <w:sz w:val="20"/>
          <w:szCs w:val="20"/>
          <w:vertAlign w:val="superscript"/>
        </w:rPr>
        <w:t>17</w:t>
      </w:r>
      <w:r w:rsidRPr="00B368F5">
        <w:rPr>
          <w:sz w:val="20"/>
          <w:szCs w:val="20"/>
        </w:rPr>
        <w:t>Knight Alzheimer's Disease Research Center, Washington University, St. Louis, MO, USA.</w:t>
      </w:r>
    </w:p>
    <w:p w14:paraId="5B0C563C" w14:textId="77777777" w:rsidR="00FA7870" w:rsidRPr="00B368F5" w:rsidRDefault="00FA7870" w:rsidP="00FA7870">
      <w:pPr>
        <w:pStyle w:val="Affilitations"/>
        <w:rPr>
          <w:sz w:val="20"/>
          <w:szCs w:val="20"/>
        </w:rPr>
      </w:pPr>
      <w:r w:rsidRPr="00B368F5">
        <w:rPr>
          <w:sz w:val="20"/>
          <w:szCs w:val="20"/>
          <w:vertAlign w:val="superscript"/>
        </w:rPr>
        <w:t>18</w:t>
      </w:r>
      <w:r w:rsidRPr="00B368F5">
        <w:rPr>
          <w:sz w:val="20"/>
          <w:szCs w:val="20"/>
        </w:rPr>
        <w:t>Department of Radiology, Washington University School of Medicine, St. Louis, MO, USA.</w:t>
      </w:r>
    </w:p>
    <w:p w14:paraId="03551CAF" w14:textId="77777777" w:rsidR="00FA7870" w:rsidRPr="00B368F5" w:rsidRDefault="00FA7870" w:rsidP="00FA7870">
      <w:pPr>
        <w:pStyle w:val="Affilitations"/>
        <w:rPr>
          <w:sz w:val="20"/>
          <w:szCs w:val="20"/>
        </w:rPr>
      </w:pPr>
      <w:r w:rsidRPr="00B368F5">
        <w:rPr>
          <w:sz w:val="20"/>
          <w:szCs w:val="20"/>
          <w:vertAlign w:val="superscript"/>
        </w:rPr>
        <w:t>19</w:t>
      </w:r>
      <w:r w:rsidRPr="00B368F5">
        <w:rPr>
          <w:sz w:val="20"/>
          <w:szCs w:val="20"/>
        </w:rPr>
        <w:t>Department of Genetics, Radboud UMC, Nijmegen, Netherlands.</w:t>
      </w:r>
    </w:p>
    <w:p w14:paraId="733A13BA" w14:textId="77777777" w:rsidR="00FA7870" w:rsidRPr="001416EE" w:rsidRDefault="00FA7870" w:rsidP="00FA7870">
      <w:pPr>
        <w:pStyle w:val="Affilitations"/>
        <w:rPr>
          <w:sz w:val="20"/>
          <w:szCs w:val="20"/>
          <w:lang w:val="es-ES"/>
        </w:rPr>
      </w:pPr>
      <w:r w:rsidRPr="001416EE">
        <w:rPr>
          <w:sz w:val="20"/>
          <w:szCs w:val="20"/>
          <w:vertAlign w:val="superscript"/>
          <w:lang w:val="es-ES"/>
        </w:rPr>
        <w:t>20</w:t>
      </w:r>
      <w:r w:rsidRPr="001416EE">
        <w:rPr>
          <w:sz w:val="20"/>
          <w:szCs w:val="20"/>
          <w:lang w:val="es-ES"/>
        </w:rPr>
        <w:t>Servei de Neurologia, Hospital del Mar, Barcelona.</w:t>
      </w:r>
    </w:p>
    <w:p w14:paraId="1613C295" w14:textId="77777777" w:rsidR="00FA7870" w:rsidRPr="00B368F5" w:rsidRDefault="00FA7870" w:rsidP="00FA7870">
      <w:pPr>
        <w:pStyle w:val="Affilitations"/>
        <w:rPr>
          <w:sz w:val="20"/>
          <w:szCs w:val="20"/>
        </w:rPr>
      </w:pPr>
      <w:r w:rsidRPr="00B368F5">
        <w:rPr>
          <w:sz w:val="20"/>
          <w:szCs w:val="20"/>
          <w:vertAlign w:val="superscript"/>
        </w:rPr>
        <w:t>21</w:t>
      </w:r>
      <w:r w:rsidRPr="00B368F5">
        <w:rPr>
          <w:sz w:val="20"/>
          <w:szCs w:val="20"/>
        </w:rPr>
        <w:t>Biomedical Research Networking Centre in Neurodegenerative Diseases (CIBERNED), National Institute of Health Carlos III, Madrid, Spain.</w:t>
      </w:r>
    </w:p>
    <w:p w14:paraId="0F1C89DA" w14:textId="77777777" w:rsidR="00FA7870" w:rsidRPr="00B368F5" w:rsidRDefault="00FA7870" w:rsidP="00FA7870">
      <w:pPr>
        <w:pStyle w:val="Affilitations"/>
        <w:rPr>
          <w:sz w:val="20"/>
          <w:szCs w:val="20"/>
        </w:rPr>
      </w:pPr>
      <w:r w:rsidRPr="00B368F5">
        <w:rPr>
          <w:sz w:val="20"/>
          <w:szCs w:val="20"/>
          <w:vertAlign w:val="superscript"/>
        </w:rPr>
        <w:t>22</w:t>
      </w:r>
      <w:r w:rsidRPr="00B368F5">
        <w:rPr>
          <w:sz w:val="20"/>
          <w:szCs w:val="20"/>
        </w:rPr>
        <w:t>Glenn Biggs Institute for Alzheimer’s &amp; Neurodegenerative Diseases, University of Texas Health Science Center, San Antonio, TX, USA.</w:t>
      </w:r>
    </w:p>
    <w:p w14:paraId="54E11AC1" w14:textId="77777777" w:rsidR="00FA7870" w:rsidRPr="00B368F5" w:rsidRDefault="00FA7870" w:rsidP="00FA7870">
      <w:pPr>
        <w:pStyle w:val="Affilitations"/>
        <w:rPr>
          <w:sz w:val="20"/>
          <w:szCs w:val="20"/>
        </w:rPr>
      </w:pPr>
      <w:r w:rsidRPr="00B368F5">
        <w:rPr>
          <w:sz w:val="20"/>
          <w:szCs w:val="20"/>
          <w:vertAlign w:val="superscript"/>
        </w:rPr>
        <w:t>23</w:t>
      </w:r>
      <w:r w:rsidRPr="00B368F5">
        <w:rPr>
          <w:sz w:val="20"/>
          <w:szCs w:val="20"/>
        </w:rPr>
        <w:t>Department of Pharmacological Sciences, Icahn School of Medicine at Mount Sinai, New York, NY, USA.</w:t>
      </w:r>
    </w:p>
    <w:p w14:paraId="5ACC3E8B" w14:textId="77777777" w:rsidR="00FA7870" w:rsidRPr="00B368F5" w:rsidRDefault="00FA7870" w:rsidP="00FA7870">
      <w:pPr>
        <w:pStyle w:val="Affilitations"/>
        <w:rPr>
          <w:sz w:val="20"/>
          <w:szCs w:val="20"/>
        </w:rPr>
      </w:pPr>
      <w:r w:rsidRPr="00B368F5">
        <w:rPr>
          <w:sz w:val="20"/>
          <w:szCs w:val="20"/>
          <w:vertAlign w:val="superscript"/>
        </w:rPr>
        <w:t>24</w:t>
      </w:r>
      <w:r w:rsidRPr="00B368F5">
        <w:rPr>
          <w:sz w:val="20"/>
          <w:szCs w:val="20"/>
        </w:rPr>
        <w:t>Department of Artificial Intelligence and Human Health, Icahn School of Medicine at Mount Sinai, New York, NY, USA.</w:t>
      </w:r>
    </w:p>
    <w:p w14:paraId="688851EE" w14:textId="77777777" w:rsidR="00FA7870" w:rsidRPr="00B368F5" w:rsidRDefault="00FA7870" w:rsidP="00FA7870">
      <w:pPr>
        <w:pStyle w:val="Affilitations"/>
        <w:rPr>
          <w:sz w:val="20"/>
          <w:szCs w:val="20"/>
        </w:rPr>
      </w:pPr>
      <w:r w:rsidRPr="00B368F5">
        <w:rPr>
          <w:sz w:val="20"/>
          <w:szCs w:val="20"/>
          <w:vertAlign w:val="superscript"/>
        </w:rPr>
        <w:t>25</w:t>
      </w:r>
      <w:r w:rsidRPr="00B368F5">
        <w:rPr>
          <w:sz w:val="20"/>
          <w:szCs w:val="20"/>
        </w:rPr>
        <w:t>Icahn Genomics Institute, Icahn School of Medicine at Mount Sinai, New York, NY, USA.</w:t>
      </w:r>
    </w:p>
    <w:p w14:paraId="50BC05D4" w14:textId="77777777" w:rsidR="00FA7870" w:rsidRPr="00B368F5" w:rsidRDefault="00FA7870" w:rsidP="00FA7870">
      <w:pPr>
        <w:pStyle w:val="Affilitations"/>
        <w:rPr>
          <w:sz w:val="20"/>
          <w:szCs w:val="20"/>
        </w:rPr>
      </w:pPr>
      <w:r w:rsidRPr="00B368F5">
        <w:rPr>
          <w:sz w:val="20"/>
          <w:szCs w:val="20"/>
          <w:vertAlign w:val="superscript"/>
        </w:rPr>
        <w:t>26</w:t>
      </w:r>
      <w:r w:rsidRPr="00B368F5">
        <w:rPr>
          <w:sz w:val="20"/>
          <w:szCs w:val="20"/>
        </w:rPr>
        <w:t>Rush Alzheimer’s Disease Center, Rush University Medical Center, Chicago, IL, USA.</w:t>
      </w:r>
    </w:p>
    <w:p w14:paraId="58388535" w14:textId="77777777" w:rsidR="00FA7870" w:rsidRPr="00B368F5" w:rsidRDefault="00FA7870" w:rsidP="00FA7870">
      <w:pPr>
        <w:pStyle w:val="Affilitations"/>
        <w:rPr>
          <w:sz w:val="20"/>
          <w:szCs w:val="20"/>
        </w:rPr>
      </w:pPr>
      <w:r w:rsidRPr="00B368F5">
        <w:rPr>
          <w:sz w:val="20"/>
          <w:szCs w:val="20"/>
          <w:vertAlign w:val="superscript"/>
        </w:rPr>
        <w:t>27</w:t>
      </w:r>
      <w:r w:rsidRPr="00B368F5">
        <w:rPr>
          <w:sz w:val="20"/>
          <w:szCs w:val="20"/>
        </w:rPr>
        <w:t>Division of Biostatistics, Washington University School of Medicine, St. Louis, MO, USA.</w:t>
      </w:r>
    </w:p>
    <w:p w14:paraId="36C6D09A" w14:textId="10142F9D" w:rsidR="0053288C" w:rsidRPr="00FA7870" w:rsidRDefault="00FA7870" w:rsidP="00FA7870">
      <w:pPr>
        <w:pStyle w:val="Affilitations"/>
        <w:rPr>
          <w:rFonts w:eastAsia="DengXian"/>
          <w:b/>
          <w:bCs/>
          <w:lang w:eastAsia="zh-CN"/>
        </w:rPr>
      </w:pPr>
      <w:r w:rsidRPr="00B368F5">
        <w:rPr>
          <w:b/>
          <w:bCs/>
        </w:rPr>
        <w:br w:type="page"/>
      </w:r>
    </w:p>
    <w:p w14:paraId="5828404B" w14:textId="77777777" w:rsidR="0053288C" w:rsidRDefault="0053288C" w:rsidP="0053288C">
      <w:pPr>
        <w:pStyle w:val="Affilitations"/>
      </w:pPr>
    </w:p>
    <w:p w14:paraId="30EA825E" w14:textId="3E92D980" w:rsidR="00AF13D1" w:rsidRPr="00E9797F" w:rsidRDefault="00590260" w:rsidP="00E9797F">
      <w:pPr>
        <w:spacing w:after="0" w:line="240" w:lineRule="auto"/>
        <w:rPr>
          <w:rFonts w:cs="Arial"/>
          <w:sz w:val="18"/>
          <w:szCs w:val="18"/>
        </w:rPr>
      </w:pPr>
      <w:r w:rsidRPr="00E9797F">
        <w:rPr>
          <w:rFonts w:cs="Arial"/>
          <w:noProof/>
          <w:sz w:val="18"/>
          <w:szCs w:val="18"/>
        </w:rPr>
        <w:drawing>
          <wp:inline distT="0" distB="0" distL="0" distR="0" wp14:anchorId="22AEC91C" wp14:editId="7E7529B8">
            <wp:extent cx="5943600" cy="5221605"/>
            <wp:effectExtent l="0" t="0" r="0" b="0"/>
            <wp:docPr id="1264448342" name="Picture 1" descr="A diagram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8342" name="Picture 1" descr="A diagram of a number of patient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221605"/>
                    </a:xfrm>
                    <a:prstGeom prst="rect">
                      <a:avLst/>
                    </a:prstGeom>
                  </pic:spPr>
                </pic:pic>
              </a:graphicData>
            </a:graphic>
          </wp:inline>
        </w:drawing>
      </w:r>
    </w:p>
    <w:p w14:paraId="05996A81" w14:textId="77777777" w:rsidR="00AF13D1" w:rsidRPr="00E9797F" w:rsidRDefault="00AF13D1" w:rsidP="00E9797F">
      <w:pPr>
        <w:spacing w:after="0" w:line="240" w:lineRule="auto"/>
        <w:rPr>
          <w:rFonts w:cs="Arial"/>
          <w:sz w:val="18"/>
          <w:szCs w:val="18"/>
        </w:rPr>
      </w:pPr>
    </w:p>
    <w:p w14:paraId="03A349E4" w14:textId="3330C4D4" w:rsidR="00F83D2D" w:rsidRPr="00E9797F" w:rsidRDefault="00AF13D1" w:rsidP="00E9797F">
      <w:pPr>
        <w:spacing w:after="0" w:line="240" w:lineRule="auto"/>
        <w:rPr>
          <w:rFonts w:eastAsia="DengXian"/>
          <w:sz w:val="18"/>
          <w:szCs w:val="18"/>
          <w:lang w:eastAsia="zh-CN"/>
        </w:rPr>
      </w:pPr>
      <w:r w:rsidRPr="00E9797F">
        <w:rPr>
          <w:rFonts w:cs="Arial"/>
          <w:b/>
          <w:bCs/>
          <w:sz w:val="18"/>
          <w:szCs w:val="18"/>
        </w:rPr>
        <w:t xml:space="preserve">Supplementary Figure 1. </w:t>
      </w:r>
      <w:r w:rsidR="00894A72" w:rsidRPr="00E9797F">
        <w:rPr>
          <w:rFonts w:cs="Arial"/>
          <w:b/>
          <w:bCs/>
          <w:sz w:val="18"/>
          <w:szCs w:val="18"/>
        </w:rPr>
        <w:t>Correlation between proteins and AD-related phenotypes</w:t>
      </w:r>
      <w:r w:rsidR="00357C63">
        <w:rPr>
          <w:rFonts w:cs="Arial"/>
          <w:b/>
          <w:bCs/>
          <w:sz w:val="18"/>
          <w:szCs w:val="18"/>
        </w:rPr>
        <w:t xml:space="preserve">. </w:t>
      </w:r>
      <w:r w:rsidR="00A60D03" w:rsidRPr="00E9797F">
        <w:rPr>
          <w:sz w:val="18"/>
          <w:szCs w:val="18"/>
        </w:rPr>
        <w:t xml:space="preserve">Heatmap showing correlations between </w:t>
      </w:r>
      <w:r w:rsidR="00A60D03" w:rsidRPr="00E9797F">
        <w:rPr>
          <w:rFonts w:hint="eastAsia"/>
          <w:sz w:val="18"/>
          <w:szCs w:val="18"/>
        </w:rPr>
        <w:t>456 si</w:t>
      </w:r>
      <w:r w:rsidR="00A60D03" w:rsidRPr="00E9797F">
        <w:rPr>
          <w:sz w:val="18"/>
          <w:szCs w:val="18"/>
        </w:rPr>
        <w:t>gnificant aptamers and AD-related phenotypes.</w:t>
      </w:r>
      <w:r w:rsidR="00357C63">
        <w:rPr>
          <w:sz w:val="18"/>
          <w:szCs w:val="18"/>
        </w:rPr>
        <w:t xml:space="preserve"> </w:t>
      </w:r>
      <w:r w:rsidR="00C128E5">
        <w:rPr>
          <w:sz w:val="18"/>
          <w:szCs w:val="18"/>
        </w:rPr>
        <w:br/>
      </w:r>
      <w:r w:rsidR="000163BF" w:rsidRPr="000163BF">
        <w:rPr>
          <w:rFonts w:eastAsia="DengXian"/>
          <w:sz w:val="18"/>
          <w:szCs w:val="18"/>
          <w:lang w:eastAsia="zh-CN"/>
        </w:rPr>
        <w:t>Abbreviations: CSF, Cerebrospinal fluid; pTau, Phosphorylated tau; CDR, Clinical Dementia Rating; WMH, White matter hyperintensities; PET, Positron emission tomography; MMSE, Mini-Mental State Examination; Abeta, amyloid beta.</w:t>
      </w:r>
      <w:r w:rsidR="00F83D2D" w:rsidRPr="00E9797F">
        <w:rPr>
          <w:rFonts w:eastAsia="DengXian"/>
          <w:sz w:val="18"/>
          <w:szCs w:val="18"/>
          <w:lang w:eastAsia="zh-CN"/>
        </w:rPr>
        <w:br w:type="page"/>
      </w:r>
    </w:p>
    <w:p w14:paraId="7E81C46E" w14:textId="77777777" w:rsidR="00F83D2D" w:rsidRPr="00E9797F" w:rsidRDefault="00F83D2D" w:rsidP="00E9797F">
      <w:pPr>
        <w:spacing w:after="0" w:line="240" w:lineRule="auto"/>
        <w:rPr>
          <w:rFonts w:eastAsia="DengXian" w:cs="Arial"/>
          <w:sz w:val="18"/>
          <w:szCs w:val="18"/>
          <w:lang w:eastAsia="zh-CN"/>
        </w:rPr>
      </w:pPr>
      <w:r w:rsidRPr="00E9797F">
        <w:rPr>
          <w:noProof/>
          <w:sz w:val="18"/>
          <w:szCs w:val="18"/>
        </w:rPr>
        <w:lastRenderedPageBreak/>
        <w:drawing>
          <wp:inline distT="0" distB="0" distL="0" distR="0" wp14:anchorId="62E72232" wp14:editId="41F0BFB3">
            <wp:extent cx="5943600" cy="2429510"/>
            <wp:effectExtent l="0" t="0" r="0" b="8890"/>
            <wp:docPr id="311132663" name="Picture 1" descr="A black background with white lines and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32663" name="Picture 1" descr="A black background with white lines and red and blue lin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p>
    <w:p w14:paraId="28369D8D" w14:textId="7EF3E170" w:rsidR="00F83D2D" w:rsidRPr="00E9797F" w:rsidRDefault="00F83D2D" w:rsidP="00E9797F">
      <w:pPr>
        <w:spacing w:after="0" w:line="240" w:lineRule="auto"/>
        <w:rPr>
          <w:rFonts w:eastAsia="DengXian" w:cs="Arial"/>
          <w:sz w:val="18"/>
          <w:szCs w:val="18"/>
          <w:lang w:eastAsia="zh-CN"/>
        </w:rPr>
      </w:pPr>
      <w:r w:rsidRPr="00E9797F">
        <w:rPr>
          <w:rFonts w:eastAsia="DengXian" w:cs="Arial"/>
          <w:b/>
          <w:bCs/>
          <w:sz w:val="18"/>
          <w:szCs w:val="18"/>
          <w:lang w:eastAsia="zh-CN"/>
        </w:rPr>
        <w:t>Supplementary Figure 2. Odd Ratio (OR) Analyses of 456 Significant Proteins</w:t>
      </w:r>
      <w:r w:rsidR="00357C63">
        <w:rPr>
          <w:rFonts w:eastAsia="DengXian" w:cs="Arial"/>
          <w:b/>
          <w:bCs/>
          <w:sz w:val="18"/>
          <w:szCs w:val="18"/>
          <w:lang w:eastAsia="zh-CN"/>
        </w:rPr>
        <w:t xml:space="preserve">. </w:t>
      </w:r>
      <w:r w:rsidRPr="00E9797F">
        <w:rPr>
          <w:rFonts w:eastAsia="DengXian" w:cs="Arial"/>
          <w:b/>
          <w:bCs/>
          <w:sz w:val="18"/>
          <w:szCs w:val="18"/>
          <w:lang w:eastAsia="zh-CN"/>
        </w:rPr>
        <w:t xml:space="preserve">(A) </w:t>
      </w:r>
      <w:r w:rsidRPr="00E9797F">
        <w:rPr>
          <w:rFonts w:eastAsia="DengXian" w:cs="Arial"/>
          <w:sz w:val="18"/>
          <w:szCs w:val="18"/>
          <w:lang w:eastAsia="zh-CN"/>
        </w:rPr>
        <w:t>Histogram showing the distribution of transformed Odds Ratios (OR) across 456 significant proteins</w:t>
      </w:r>
      <w:r w:rsidR="00357C63">
        <w:rPr>
          <w:rFonts w:eastAsia="DengXian" w:cs="Arial"/>
          <w:sz w:val="18"/>
          <w:szCs w:val="18"/>
          <w:lang w:eastAsia="zh-CN"/>
        </w:rPr>
        <w:t xml:space="preserve">. </w:t>
      </w:r>
      <w:r w:rsidRPr="00E9797F">
        <w:rPr>
          <w:rFonts w:eastAsia="DengXian" w:cs="Arial"/>
          <w:b/>
          <w:bCs/>
          <w:sz w:val="18"/>
          <w:szCs w:val="18"/>
          <w:lang w:eastAsia="zh-CN"/>
        </w:rPr>
        <w:t>(B)</w:t>
      </w:r>
      <w:r w:rsidRPr="00E9797F">
        <w:rPr>
          <w:rFonts w:eastAsia="DengXian" w:cs="Arial"/>
          <w:sz w:val="18"/>
          <w:szCs w:val="18"/>
          <w:lang w:eastAsia="zh-CN"/>
        </w:rPr>
        <w:t xml:space="preserve"> Violin plot of Odds Ratios (OR) for the same 456 significant proteins. The red (upper) and blue (lower) sections highlight proteins with OR &gt; 1 and OR &lt; 1, respectively. The dashed line represents an OR of 1.</w:t>
      </w:r>
    </w:p>
    <w:p w14:paraId="085E9232" w14:textId="5B559D56" w:rsidR="00EC5BF4" w:rsidRPr="00E9797F" w:rsidRDefault="00EC5BF4" w:rsidP="00E9797F">
      <w:pPr>
        <w:spacing w:after="0" w:line="240" w:lineRule="auto"/>
        <w:rPr>
          <w:rFonts w:eastAsia="DengXian"/>
          <w:sz w:val="18"/>
          <w:szCs w:val="18"/>
          <w:lang w:eastAsia="zh-CN"/>
        </w:rPr>
      </w:pPr>
      <w:r w:rsidRPr="00E9797F">
        <w:rPr>
          <w:rFonts w:cs="Arial"/>
          <w:sz w:val="18"/>
          <w:szCs w:val="18"/>
        </w:rPr>
        <w:br w:type="page"/>
      </w:r>
    </w:p>
    <w:p w14:paraId="168EFB73" w14:textId="77777777" w:rsidR="00E9797F" w:rsidRDefault="00C8450D" w:rsidP="00E9797F">
      <w:pPr>
        <w:spacing w:after="0" w:line="240" w:lineRule="auto"/>
        <w:rPr>
          <w:rFonts w:eastAsia="DengXian" w:cs="Arial"/>
          <w:sz w:val="18"/>
          <w:szCs w:val="18"/>
          <w:lang w:eastAsia="zh-CN"/>
        </w:rPr>
      </w:pPr>
      <w:r w:rsidRPr="00E9797F">
        <w:rPr>
          <w:noProof/>
          <w:sz w:val="18"/>
          <w:szCs w:val="18"/>
        </w:rPr>
        <w:lastRenderedPageBreak/>
        <w:drawing>
          <wp:inline distT="0" distB="0" distL="0" distR="0" wp14:anchorId="6A327144" wp14:editId="6D36D1C0">
            <wp:extent cx="4438996" cy="7398327"/>
            <wp:effectExtent l="0" t="0" r="0" b="0"/>
            <wp:docPr id="409804175" name="Picture 3" descr="A group of black lines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04175" name="Picture 3" descr="A group of black lines with red do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2353" cy="7420589"/>
                    </a:xfrm>
                    <a:prstGeom prst="rect">
                      <a:avLst/>
                    </a:prstGeom>
                    <a:noFill/>
                    <a:ln>
                      <a:noFill/>
                    </a:ln>
                  </pic:spPr>
                </pic:pic>
              </a:graphicData>
            </a:graphic>
          </wp:inline>
        </w:drawing>
      </w:r>
    </w:p>
    <w:p w14:paraId="498C4F0C" w14:textId="70FBCFA1" w:rsidR="00607DE6" w:rsidRDefault="00C8450D">
      <w:pPr>
        <w:spacing w:after="0" w:line="240" w:lineRule="auto"/>
        <w:rPr>
          <w:rFonts w:eastAsia="DengXian" w:cs="Arial"/>
          <w:sz w:val="18"/>
          <w:szCs w:val="18"/>
          <w:lang w:eastAsia="zh-CN"/>
        </w:rPr>
      </w:pPr>
      <w:r w:rsidRPr="00E9797F">
        <w:rPr>
          <w:rFonts w:cs="Arial"/>
          <w:b/>
          <w:bCs/>
          <w:sz w:val="18"/>
          <w:szCs w:val="18"/>
        </w:rPr>
        <w:t>Supplementary Figure 3. Effect Size Comparisons with Other Studies.</w:t>
      </w:r>
      <w:r w:rsidR="00357C63">
        <w:rPr>
          <w:rFonts w:cs="Arial"/>
          <w:b/>
          <w:bCs/>
          <w:sz w:val="18"/>
          <w:szCs w:val="18"/>
        </w:rPr>
        <w:t xml:space="preserve"> </w:t>
      </w:r>
      <w:r w:rsidRPr="00E9797F">
        <w:rPr>
          <w:rFonts w:cs="Arial"/>
          <w:sz w:val="18"/>
          <w:szCs w:val="18"/>
        </w:rPr>
        <w:t>Effect size comparisons between the current study and other previous studies are shown for overlapping proteins. Pearson correlation coefficient and p-value across studies are noted in each panel.</w:t>
      </w:r>
      <w:r w:rsidR="00357C63">
        <w:rPr>
          <w:rFonts w:cs="Arial"/>
          <w:sz w:val="18"/>
          <w:szCs w:val="18"/>
        </w:rPr>
        <w:t xml:space="preserve"> </w:t>
      </w:r>
      <w:r w:rsidRPr="00E9797F">
        <w:rPr>
          <w:rFonts w:cs="Arial"/>
          <w:b/>
          <w:bCs/>
          <w:sz w:val="18"/>
          <w:szCs w:val="18"/>
        </w:rPr>
        <w:t>(A)</w:t>
      </w:r>
      <w:r w:rsidRPr="00E9797F">
        <w:rPr>
          <w:rFonts w:cs="Arial"/>
          <w:sz w:val="18"/>
          <w:szCs w:val="18"/>
        </w:rPr>
        <w:t xml:space="preserve"> Comparison with Ali et al. </w:t>
      </w:r>
      <w:r w:rsidRPr="00E9797F">
        <w:rPr>
          <w:rFonts w:cs="Arial"/>
          <w:b/>
          <w:bCs/>
          <w:sz w:val="18"/>
          <w:szCs w:val="18"/>
        </w:rPr>
        <w:t>(B)</w:t>
      </w:r>
      <w:r w:rsidRPr="00E9797F">
        <w:rPr>
          <w:rFonts w:cs="Arial"/>
          <w:sz w:val="18"/>
          <w:szCs w:val="18"/>
        </w:rPr>
        <w:t xml:space="preserve"> Comparison with Walker et al. </w:t>
      </w:r>
      <w:r w:rsidRPr="00E9797F">
        <w:rPr>
          <w:rFonts w:cs="Arial"/>
          <w:b/>
          <w:bCs/>
          <w:sz w:val="18"/>
          <w:szCs w:val="18"/>
        </w:rPr>
        <w:t>(C)</w:t>
      </w:r>
      <w:r w:rsidRPr="00E9797F">
        <w:rPr>
          <w:rFonts w:cs="Arial"/>
          <w:sz w:val="18"/>
          <w:szCs w:val="18"/>
        </w:rPr>
        <w:t xml:space="preserve"> Comparison with Sung et al. </w:t>
      </w:r>
      <w:r w:rsidRPr="00E9797F">
        <w:rPr>
          <w:rFonts w:cs="Arial"/>
          <w:b/>
          <w:bCs/>
          <w:sz w:val="18"/>
          <w:szCs w:val="18"/>
        </w:rPr>
        <w:t>(D)</w:t>
      </w:r>
      <w:r w:rsidRPr="00E9797F">
        <w:rPr>
          <w:rFonts w:cs="Arial"/>
          <w:sz w:val="18"/>
          <w:szCs w:val="18"/>
        </w:rPr>
        <w:t xml:space="preserve"> Comparison with Sattlecker et al. </w:t>
      </w:r>
      <w:r w:rsidRPr="00E9797F">
        <w:rPr>
          <w:rFonts w:cs="Arial"/>
          <w:b/>
          <w:bCs/>
          <w:sz w:val="18"/>
          <w:szCs w:val="18"/>
        </w:rPr>
        <w:t>(E)</w:t>
      </w:r>
      <w:r w:rsidRPr="00E9797F">
        <w:rPr>
          <w:rFonts w:cs="Arial"/>
          <w:sz w:val="18"/>
          <w:szCs w:val="18"/>
        </w:rPr>
        <w:t xml:space="preserve"> Comparison with Jiang et al. </w:t>
      </w:r>
      <w:r w:rsidRPr="00E9797F">
        <w:rPr>
          <w:rFonts w:cs="Arial"/>
          <w:b/>
          <w:bCs/>
          <w:sz w:val="18"/>
          <w:szCs w:val="18"/>
        </w:rPr>
        <w:t>(F)</w:t>
      </w:r>
      <w:r w:rsidRPr="00E9797F">
        <w:rPr>
          <w:rFonts w:cs="Arial"/>
          <w:sz w:val="18"/>
          <w:szCs w:val="18"/>
        </w:rPr>
        <w:t xml:space="preserve"> Comparison with Whelan et al. </w:t>
      </w:r>
      <w:r w:rsidRPr="00E9797F">
        <w:rPr>
          <w:rFonts w:cs="Arial"/>
          <w:b/>
          <w:bCs/>
          <w:sz w:val="18"/>
          <w:szCs w:val="18"/>
        </w:rPr>
        <w:t>(G)</w:t>
      </w:r>
      <w:r w:rsidRPr="00E9797F">
        <w:rPr>
          <w:rFonts w:cs="Arial"/>
          <w:sz w:val="18"/>
          <w:szCs w:val="18"/>
        </w:rPr>
        <w:t xml:space="preserve"> Comparison with Guo et al.</w:t>
      </w:r>
      <w:r w:rsidR="00357C63">
        <w:rPr>
          <w:rFonts w:cs="Arial"/>
          <w:sz w:val="18"/>
          <w:szCs w:val="18"/>
        </w:rPr>
        <w:t xml:space="preserve"> </w:t>
      </w:r>
      <w:r w:rsidR="00C128E5">
        <w:rPr>
          <w:rFonts w:cs="Arial"/>
          <w:sz w:val="18"/>
          <w:szCs w:val="18"/>
        </w:rPr>
        <w:br/>
      </w:r>
      <w:r w:rsidR="000163BF" w:rsidRPr="000163BF">
        <w:rPr>
          <w:rFonts w:eastAsia="DengXian" w:cs="Arial"/>
          <w:sz w:val="18"/>
          <w:szCs w:val="18"/>
          <w:lang w:eastAsia="zh-CN"/>
        </w:rPr>
        <w:t xml:space="preserve">Abbreviations: R, correlation. </w:t>
      </w:r>
      <w:r w:rsidR="00607DE6">
        <w:rPr>
          <w:rFonts w:eastAsia="DengXian" w:cs="Arial"/>
          <w:sz w:val="18"/>
          <w:szCs w:val="18"/>
          <w:lang w:eastAsia="zh-CN"/>
        </w:rPr>
        <w:br w:type="page"/>
      </w:r>
    </w:p>
    <w:p w14:paraId="2D0CA19C" w14:textId="77777777" w:rsidR="00E9797F" w:rsidRDefault="00C8450D" w:rsidP="00E9797F">
      <w:pPr>
        <w:spacing w:after="0" w:line="240" w:lineRule="auto"/>
        <w:rPr>
          <w:rFonts w:eastAsia="DengXian" w:cs="Arial"/>
          <w:b/>
          <w:bCs/>
          <w:sz w:val="18"/>
          <w:szCs w:val="18"/>
          <w:lang w:eastAsia="zh-CN"/>
        </w:rPr>
      </w:pPr>
      <w:r w:rsidRPr="00E9797F">
        <w:rPr>
          <w:noProof/>
          <w:sz w:val="18"/>
          <w:szCs w:val="18"/>
        </w:rPr>
        <w:lastRenderedPageBreak/>
        <w:drawing>
          <wp:inline distT="0" distB="0" distL="0" distR="0" wp14:anchorId="20CE148C" wp14:editId="55746440">
            <wp:extent cx="4500748" cy="6751122"/>
            <wp:effectExtent l="0" t="0" r="0" b="0"/>
            <wp:docPr id="1866063436" name="Picture 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63436" name="Picture 2" descr="A diagram of a graph&#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6233" cy="6789349"/>
                    </a:xfrm>
                    <a:prstGeom prst="rect">
                      <a:avLst/>
                    </a:prstGeom>
                    <a:noFill/>
                    <a:ln>
                      <a:noFill/>
                    </a:ln>
                  </pic:spPr>
                </pic:pic>
              </a:graphicData>
            </a:graphic>
          </wp:inline>
        </w:drawing>
      </w:r>
    </w:p>
    <w:p w14:paraId="1B51B8DB" w14:textId="075952CC" w:rsidR="009F2A84" w:rsidRDefault="00C8450D">
      <w:pPr>
        <w:spacing w:after="0" w:line="240" w:lineRule="auto"/>
        <w:rPr>
          <w:rFonts w:eastAsia="DengXian" w:cs="Arial"/>
          <w:sz w:val="18"/>
          <w:szCs w:val="18"/>
          <w:lang w:eastAsia="zh-CN"/>
        </w:rPr>
      </w:pPr>
      <w:r w:rsidRPr="00E9797F">
        <w:rPr>
          <w:rFonts w:cs="Arial"/>
          <w:b/>
          <w:bCs/>
          <w:sz w:val="18"/>
          <w:szCs w:val="18"/>
        </w:rPr>
        <w:t>Supplementary Figure 4. Analysis of AD Biomarkers</w:t>
      </w:r>
      <w:r w:rsidR="00357C63">
        <w:rPr>
          <w:rFonts w:cs="Arial"/>
          <w:b/>
          <w:bCs/>
          <w:sz w:val="18"/>
          <w:szCs w:val="18"/>
        </w:rPr>
        <w:t xml:space="preserve">. </w:t>
      </w:r>
      <w:r w:rsidRPr="00E9797F">
        <w:rPr>
          <w:rFonts w:cs="Arial"/>
          <w:sz w:val="18"/>
          <w:szCs w:val="18"/>
        </w:rPr>
        <w:t>Volcano plots and scatter plots illustrate the differences in protein abundances across key AD biomarkers. For each biomarker analysis, volcano plots highlight proteins with significantly different abundances between comparison groups, and scatter plots compare effect sizes with those from the meta-analysis of clinical status of AD. The central dotted line in the dashed plots represents the comparison pattern, while the outer lines mark the 95% confidence interval.</w:t>
      </w:r>
      <w:r w:rsidR="00357C63">
        <w:rPr>
          <w:rFonts w:cs="Arial"/>
          <w:sz w:val="18"/>
          <w:szCs w:val="18"/>
        </w:rPr>
        <w:t xml:space="preserve"> </w:t>
      </w:r>
      <w:r w:rsidRPr="00E9797F">
        <w:rPr>
          <w:rFonts w:cs="Arial"/>
          <w:b/>
          <w:bCs/>
          <w:sz w:val="18"/>
          <w:szCs w:val="18"/>
        </w:rPr>
        <w:t>(A)</w:t>
      </w:r>
      <w:r w:rsidRPr="00E9797F">
        <w:rPr>
          <w:rFonts w:cs="Arial"/>
          <w:sz w:val="18"/>
          <w:szCs w:val="18"/>
        </w:rPr>
        <w:t xml:space="preserve"> CSF-based AT status: Proteins with differing abundances between AT- and AT+ groups.</w:t>
      </w:r>
      <w:r w:rsidR="00357C63">
        <w:rPr>
          <w:rFonts w:cs="Arial"/>
          <w:sz w:val="18"/>
          <w:szCs w:val="18"/>
        </w:rPr>
        <w:t xml:space="preserve"> </w:t>
      </w:r>
      <w:r w:rsidRPr="00E9797F">
        <w:rPr>
          <w:rFonts w:cs="Arial"/>
          <w:b/>
          <w:bCs/>
          <w:sz w:val="18"/>
          <w:szCs w:val="18"/>
        </w:rPr>
        <w:t>(B)</w:t>
      </w:r>
      <w:r w:rsidRPr="00E9797F">
        <w:rPr>
          <w:rFonts w:cs="Arial"/>
          <w:sz w:val="18"/>
          <w:szCs w:val="18"/>
        </w:rPr>
        <w:t xml:space="preserve"> Amyloid PET imaging: Proteins with differing abundances between A- and A+ groups.</w:t>
      </w:r>
      <w:r w:rsidR="00357C63">
        <w:rPr>
          <w:rFonts w:cs="Arial"/>
          <w:sz w:val="18"/>
          <w:szCs w:val="18"/>
        </w:rPr>
        <w:t xml:space="preserve"> </w:t>
      </w:r>
      <w:r w:rsidRPr="00E9797F">
        <w:rPr>
          <w:rFonts w:cs="Arial"/>
          <w:b/>
          <w:bCs/>
          <w:sz w:val="18"/>
          <w:szCs w:val="18"/>
        </w:rPr>
        <w:t>(C)</w:t>
      </w:r>
      <w:r w:rsidRPr="00E9797F">
        <w:rPr>
          <w:rFonts w:cs="Arial"/>
          <w:sz w:val="18"/>
          <w:szCs w:val="18"/>
        </w:rPr>
        <w:t xml:space="preserve"> Plasma p-tau217: Proteins with differing abundances between T- and T+ groups.</w:t>
      </w:r>
      <w:r w:rsidR="00357C63">
        <w:rPr>
          <w:rFonts w:cs="Arial"/>
          <w:sz w:val="18"/>
          <w:szCs w:val="18"/>
        </w:rPr>
        <w:t xml:space="preserve"> </w:t>
      </w:r>
      <w:r w:rsidR="00C128E5">
        <w:rPr>
          <w:rFonts w:cs="Arial"/>
          <w:sz w:val="18"/>
          <w:szCs w:val="18"/>
        </w:rPr>
        <w:br/>
      </w:r>
      <w:r w:rsidR="00892CD9" w:rsidRPr="00892CD9">
        <w:rPr>
          <w:rFonts w:eastAsia="DengXian" w:cs="Arial"/>
          <w:sz w:val="18"/>
          <w:szCs w:val="18"/>
          <w:lang w:eastAsia="zh-CN"/>
        </w:rPr>
        <w:t>Abbreviations: CSF, Cerebrospinal fluid; pTau, Phosphorylated tau; R, Correlation; PET, Positron emission tomography; AT, Amyloid-Tau.</w:t>
      </w:r>
    </w:p>
    <w:p w14:paraId="50F45ECA" w14:textId="77777777" w:rsidR="009F2A84" w:rsidRDefault="009F2A84">
      <w:pPr>
        <w:spacing w:after="0" w:line="240" w:lineRule="auto"/>
        <w:rPr>
          <w:rFonts w:eastAsia="DengXian" w:cs="Arial"/>
          <w:sz w:val="18"/>
          <w:szCs w:val="18"/>
          <w:lang w:eastAsia="zh-CN"/>
        </w:rPr>
      </w:pPr>
      <w:r>
        <w:rPr>
          <w:rFonts w:eastAsia="DengXian" w:cs="Arial"/>
          <w:sz w:val="18"/>
          <w:szCs w:val="18"/>
          <w:lang w:eastAsia="zh-CN"/>
        </w:rPr>
        <w:br w:type="page"/>
      </w:r>
    </w:p>
    <w:p w14:paraId="49E53F01" w14:textId="77777777" w:rsidR="009F2A84" w:rsidRPr="00E9797F" w:rsidRDefault="009F2A84" w:rsidP="009F2A84">
      <w:pPr>
        <w:spacing w:after="0" w:line="240" w:lineRule="auto"/>
        <w:rPr>
          <w:rFonts w:eastAsia="DengXian" w:cs="Arial"/>
          <w:sz w:val="18"/>
          <w:szCs w:val="18"/>
          <w:lang w:eastAsia="zh-CN"/>
        </w:rPr>
      </w:pPr>
      <w:r w:rsidRPr="00E9797F">
        <w:rPr>
          <w:rFonts w:cs="Arial"/>
          <w:noProof/>
          <w:sz w:val="18"/>
          <w:szCs w:val="18"/>
        </w:rPr>
        <w:lastRenderedPageBreak/>
        <w:drawing>
          <wp:inline distT="0" distB="0" distL="0" distR="0" wp14:anchorId="20A5A6B4" wp14:editId="0DF91D09">
            <wp:extent cx="5943600" cy="5368925"/>
            <wp:effectExtent l="0" t="0" r="0" b="3175"/>
            <wp:docPr id="1637291345" name="Picture 2"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91345" name="Picture 2" descr="A screenshot of a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368925"/>
                    </a:xfrm>
                    <a:prstGeom prst="rect">
                      <a:avLst/>
                    </a:prstGeom>
                  </pic:spPr>
                </pic:pic>
              </a:graphicData>
            </a:graphic>
          </wp:inline>
        </w:drawing>
      </w:r>
    </w:p>
    <w:p w14:paraId="40ACE292" w14:textId="037DE61B" w:rsidR="007C2A98" w:rsidRPr="00B7544B" w:rsidRDefault="009F2A84" w:rsidP="00E9797F">
      <w:pPr>
        <w:spacing w:after="0" w:line="240" w:lineRule="auto"/>
        <w:rPr>
          <w:rFonts w:eastAsia="DengXian" w:cs="Arial"/>
          <w:sz w:val="18"/>
          <w:szCs w:val="18"/>
          <w:lang w:eastAsia="zh-CN"/>
        </w:rPr>
      </w:pPr>
      <w:r w:rsidRPr="00E9797F">
        <w:rPr>
          <w:rFonts w:eastAsia="DengXian" w:cs="Arial"/>
          <w:b/>
          <w:bCs/>
          <w:sz w:val="18"/>
          <w:szCs w:val="18"/>
          <w:lang w:eastAsia="zh-CN"/>
        </w:rPr>
        <w:t xml:space="preserve">Supplementary Figure </w:t>
      </w:r>
      <w:r>
        <w:rPr>
          <w:rFonts w:eastAsia="DengXian" w:cs="Arial" w:hint="eastAsia"/>
          <w:b/>
          <w:bCs/>
          <w:sz w:val="18"/>
          <w:szCs w:val="18"/>
          <w:lang w:eastAsia="zh-CN"/>
        </w:rPr>
        <w:t>5</w:t>
      </w:r>
      <w:r w:rsidRPr="00E9797F">
        <w:rPr>
          <w:rFonts w:eastAsia="DengXian" w:cs="Arial"/>
          <w:b/>
          <w:bCs/>
          <w:sz w:val="18"/>
          <w:szCs w:val="18"/>
          <w:lang w:eastAsia="zh-CN"/>
        </w:rPr>
        <w:t>. Analysis of progression to symptomatic Alzheimer’s Disease with single aptamers</w:t>
      </w:r>
      <w:r>
        <w:rPr>
          <w:rFonts w:eastAsia="DengXian" w:cs="Arial"/>
          <w:b/>
          <w:bCs/>
          <w:sz w:val="18"/>
          <w:szCs w:val="18"/>
          <w:lang w:eastAsia="zh-CN"/>
        </w:rPr>
        <w:t xml:space="preserve">. </w:t>
      </w:r>
      <w:r w:rsidRPr="00E9797F">
        <w:rPr>
          <w:rFonts w:eastAsia="DengXian" w:cs="Arial"/>
          <w:b/>
          <w:bCs/>
          <w:sz w:val="18"/>
          <w:szCs w:val="18"/>
          <w:lang w:eastAsia="zh-CN"/>
        </w:rPr>
        <w:t>(A)</w:t>
      </w:r>
      <w:r w:rsidRPr="00E9797F">
        <w:rPr>
          <w:rFonts w:eastAsia="DengXian" w:cs="Arial"/>
          <w:sz w:val="18"/>
          <w:szCs w:val="18"/>
          <w:lang w:eastAsia="zh-CN"/>
        </w:rPr>
        <w:t xml:space="preserve"> Volcano plot displaying protein associations with progression to symptomatic</w:t>
      </w:r>
      <w:r w:rsidRPr="00E9797F">
        <w:rPr>
          <w:rFonts w:eastAsia="DengXian" w:cs="Arial"/>
          <w:b/>
          <w:bCs/>
          <w:sz w:val="18"/>
          <w:szCs w:val="18"/>
          <w:lang w:eastAsia="zh-CN"/>
        </w:rPr>
        <w:t xml:space="preserve"> </w:t>
      </w:r>
      <w:r w:rsidRPr="00E9797F">
        <w:rPr>
          <w:rFonts w:eastAsia="DengXian" w:cs="Arial"/>
          <w:sz w:val="18"/>
          <w:szCs w:val="18"/>
          <w:lang w:eastAsia="zh-CN"/>
        </w:rPr>
        <w:t>Alzheimer’s disease (AD). Proteins in red were nominally significant (p &lt; 0.05).</w:t>
      </w:r>
      <w:r>
        <w:rPr>
          <w:rFonts w:eastAsia="DengXian" w:cs="Arial"/>
          <w:sz w:val="18"/>
          <w:szCs w:val="18"/>
          <w:lang w:eastAsia="zh-CN"/>
        </w:rPr>
        <w:t xml:space="preserve"> </w:t>
      </w:r>
      <w:r w:rsidRPr="00E9797F">
        <w:rPr>
          <w:rFonts w:eastAsia="DengXian" w:cs="Arial"/>
          <w:b/>
          <w:bCs/>
          <w:sz w:val="18"/>
          <w:szCs w:val="18"/>
          <w:lang w:eastAsia="zh-CN"/>
        </w:rPr>
        <w:t>(B)</w:t>
      </w:r>
      <w:r w:rsidRPr="00E9797F">
        <w:rPr>
          <w:rFonts w:eastAsia="DengXian" w:cs="Arial"/>
          <w:sz w:val="18"/>
          <w:szCs w:val="18"/>
          <w:lang w:eastAsia="zh-CN"/>
        </w:rPr>
        <w:t xml:space="preserve"> Venn diagram showing the overlap between proteins significant in the clinical diagnosis of AD (orange) and those significant in progression to symptomatic</w:t>
      </w:r>
      <w:r w:rsidRPr="00E9797F">
        <w:rPr>
          <w:rFonts w:eastAsia="DengXian" w:cs="Arial"/>
          <w:b/>
          <w:bCs/>
          <w:sz w:val="18"/>
          <w:szCs w:val="18"/>
          <w:lang w:eastAsia="zh-CN"/>
        </w:rPr>
        <w:t xml:space="preserve"> </w:t>
      </w:r>
      <w:r w:rsidRPr="00E9797F">
        <w:rPr>
          <w:rFonts w:eastAsia="DengXian" w:cs="Arial"/>
          <w:sz w:val="18"/>
          <w:szCs w:val="18"/>
          <w:lang w:eastAsia="zh-CN"/>
        </w:rPr>
        <w:t>AD (gray).</w:t>
      </w:r>
      <w:r>
        <w:rPr>
          <w:rFonts w:eastAsia="DengXian" w:cs="Arial"/>
          <w:sz w:val="18"/>
          <w:szCs w:val="18"/>
          <w:lang w:eastAsia="zh-CN"/>
        </w:rPr>
        <w:t xml:space="preserve"> </w:t>
      </w:r>
      <w:r w:rsidRPr="00E9797F">
        <w:rPr>
          <w:rFonts w:eastAsia="DengXian" w:cs="Arial"/>
          <w:b/>
          <w:bCs/>
          <w:sz w:val="18"/>
          <w:szCs w:val="18"/>
          <w:lang w:eastAsia="zh-CN"/>
        </w:rPr>
        <w:t>(C)</w:t>
      </w:r>
      <w:r w:rsidRPr="00E9797F">
        <w:rPr>
          <w:rFonts w:eastAsia="DengXian" w:cs="Arial"/>
          <w:sz w:val="18"/>
          <w:szCs w:val="18"/>
          <w:lang w:eastAsia="zh-CN"/>
        </w:rPr>
        <w:t xml:space="preserve"> Scatter plot comparing effect sizes between the meta-analysis (x-axis) and the analysis of progression to symptomatic</w:t>
      </w:r>
      <w:r w:rsidRPr="00E9797F">
        <w:rPr>
          <w:rFonts w:eastAsia="DengXian" w:cs="Arial"/>
          <w:b/>
          <w:bCs/>
          <w:sz w:val="18"/>
          <w:szCs w:val="18"/>
          <w:lang w:eastAsia="zh-CN"/>
        </w:rPr>
        <w:t xml:space="preserve"> </w:t>
      </w:r>
      <w:r w:rsidRPr="00E9797F">
        <w:rPr>
          <w:rFonts w:eastAsia="DengXian" w:cs="Arial"/>
          <w:sz w:val="18"/>
          <w:szCs w:val="18"/>
          <w:lang w:eastAsia="zh-CN"/>
        </w:rPr>
        <w:t>AD (y-axis) for proteins significant in the progression to symptomatic</w:t>
      </w:r>
      <w:r w:rsidRPr="00E9797F">
        <w:rPr>
          <w:rFonts w:eastAsia="DengXian" w:cs="Arial"/>
          <w:b/>
          <w:bCs/>
          <w:sz w:val="18"/>
          <w:szCs w:val="18"/>
          <w:lang w:eastAsia="zh-CN"/>
        </w:rPr>
        <w:t xml:space="preserve"> </w:t>
      </w:r>
      <w:r w:rsidRPr="00E9797F">
        <w:rPr>
          <w:rFonts w:eastAsia="DengXian" w:cs="Arial"/>
          <w:sz w:val="18"/>
          <w:szCs w:val="18"/>
          <w:lang w:eastAsia="zh-CN"/>
        </w:rPr>
        <w:t>AD analysis. Points in red are significant proteins in both analyses.</w:t>
      </w:r>
      <w:r>
        <w:rPr>
          <w:rFonts w:eastAsia="DengXian" w:cs="Arial"/>
          <w:sz w:val="18"/>
          <w:szCs w:val="18"/>
          <w:lang w:eastAsia="zh-CN"/>
        </w:rPr>
        <w:t xml:space="preserve"> </w:t>
      </w:r>
      <w:r w:rsidRPr="00E9797F">
        <w:rPr>
          <w:rFonts w:eastAsia="DengXian" w:cs="Arial"/>
          <w:b/>
          <w:bCs/>
          <w:sz w:val="18"/>
          <w:szCs w:val="18"/>
          <w:lang w:eastAsia="zh-CN"/>
        </w:rPr>
        <w:t>(D)</w:t>
      </w:r>
      <w:r w:rsidRPr="00E9797F">
        <w:rPr>
          <w:rFonts w:eastAsia="DengXian" w:cs="Arial"/>
          <w:sz w:val="18"/>
          <w:szCs w:val="18"/>
          <w:lang w:eastAsia="zh-CN"/>
        </w:rPr>
        <w:t xml:space="preserve"> Forest plot showing the hazard ratios of the top 20 aptamers from the progression to symptomatic</w:t>
      </w:r>
      <w:r w:rsidRPr="00E9797F">
        <w:rPr>
          <w:rFonts w:eastAsia="DengXian" w:cs="Arial"/>
          <w:b/>
          <w:bCs/>
          <w:sz w:val="18"/>
          <w:szCs w:val="18"/>
          <w:lang w:eastAsia="zh-CN"/>
        </w:rPr>
        <w:t xml:space="preserve"> </w:t>
      </w:r>
      <w:r w:rsidRPr="00E9797F">
        <w:rPr>
          <w:rFonts w:eastAsia="DengXian" w:cs="Arial"/>
          <w:sz w:val="18"/>
          <w:szCs w:val="18"/>
          <w:lang w:eastAsia="zh-CN"/>
        </w:rPr>
        <w:t xml:space="preserve">AD with Cox proportional hazards model. </w:t>
      </w:r>
      <w:r w:rsidR="00607DE6">
        <w:rPr>
          <w:rFonts w:eastAsia="DengXian" w:cs="Arial"/>
          <w:sz w:val="18"/>
          <w:szCs w:val="18"/>
          <w:lang w:eastAsia="zh-CN"/>
        </w:rPr>
        <w:br w:type="page"/>
      </w:r>
    </w:p>
    <w:p w14:paraId="0FFB0CCD" w14:textId="77777777" w:rsidR="00E9797F" w:rsidRDefault="007C2A98" w:rsidP="00E9797F">
      <w:pPr>
        <w:spacing w:after="0" w:line="240" w:lineRule="auto"/>
        <w:rPr>
          <w:rFonts w:eastAsia="DengXian" w:cs="Arial"/>
          <w:b/>
          <w:bCs/>
          <w:sz w:val="18"/>
          <w:szCs w:val="18"/>
          <w:lang w:eastAsia="zh-CN"/>
        </w:rPr>
      </w:pPr>
      <w:r w:rsidRPr="00E9797F">
        <w:rPr>
          <w:rFonts w:cs="Arial"/>
          <w:noProof/>
          <w:sz w:val="18"/>
          <w:szCs w:val="18"/>
        </w:rPr>
        <w:lastRenderedPageBreak/>
        <w:drawing>
          <wp:inline distT="0" distB="0" distL="0" distR="0" wp14:anchorId="7475B4B7" wp14:editId="197602A6">
            <wp:extent cx="3731684" cy="7659585"/>
            <wp:effectExtent l="0" t="0" r="2540" b="0"/>
            <wp:docPr id="705501037" name="Picture 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01037" name="Picture 3" descr="A diagram of a networ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6079" cy="7668607"/>
                    </a:xfrm>
                    <a:prstGeom prst="rect">
                      <a:avLst/>
                    </a:prstGeom>
                  </pic:spPr>
                </pic:pic>
              </a:graphicData>
            </a:graphic>
          </wp:inline>
        </w:drawing>
      </w:r>
    </w:p>
    <w:p w14:paraId="5F344CDD" w14:textId="37261B95" w:rsidR="007C2A98" w:rsidRPr="00E9797F" w:rsidRDefault="007C2A98" w:rsidP="00E9797F">
      <w:pPr>
        <w:spacing w:after="0" w:line="240" w:lineRule="auto"/>
        <w:rPr>
          <w:rFonts w:cs="Arial"/>
          <w:sz w:val="18"/>
          <w:szCs w:val="18"/>
        </w:rPr>
      </w:pPr>
      <w:r w:rsidRPr="00E9797F">
        <w:rPr>
          <w:rFonts w:cs="Arial"/>
          <w:b/>
          <w:bCs/>
          <w:sz w:val="18"/>
          <w:szCs w:val="18"/>
        </w:rPr>
        <w:t xml:space="preserve">Supplementary Figure </w:t>
      </w:r>
      <w:r w:rsidR="00B7544B">
        <w:rPr>
          <w:rFonts w:eastAsia="DengXian" w:cs="Arial" w:hint="eastAsia"/>
          <w:b/>
          <w:bCs/>
          <w:sz w:val="18"/>
          <w:szCs w:val="18"/>
          <w:lang w:eastAsia="zh-CN"/>
        </w:rPr>
        <w:t>6</w:t>
      </w:r>
      <w:r w:rsidRPr="00E9797F">
        <w:rPr>
          <w:rFonts w:cs="Arial"/>
          <w:b/>
          <w:bCs/>
          <w:sz w:val="18"/>
          <w:szCs w:val="18"/>
        </w:rPr>
        <w:t>. Interaction Networks Identified by IPA Analysis</w:t>
      </w:r>
      <w:r w:rsidR="00357C63">
        <w:rPr>
          <w:rFonts w:cs="Arial"/>
          <w:b/>
          <w:bCs/>
          <w:sz w:val="18"/>
          <w:szCs w:val="18"/>
        </w:rPr>
        <w:t xml:space="preserve"> </w:t>
      </w:r>
      <w:r w:rsidRPr="00E9797F">
        <w:rPr>
          <w:rFonts w:cs="Arial"/>
          <w:sz w:val="18"/>
          <w:szCs w:val="18"/>
        </w:rPr>
        <w:t>Three interaction networks identified using Ingenuity Pathway Analysis (IPA). The color-coded nodes represent various types of molecules and edges indicate predicted interactions between them.</w:t>
      </w:r>
      <w:r w:rsidRPr="00E9797F">
        <w:rPr>
          <w:rFonts w:cs="Arial"/>
          <w:sz w:val="18"/>
          <w:szCs w:val="18"/>
        </w:rPr>
        <w:br w:type="page"/>
      </w:r>
    </w:p>
    <w:p w14:paraId="675535DC" w14:textId="77777777" w:rsidR="007C2A98" w:rsidRPr="00E9797F" w:rsidRDefault="007C2A98" w:rsidP="00E9797F">
      <w:pPr>
        <w:spacing w:after="0" w:line="240" w:lineRule="auto"/>
        <w:rPr>
          <w:rFonts w:cs="Arial"/>
          <w:b/>
          <w:bCs/>
          <w:sz w:val="18"/>
          <w:szCs w:val="18"/>
        </w:rPr>
      </w:pPr>
      <w:r w:rsidRPr="00E9797F">
        <w:rPr>
          <w:rFonts w:cs="Arial"/>
          <w:noProof/>
          <w:sz w:val="18"/>
          <w:szCs w:val="18"/>
        </w:rPr>
        <w:lastRenderedPageBreak/>
        <w:drawing>
          <wp:inline distT="0" distB="0" distL="0" distR="0" wp14:anchorId="5E8E71C3" wp14:editId="32A30FC4">
            <wp:extent cx="5705475" cy="7742622"/>
            <wp:effectExtent l="0" t="0" r="0" b="0"/>
            <wp:docPr id="2055391602" name="Picture 4"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63549" name="Picture 4" descr="A collage of graph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8401" cy="7882297"/>
                    </a:xfrm>
                    <a:prstGeom prst="rect">
                      <a:avLst/>
                    </a:prstGeom>
                  </pic:spPr>
                </pic:pic>
              </a:graphicData>
            </a:graphic>
          </wp:inline>
        </w:drawing>
      </w:r>
    </w:p>
    <w:p w14:paraId="7A10DCC4" w14:textId="3F8AD56B" w:rsidR="00B4276C" w:rsidRDefault="007C2A98" w:rsidP="00E9797F">
      <w:pPr>
        <w:spacing w:after="0" w:line="240" w:lineRule="auto"/>
        <w:rPr>
          <w:rFonts w:eastAsia="DengXian" w:cs="Arial"/>
          <w:sz w:val="18"/>
          <w:szCs w:val="18"/>
          <w:lang w:eastAsia="zh-CN"/>
        </w:rPr>
      </w:pPr>
      <w:r w:rsidRPr="00E9797F">
        <w:rPr>
          <w:rFonts w:cs="Arial"/>
          <w:b/>
          <w:bCs/>
          <w:sz w:val="18"/>
          <w:szCs w:val="18"/>
        </w:rPr>
        <w:t xml:space="preserve">Supplementary Figure </w:t>
      </w:r>
      <w:r w:rsidR="00B7544B">
        <w:rPr>
          <w:rFonts w:eastAsia="DengXian" w:cs="Arial" w:hint="eastAsia"/>
          <w:b/>
          <w:bCs/>
          <w:sz w:val="18"/>
          <w:szCs w:val="18"/>
          <w:lang w:eastAsia="zh-CN"/>
        </w:rPr>
        <w:t>7</w:t>
      </w:r>
      <w:r w:rsidRPr="00E9797F">
        <w:rPr>
          <w:rFonts w:cs="Arial"/>
          <w:b/>
          <w:bCs/>
          <w:sz w:val="18"/>
          <w:szCs w:val="18"/>
        </w:rPr>
        <w:t>. Evaluation of the Model’s Predictive Performance</w:t>
      </w:r>
      <w:r w:rsidR="00357C63">
        <w:rPr>
          <w:rFonts w:cs="Arial"/>
          <w:b/>
          <w:bCs/>
          <w:sz w:val="18"/>
          <w:szCs w:val="18"/>
        </w:rPr>
        <w:t xml:space="preserve">. </w:t>
      </w:r>
      <w:r w:rsidRPr="00E9797F">
        <w:rPr>
          <w:rFonts w:cs="Arial"/>
          <w:b/>
          <w:bCs/>
          <w:sz w:val="18"/>
          <w:szCs w:val="18"/>
        </w:rPr>
        <w:t>(A)</w:t>
      </w:r>
      <w:r w:rsidRPr="00E9797F">
        <w:rPr>
          <w:rFonts w:cs="Arial"/>
          <w:sz w:val="18"/>
          <w:szCs w:val="18"/>
        </w:rPr>
        <w:t xml:space="preserve"> Receiver Operating Characteristic (ROC) curves evaluating the predictive power in classifying clinical Alzheimer’s disease (AD). The following datasets were used: test set from the Discovery dataset with the proteomic model (solid black) and baseline </w:t>
      </w:r>
      <w:r w:rsidRPr="00E9797F">
        <w:rPr>
          <w:rFonts w:cs="Arial"/>
          <w:sz w:val="18"/>
          <w:szCs w:val="18"/>
        </w:rPr>
        <w:lastRenderedPageBreak/>
        <w:t>model (dashed black), and the Replication dataset with the proteomic model (solid orange), baseline model (dashed orange), and baseline model including APOE ε4 genotype (pink).</w:t>
      </w:r>
      <w:r w:rsidRPr="00E9797F">
        <w:rPr>
          <w:rFonts w:cs="Arial"/>
          <w:sz w:val="18"/>
          <w:szCs w:val="18"/>
        </w:rPr>
        <w:br/>
      </w:r>
      <w:r w:rsidRPr="00E9797F">
        <w:rPr>
          <w:rFonts w:cs="Arial"/>
          <w:b/>
          <w:bCs/>
          <w:sz w:val="18"/>
          <w:szCs w:val="18"/>
        </w:rPr>
        <w:t>(B)</w:t>
      </w:r>
      <w:r w:rsidRPr="00E9797F">
        <w:rPr>
          <w:rFonts w:cs="Arial"/>
          <w:sz w:val="18"/>
          <w:szCs w:val="18"/>
        </w:rPr>
        <w:t xml:space="preserve"> ROC curves evaluating the model's predictive power in classifying AD biomarkers. The biomarkers included: CSF-based AT status with the proteomic model (solid orange) and baseline model (dashed orange), amyloid PET imaging with the proteomic model (solid pink) and baseline model (dashed pink), and plasma p-tau217 with the proteomic model (solid blue) and baseline model (dashed blue).</w:t>
      </w:r>
      <w:r w:rsidRPr="00E9797F">
        <w:rPr>
          <w:rFonts w:cs="Arial"/>
          <w:sz w:val="18"/>
          <w:szCs w:val="18"/>
        </w:rPr>
        <w:br/>
      </w:r>
      <w:r w:rsidRPr="00E9797F">
        <w:rPr>
          <w:rFonts w:cs="Arial"/>
          <w:b/>
          <w:bCs/>
          <w:sz w:val="18"/>
          <w:szCs w:val="18"/>
        </w:rPr>
        <w:t>(C)</w:t>
      </w:r>
      <w:r w:rsidRPr="00E9797F">
        <w:rPr>
          <w:rFonts w:cs="Arial"/>
          <w:sz w:val="18"/>
          <w:szCs w:val="18"/>
        </w:rPr>
        <w:t xml:space="preserve"> ROC curves evaluating the model's predictive power external datasets. ROSMAP (solid orange) and baseline model (dashed orange), GNPC (solid blue) and baseline model (dashed blue).</w:t>
      </w:r>
      <w:r w:rsidRPr="00E9797F">
        <w:rPr>
          <w:rFonts w:cs="Arial"/>
          <w:sz w:val="18"/>
          <w:szCs w:val="18"/>
        </w:rPr>
        <w:br/>
      </w:r>
      <w:r w:rsidRPr="00E9797F">
        <w:rPr>
          <w:rFonts w:cs="Arial"/>
          <w:b/>
          <w:bCs/>
          <w:sz w:val="18"/>
          <w:szCs w:val="18"/>
        </w:rPr>
        <w:t>(D)</w:t>
      </w:r>
      <w:r w:rsidRPr="00E9797F">
        <w:rPr>
          <w:rFonts w:cs="Arial"/>
          <w:sz w:val="18"/>
          <w:szCs w:val="18"/>
        </w:rPr>
        <w:t xml:space="preserve"> ROC curves evaluating the model's predictive power for CSF-based AT status (AT- vs. AT+) by dataset. The following datasets were used: both datasets with the proteomic model (solid orange) and baseline model (dashed orange), discovery dataset with the proteomic model (solid pink) and baseline model (dashed pink), and replication dataset with the proteomic model (solid blue) and baseline model (dashed blue).</w:t>
      </w:r>
      <w:r w:rsidRPr="00E9797F">
        <w:rPr>
          <w:rFonts w:cs="Arial"/>
          <w:sz w:val="18"/>
          <w:szCs w:val="18"/>
        </w:rPr>
        <w:br/>
      </w:r>
      <w:r w:rsidRPr="00E9797F">
        <w:rPr>
          <w:rFonts w:cs="Arial"/>
          <w:b/>
          <w:bCs/>
          <w:sz w:val="18"/>
          <w:szCs w:val="18"/>
        </w:rPr>
        <w:t>(E)</w:t>
      </w:r>
      <w:r w:rsidRPr="00E9797F">
        <w:rPr>
          <w:rFonts w:cs="Arial"/>
          <w:sz w:val="18"/>
          <w:szCs w:val="18"/>
        </w:rPr>
        <w:t xml:space="preserve"> ROC curves evaluating the model's predictive power in classifying amyloid PET imaging status (A- vs. A+) with the proteomic model (solid pink) and baseline model (dashed pink).</w:t>
      </w:r>
      <w:r w:rsidRPr="00E9797F">
        <w:rPr>
          <w:rFonts w:cs="Arial"/>
          <w:sz w:val="18"/>
          <w:szCs w:val="18"/>
        </w:rPr>
        <w:br/>
      </w:r>
      <w:r w:rsidRPr="00E9797F">
        <w:rPr>
          <w:rFonts w:cs="Arial"/>
          <w:b/>
          <w:bCs/>
          <w:sz w:val="18"/>
          <w:szCs w:val="18"/>
        </w:rPr>
        <w:t>(F)</w:t>
      </w:r>
      <w:r w:rsidRPr="00E9797F">
        <w:rPr>
          <w:rFonts w:cs="Arial"/>
          <w:sz w:val="18"/>
          <w:szCs w:val="18"/>
        </w:rPr>
        <w:t xml:space="preserve"> ROC curves assessing the model's predictive power in classifying plasma p-tau217 status (T- vs. T+) with the proteomic model (solid blue) and baseline model (dashed blue).</w:t>
      </w:r>
      <w:r w:rsidRPr="00E9797F">
        <w:rPr>
          <w:rFonts w:cs="Arial"/>
          <w:sz w:val="18"/>
          <w:szCs w:val="18"/>
        </w:rPr>
        <w:br/>
      </w:r>
      <w:r w:rsidRPr="00E9797F">
        <w:rPr>
          <w:rFonts w:cs="Arial"/>
          <w:b/>
          <w:bCs/>
          <w:sz w:val="18"/>
          <w:szCs w:val="18"/>
        </w:rPr>
        <w:t>(G)</w:t>
      </w:r>
      <w:r w:rsidRPr="00E9797F">
        <w:rPr>
          <w:rFonts w:cs="Arial"/>
          <w:sz w:val="18"/>
          <w:szCs w:val="18"/>
        </w:rPr>
        <w:t xml:space="preserve"> ROC curves evaluating the model's predictive power in classifying CSF-based AT status (AT- vs. AT+) by cohort. The following cohorts were analyzed: both cohorts with the proteomic model (solid orange) and baseline model (dashed orange), Knight ADRC with the proteomic model (solid pink) and baseline model (dashed pink), and Stanford ADRC with the proteomic model (solid blue) and baseline model (dashed blue).</w:t>
      </w:r>
      <w:r w:rsidRPr="00E9797F">
        <w:rPr>
          <w:rFonts w:cs="Arial"/>
          <w:sz w:val="18"/>
          <w:szCs w:val="18"/>
        </w:rPr>
        <w:br/>
      </w:r>
      <w:r w:rsidRPr="00E9797F">
        <w:rPr>
          <w:rFonts w:cs="Arial"/>
          <w:b/>
          <w:bCs/>
          <w:sz w:val="18"/>
          <w:szCs w:val="18"/>
        </w:rPr>
        <w:t>(H)</w:t>
      </w:r>
      <w:r w:rsidRPr="00E9797F">
        <w:rPr>
          <w:rFonts w:cs="Arial"/>
          <w:sz w:val="18"/>
          <w:szCs w:val="18"/>
        </w:rPr>
        <w:t xml:space="preserve"> ROC curves evaluating the predictive power in classifying other neurodegenerative diseases. The following diseases were analyzed: DLB with the proteomic model (solid orange) and baseline model (dashed orange), FTD with the proteomic model (solid pink) and baseline model (dashed pink), and PD with the proteomic model (solid blue) and baseline model (dashed blue).</w:t>
      </w:r>
      <w:r w:rsidRPr="00E9797F">
        <w:rPr>
          <w:rFonts w:cs="Arial"/>
          <w:sz w:val="18"/>
          <w:szCs w:val="18"/>
        </w:rPr>
        <w:br/>
      </w:r>
      <w:r w:rsidRPr="00E9797F">
        <w:rPr>
          <w:rFonts w:cs="Arial"/>
          <w:b/>
          <w:bCs/>
          <w:sz w:val="18"/>
          <w:szCs w:val="18"/>
        </w:rPr>
        <w:t>(I)</w:t>
      </w:r>
      <w:r w:rsidRPr="00E9797F">
        <w:rPr>
          <w:rFonts w:cs="Arial"/>
          <w:sz w:val="18"/>
          <w:szCs w:val="18"/>
        </w:rPr>
        <w:t xml:space="preserve"> Whisker plot illustrating the Area Under the Curve (AUC) for 7 aptamers used in the predictive model, along with the AUCs for both the baseline and proteomic models.</w:t>
      </w:r>
      <w:r w:rsidRPr="00E9797F">
        <w:rPr>
          <w:rFonts w:cs="Arial"/>
          <w:sz w:val="18"/>
          <w:szCs w:val="18"/>
        </w:rPr>
        <w:br/>
      </w:r>
      <w:r w:rsidRPr="00E9797F">
        <w:rPr>
          <w:rFonts w:cs="Arial"/>
          <w:b/>
          <w:bCs/>
          <w:sz w:val="18"/>
          <w:szCs w:val="18"/>
        </w:rPr>
        <w:t>(J)</w:t>
      </w:r>
      <w:r w:rsidRPr="00E9797F">
        <w:rPr>
          <w:rFonts w:cs="Arial"/>
          <w:sz w:val="18"/>
          <w:szCs w:val="18"/>
        </w:rPr>
        <w:t xml:space="preserve"> Plot illustrating the change in mean AUC from cross-validation as the lambda value for lasso regression changes. The numbers on the upper x-axis indicate the number of selected variables in lasso regression, with the selected lambda value marked by a dotted line.</w:t>
      </w:r>
    </w:p>
    <w:p w14:paraId="28F4C5E8" w14:textId="73E73E31" w:rsidR="00607DE6" w:rsidRDefault="006C104B" w:rsidP="00E9797F">
      <w:pPr>
        <w:spacing w:after="0" w:line="240" w:lineRule="auto"/>
        <w:rPr>
          <w:rFonts w:eastAsia="DengXian" w:cs="Arial"/>
          <w:sz w:val="18"/>
          <w:szCs w:val="18"/>
          <w:lang w:eastAsia="zh-CN"/>
        </w:rPr>
      </w:pPr>
      <w:r w:rsidRPr="006C104B">
        <w:rPr>
          <w:rFonts w:eastAsia="DengXian" w:cs="Arial"/>
          <w:sz w:val="18"/>
          <w:szCs w:val="18"/>
          <w:lang w:eastAsia="zh-CN"/>
        </w:rPr>
        <w:t>Abbreviations: AD, Alzheimer's disease; Disc, Discovery; Rep, Replication; CSF, Cerebrospinal fluid; PET, Positron emission tomography; pTau, Phosphorylated tau; FTD, Frontotemporal dementia; DLB, Dementia with Lewy bodies; PD, Parkinson's disease; Lambda_90%, 90th percentile of the lambda distribution.</w:t>
      </w:r>
    </w:p>
    <w:p w14:paraId="0949E546" w14:textId="77777777" w:rsidR="00607DE6" w:rsidRDefault="00607DE6">
      <w:pPr>
        <w:spacing w:after="0" w:line="240" w:lineRule="auto"/>
        <w:rPr>
          <w:rFonts w:eastAsia="DengXian" w:cs="Arial"/>
          <w:sz w:val="18"/>
          <w:szCs w:val="18"/>
          <w:lang w:eastAsia="zh-CN"/>
        </w:rPr>
      </w:pPr>
      <w:r>
        <w:rPr>
          <w:rFonts w:eastAsia="DengXian" w:cs="Arial"/>
          <w:sz w:val="18"/>
          <w:szCs w:val="18"/>
          <w:lang w:eastAsia="zh-CN"/>
        </w:rPr>
        <w:br w:type="page"/>
      </w:r>
    </w:p>
    <w:p w14:paraId="125F7A65" w14:textId="77777777" w:rsidR="00B4276C" w:rsidRPr="006C104B" w:rsidRDefault="00B4276C" w:rsidP="00E9797F">
      <w:pPr>
        <w:spacing w:after="0" w:line="240" w:lineRule="auto"/>
        <w:rPr>
          <w:rFonts w:eastAsia="DengXian" w:cs="Arial"/>
          <w:sz w:val="18"/>
          <w:szCs w:val="18"/>
          <w:lang w:eastAsia="zh-CN"/>
        </w:rPr>
      </w:pPr>
    </w:p>
    <w:p w14:paraId="70DFA220" w14:textId="613E9A19" w:rsidR="00B4276C" w:rsidRPr="00E9797F" w:rsidRDefault="00B4276C" w:rsidP="00E9797F">
      <w:pPr>
        <w:spacing w:after="0" w:line="240" w:lineRule="auto"/>
        <w:rPr>
          <w:rFonts w:eastAsia="DengXian" w:cs="Arial"/>
          <w:sz w:val="18"/>
          <w:szCs w:val="18"/>
          <w:lang w:eastAsia="zh-CN"/>
        </w:rPr>
      </w:pPr>
      <w:r w:rsidRPr="00E9797F">
        <w:rPr>
          <w:noProof/>
          <w:sz w:val="18"/>
          <w:szCs w:val="18"/>
        </w:rPr>
        <w:drawing>
          <wp:inline distT="0" distB="0" distL="0" distR="0" wp14:anchorId="35F66488" wp14:editId="21BBEAC3">
            <wp:extent cx="5943600" cy="2089150"/>
            <wp:effectExtent l="0" t="0" r="0" b="6350"/>
            <wp:docPr id="61799646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96461" name="Picture 5"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089150"/>
                    </a:xfrm>
                    <a:prstGeom prst="rect">
                      <a:avLst/>
                    </a:prstGeom>
                    <a:noFill/>
                    <a:ln>
                      <a:noFill/>
                    </a:ln>
                  </pic:spPr>
                </pic:pic>
              </a:graphicData>
            </a:graphic>
          </wp:inline>
        </w:drawing>
      </w:r>
    </w:p>
    <w:p w14:paraId="6E2A84FC" w14:textId="0BED54DF" w:rsidR="00B4276C" w:rsidRPr="00E9797F" w:rsidRDefault="00B4276C" w:rsidP="00E9797F">
      <w:pPr>
        <w:spacing w:after="0" w:line="240" w:lineRule="auto"/>
        <w:rPr>
          <w:rFonts w:eastAsia="DengXian" w:cs="Arial"/>
          <w:sz w:val="18"/>
          <w:szCs w:val="18"/>
          <w:lang w:eastAsia="zh-CN"/>
        </w:rPr>
      </w:pPr>
      <w:r w:rsidRPr="00E9797F">
        <w:rPr>
          <w:rFonts w:eastAsia="DengXian" w:cs="Arial"/>
          <w:b/>
          <w:bCs/>
          <w:sz w:val="18"/>
          <w:szCs w:val="18"/>
          <w:lang w:eastAsia="zh-CN"/>
        </w:rPr>
        <w:t xml:space="preserve">Supplementary Figure </w:t>
      </w:r>
      <w:r w:rsidR="00B7544B">
        <w:rPr>
          <w:rFonts w:eastAsia="DengXian" w:cs="Arial" w:hint="eastAsia"/>
          <w:b/>
          <w:bCs/>
          <w:sz w:val="18"/>
          <w:szCs w:val="18"/>
          <w:lang w:eastAsia="zh-CN"/>
        </w:rPr>
        <w:t>8</w:t>
      </w:r>
      <w:r w:rsidRPr="00E9797F">
        <w:rPr>
          <w:rFonts w:eastAsia="DengXian" w:cs="Arial"/>
          <w:b/>
          <w:bCs/>
          <w:sz w:val="18"/>
          <w:szCs w:val="18"/>
          <w:lang w:eastAsia="zh-CN"/>
        </w:rPr>
        <w:t>. AUCs with prediction models using different biomarkers</w:t>
      </w:r>
      <w:r w:rsidR="00357C63">
        <w:rPr>
          <w:rFonts w:eastAsia="DengXian" w:cs="Arial"/>
          <w:b/>
          <w:bCs/>
          <w:sz w:val="18"/>
          <w:szCs w:val="18"/>
          <w:lang w:eastAsia="zh-CN"/>
        </w:rPr>
        <w:t xml:space="preserve">. </w:t>
      </w:r>
      <w:r w:rsidRPr="00E9797F">
        <w:rPr>
          <w:rFonts w:eastAsia="DengXian" w:cs="Arial"/>
          <w:b/>
          <w:bCs/>
          <w:sz w:val="18"/>
          <w:szCs w:val="18"/>
          <w:lang w:eastAsia="zh-CN"/>
        </w:rPr>
        <w:t xml:space="preserve">(A) </w:t>
      </w:r>
      <w:r w:rsidRPr="00E9797F">
        <w:rPr>
          <w:rFonts w:eastAsia="DengXian" w:cs="Arial"/>
          <w:sz w:val="18"/>
          <w:szCs w:val="18"/>
          <w:lang w:eastAsia="zh-CN"/>
        </w:rPr>
        <w:t>The plot provides a comparison of Receiver Operating Characteristic curves for various aptamers in Alamar platform (pTau-217, pTau-181, NEFL, A</w:t>
      </w:r>
      <w:r w:rsidRPr="00E9797F">
        <w:rPr>
          <w:rFonts w:eastAsia="DengXian" w:cs="Arial"/>
          <w:sz w:val="18"/>
          <w:szCs w:val="18"/>
          <w:lang w:val="el-GR" w:eastAsia="zh-CN"/>
        </w:rPr>
        <w:t xml:space="preserve">β40, </w:t>
      </w:r>
      <w:r w:rsidRPr="00E9797F">
        <w:rPr>
          <w:rFonts w:eastAsia="DengXian" w:cs="Arial"/>
          <w:sz w:val="18"/>
          <w:szCs w:val="18"/>
          <w:lang w:eastAsia="zh-CN"/>
        </w:rPr>
        <w:t>A</w:t>
      </w:r>
      <w:r w:rsidRPr="00E9797F">
        <w:rPr>
          <w:rFonts w:eastAsia="DengXian" w:cs="Arial"/>
          <w:sz w:val="18"/>
          <w:szCs w:val="18"/>
          <w:lang w:val="el-GR" w:eastAsia="zh-CN"/>
        </w:rPr>
        <w:t xml:space="preserve">β42, </w:t>
      </w:r>
      <w:r w:rsidRPr="00E9797F">
        <w:rPr>
          <w:rFonts w:eastAsia="DengXian" w:cs="Arial"/>
          <w:sz w:val="18"/>
          <w:szCs w:val="18"/>
          <w:lang w:eastAsia="zh-CN"/>
        </w:rPr>
        <w:t>and GFAP) in distinguishing Alzheimer's Disease (AD) from cognitively normal (CO) controls. The curves were generated by fitting logistic regression models that include age and sex as covariates. The SomaLogic Analysis represents the model used in our study.</w:t>
      </w:r>
      <w:r w:rsidR="00357C63">
        <w:rPr>
          <w:rFonts w:eastAsia="DengXian" w:cs="Arial"/>
          <w:sz w:val="18"/>
          <w:szCs w:val="18"/>
          <w:lang w:eastAsia="zh-CN"/>
        </w:rPr>
        <w:t xml:space="preserve"> </w:t>
      </w:r>
      <w:r w:rsidRPr="00E9797F">
        <w:rPr>
          <w:rFonts w:eastAsia="DengXian" w:cs="Arial"/>
          <w:b/>
          <w:bCs/>
          <w:sz w:val="18"/>
          <w:szCs w:val="18"/>
          <w:lang w:eastAsia="zh-CN"/>
        </w:rPr>
        <w:t xml:space="preserve">(B) </w:t>
      </w:r>
      <w:r w:rsidRPr="00E9797F">
        <w:rPr>
          <w:rFonts w:eastAsia="DengXian" w:cs="Arial"/>
          <w:sz w:val="18"/>
          <w:szCs w:val="18"/>
          <w:lang w:eastAsia="zh-CN"/>
        </w:rPr>
        <w:t>The whisker plot displays the AUC values for different aptamers, showing the performance of each in terms of classification ability (as evaluated by AUC). Horizontal lines (whiskers) indicate the confidence intervals for each AUC value. pTau-217 and our model both show relatively high AUC values (0.798 and 0.794, respectively), suggesting strong classification performance.</w:t>
      </w:r>
    </w:p>
    <w:p w14:paraId="779D412D" w14:textId="77777777" w:rsidR="00B4276C" w:rsidRPr="00E9797F" w:rsidRDefault="00B4276C" w:rsidP="00E9797F">
      <w:pPr>
        <w:spacing w:after="0" w:line="240" w:lineRule="auto"/>
        <w:rPr>
          <w:rFonts w:cs="Arial"/>
          <w:sz w:val="18"/>
          <w:szCs w:val="18"/>
        </w:rPr>
      </w:pPr>
      <w:r w:rsidRPr="00E9797F">
        <w:rPr>
          <w:rFonts w:cs="Arial"/>
          <w:sz w:val="18"/>
          <w:szCs w:val="18"/>
        </w:rPr>
        <w:br w:type="page"/>
      </w:r>
    </w:p>
    <w:p w14:paraId="62E5074A" w14:textId="6EA7167C" w:rsidR="00B4276C" w:rsidRPr="00E9797F" w:rsidRDefault="00B4276C" w:rsidP="00E9797F">
      <w:pPr>
        <w:spacing w:after="0" w:line="240" w:lineRule="auto"/>
        <w:rPr>
          <w:rFonts w:cs="Arial"/>
          <w:sz w:val="18"/>
          <w:szCs w:val="18"/>
        </w:rPr>
      </w:pPr>
      <w:r w:rsidRPr="00E9797F">
        <w:rPr>
          <w:noProof/>
          <w:sz w:val="18"/>
          <w:szCs w:val="18"/>
        </w:rPr>
        <w:lastRenderedPageBreak/>
        <w:drawing>
          <wp:inline distT="0" distB="0" distL="0" distR="0" wp14:anchorId="4C800E7E" wp14:editId="38B5C94A">
            <wp:extent cx="4680498" cy="6353175"/>
            <wp:effectExtent l="0" t="0" r="6350" b="0"/>
            <wp:docPr id="525067925"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67925" name="Picture 6" descr="A screenshot of a computer scre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9108" cy="6392010"/>
                    </a:xfrm>
                    <a:prstGeom prst="rect">
                      <a:avLst/>
                    </a:prstGeom>
                    <a:noFill/>
                    <a:ln>
                      <a:noFill/>
                    </a:ln>
                  </pic:spPr>
                </pic:pic>
              </a:graphicData>
            </a:graphic>
          </wp:inline>
        </w:drawing>
      </w:r>
    </w:p>
    <w:p w14:paraId="525F5FC2" w14:textId="723EA514" w:rsidR="009F2A84" w:rsidRDefault="00B4276C" w:rsidP="00E9797F">
      <w:pPr>
        <w:spacing w:after="0" w:line="240" w:lineRule="auto"/>
        <w:rPr>
          <w:rFonts w:cs="Arial"/>
          <w:sz w:val="18"/>
          <w:szCs w:val="18"/>
        </w:rPr>
      </w:pPr>
      <w:r w:rsidRPr="00E9797F">
        <w:rPr>
          <w:rFonts w:cs="Arial"/>
          <w:b/>
          <w:bCs/>
          <w:sz w:val="18"/>
          <w:szCs w:val="18"/>
        </w:rPr>
        <w:t xml:space="preserve">Supplementary Figure </w:t>
      </w:r>
      <w:r w:rsidR="00B7544B">
        <w:rPr>
          <w:rFonts w:eastAsia="DengXian" w:cs="Arial" w:hint="eastAsia"/>
          <w:b/>
          <w:bCs/>
          <w:sz w:val="18"/>
          <w:szCs w:val="18"/>
          <w:lang w:eastAsia="zh-CN"/>
        </w:rPr>
        <w:t>9</w:t>
      </w:r>
      <w:r w:rsidRPr="00E9797F">
        <w:rPr>
          <w:rFonts w:cs="Arial"/>
          <w:b/>
          <w:bCs/>
          <w:sz w:val="18"/>
          <w:szCs w:val="18"/>
        </w:rPr>
        <w:t>. Orthogonal validation of the SomaLogic-based model on the Alamar and Olink platforms</w:t>
      </w:r>
      <w:r w:rsidR="00607DE6">
        <w:rPr>
          <w:rFonts w:cs="Arial"/>
          <w:b/>
          <w:bCs/>
          <w:sz w:val="18"/>
          <w:szCs w:val="18"/>
        </w:rPr>
        <w:t xml:space="preserve">. </w:t>
      </w:r>
      <w:r w:rsidRPr="00E9797F">
        <w:rPr>
          <w:rFonts w:cs="Arial"/>
          <w:b/>
          <w:bCs/>
          <w:sz w:val="18"/>
          <w:szCs w:val="18"/>
        </w:rPr>
        <w:t xml:space="preserve">(A) </w:t>
      </w:r>
      <w:r w:rsidRPr="00E9797F">
        <w:rPr>
          <w:rFonts w:cs="Arial"/>
          <w:sz w:val="18"/>
          <w:szCs w:val="18"/>
        </w:rPr>
        <w:t xml:space="preserve">Demographic information for the Knight ADRC and Stanford ADRC cohorts, including details on age (with standard deviation), percentage of males, and proportion of APOE4+ individuals for each group. </w:t>
      </w:r>
      <w:r w:rsidR="00357C63">
        <w:rPr>
          <w:rFonts w:cs="Arial"/>
          <w:sz w:val="18"/>
          <w:szCs w:val="18"/>
        </w:rPr>
        <w:t xml:space="preserve"> </w:t>
      </w:r>
      <w:r w:rsidRPr="00E9797F">
        <w:rPr>
          <w:rFonts w:cs="Arial"/>
          <w:b/>
          <w:bCs/>
          <w:sz w:val="18"/>
          <w:szCs w:val="18"/>
        </w:rPr>
        <w:t xml:space="preserve">(B–D) </w:t>
      </w:r>
      <w:r w:rsidRPr="00E9797F">
        <w:rPr>
          <w:rFonts w:cs="Arial"/>
          <w:sz w:val="18"/>
          <w:szCs w:val="18"/>
        </w:rPr>
        <w:t xml:space="preserve">Comparison of the predictive power of proteins between SomaLogic and Alamar platforms. </w:t>
      </w:r>
      <w:r w:rsidRPr="00E9797F">
        <w:rPr>
          <w:rFonts w:cs="Arial"/>
          <w:b/>
          <w:bCs/>
          <w:sz w:val="18"/>
          <w:szCs w:val="18"/>
        </w:rPr>
        <w:t>(B)</w:t>
      </w:r>
      <w:r w:rsidRPr="00E9797F">
        <w:rPr>
          <w:rFonts w:cs="Arial"/>
          <w:sz w:val="18"/>
          <w:szCs w:val="18"/>
        </w:rPr>
        <w:t xml:space="preserve"> ROC curves showing the predictive power of single-protein models, adjusted for sex and age. </w:t>
      </w:r>
      <w:r w:rsidRPr="00E9797F">
        <w:rPr>
          <w:rFonts w:cs="Arial"/>
          <w:b/>
          <w:bCs/>
          <w:sz w:val="18"/>
          <w:szCs w:val="18"/>
        </w:rPr>
        <w:t>(C)</w:t>
      </w:r>
      <w:r w:rsidRPr="00E9797F">
        <w:rPr>
          <w:rFonts w:cs="Arial"/>
          <w:sz w:val="18"/>
          <w:szCs w:val="18"/>
        </w:rPr>
        <w:t xml:space="preserve"> ROC curves for two-protein models, adjusted for sex and age. </w:t>
      </w:r>
      <w:r w:rsidRPr="00E9797F">
        <w:rPr>
          <w:rFonts w:cs="Arial"/>
          <w:b/>
          <w:bCs/>
          <w:sz w:val="18"/>
          <w:szCs w:val="18"/>
        </w:rPr>
        <w:t xml:space="preserve">(D) </w:t>
      </w:r>
      <w:r w:rsidRPr="00E9797F">
        <w:rPr>
          <w:rFonts w:cs="Arial"/>
          <w:sz w:val="18"/>
          <w:szCs w:val="18"/>
        </w:rPr>
        <w:t xml:space="preserve">Whisker plot showing AUC values for two-protein models in predicting CSF AT status, amyloid PET status, and pTau217 positivity, with adjustments for sex and age. The whisker plot includes 95% confidence intervals. </w:t>
      </w:r>
      <w:r w:rsidR="00607DE6">
        <w:rPr>
          <w:rFonts w:cs="Arial"/>
          <w:sz w:val="18"/>
          <w:szCs w:val="18"/>
        </w:rPr>
        <w:t xml:space="preserve"> </w:t>
      </w:r>
      <w:r w:rsidRPr="00E9797F">
        <w:rPr>
          <w:rFonts w:cs="Arial"/>
          <w:b/>
          <w:bCs/>
          <w:sz w:val="18"/>
          <w:szCs w:val="18"/>
        </w:rPr>
        <w:t>(E–G)</w:t>
      </w:r>
      <w:r w:rsidRPr="00E9797F">
        <w:rPr>
          <w:rFonts w:cs="Arial"/>
          <w:sz w:val="18"/>
          <w:szCs w:val="18"/>
        </w:rPr>
        <w:t xml:space="preserve"> Comparison of the predictive power of proteins between SomaLogic and Olink platforms. </w:t>
      </w:r>
      <w:r w:rsidRPr="00E9797F">
        <w:rPr>
          <w:rFonts w:cs="Arial"/>
          <w:b/>
          <w:bCs/>
          <w:sz w:val="18"/>
          <w:szCs w:val="18"/>
        </w:rPr>
        <w:t>(E)</w:t>
      </w:r>
      <w:r w:rsidRPr="00E9797F">
        <w:rPr>
          <w:rFonts w:cs="Arial"/>
          <w:sz w:val="18"/>
          <w:szCs w:val="18"/>
        </w:rPr>
        <w:t xml:space="preserve"> ROC curves comparing single-protein models, adjusted for sex, age, and plate ID. </w:t>
      </w:r>
      <w:r w:rsidRPr="00E9797F">
        <w:rPr>
          <w:rFonts w:cs="Arial"/>
          <w:b/>
          <w:bCs/>
          <w:sz w:val="18"/>
          <w:szCs w:val="18"/>
        </w:rPr>
        <w:t>(F)</w:t>
      </w:r>
      <w:r w:rsidRPr="00E9797F">
        <w:rPr>
          <w:rFonts w:cs="Arial"/>
          <w:sz w:val="18"/>
          <w:szCs w:val="18"/>
        </w:rPr>
        <w:t xml:space="preserve"> ROC curves for four-protein models, adjusted for sex, age, and plate ID. </w:t>
      </w:r>
      <w:r w:rsidRPr="00E9797F">
        <w:rPr>
          <w:rFonts w:cs="Arial"/>
          <w:b/>
          <w:bCs/>
          <w:sz w:val="18"/>
          <w:szCs w:val="18"/>
        </w:rPr>
        <w:t>(G)</w:t>
      </w:r>
      <w:r w:rsidRPr="00E9797F">
        <w:rPr>
          <w:rFonts w:cs="Arial"/>
          <w:sz w:val="18"/>
          <w:szCs w:val="18"/>
        </w:rPr>
        <w:t xml:space="preserve"> Whisker plot showing AUC values for single-protein models, adjusted for sex, age, and plate ID, with 95% confidence intervals. </w:t>
      </w:r>
      <w:r w:rsidRPr="00E9797F">
        <w:rPr>
          <w:rFonts w:cs="Arial"/>
          <w:b/>
          <w:bCs/>
          <w:sz w:val="18"/>
          <w:szCs w:val="18"/>
        </w:rPr>
        <w:t>(H)</w:t>
      </w:r>
      <w:r w:rsidRPr="00E9797F">
        <w:rPr>
          <w:rFonts w:cs="Arial"/>
          <w:sz w:val="18"/>
          <w:szCs w:val="18"/>
        </w:rPr>
        <w:t xml:space="preserve"> Statistical metrics from the replication analysis, including AUC, positive predictive value (PPV), negative predictive value (NPV), specificity, sensitivity, and accuracy, are provided for each model.</w:t>
      </w:r>
      <w:r w:rsidR="00607DE6">
        <w:rPr>
          <w:rFonts w:cs="Arial"/>
          <w:sz w:val="18"/>
          <w:szCs w:val="18"/>
        </w:rPr>
        <w:t xml:space="preserve"> </w:t>
      </w:r>
      <w:r w:rsidR="006C104B" w:rsidRPr="006C104B">
        <w:rPr>
          <w:rFonts w:cs="Arial"/>
          <w:sz w:val="18"/>
          <w:szCs w:val="18"/>
        </w:rPr>
        <w:t>Abbreviations: AUC, Area under the curve; PPV, Positive predictive value; NPV, Negative predictive value.</w:t>
      </w:r>
      <w:r w:rsidR="00607DE6">
        <w:rPr>
          <w:rFonts w:cs="Arial"/>
          <w:sz w:val="18"/>
          <w:szCs w:val="18"/>
        </w:rPr>
        <w:t xml:space="preserve"> </w:t>
      </w:r>
    </w:p>
    <w:p w14:paraId="67C7DA10" w14:textId="77777777" w:rsidR="009F2A84" w:rsidRPr="00E9797F" w:rsidRDefault="009F2A84" w:rsidP="009F2A84">
      <w:pPr>
        <w:spacing w:after="0" w:line="240" w:lineRule="auto"/>
        <w:rPr>
          <w:rFonts w:eastAsia="DengXian" w:cs="Arial"/>
          <w:sz w:val="18"/>
          <w:szCs w:val="18"/>
          <w:lang w:eastAsia="zh-CN"/>
        </w:rPr>
      </w:pPr>
      <w:r w:rsidRPr="00E9797F">
        <w:rPr>
          <w:noProof/>
          <w:sz w:val="18"/>
          <w:szCs w:val="18"/>
        </w:rPr>
        <w:lastRenderedPageBreak/>
        <w:drawing>
          <wp:inline distT="0" distB="0" distL="0" distR="0" wp14:anchorId="190F3F03" wp14:editId="78F11A6C">
            <wp:extent cx="5943600" cy="4328795"/>
            <wp:effectExtent l="0" t="0" r="0" b="0"/>
            <wp:docPr id="1431741677"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41677" name="Picture 8" descr="A screenshot of a computer scree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328795"/>
                    </a:xfrm>
                    <a:prstGeom prst="rect">
                      <a:avLst/>
                    </a:prstGeom>
                    <a:noFill/>
                    <a:ln>
                      <a:noFill/>
                    </a:ln>
                  </pic:spPr>
                </pic:pic>
              </a:graphicData>
            </a:graphic>
          </wp:inline>
        </w:drawing>
      </w:r>
    </w:p>
    <w:p w14:paraId="16F410EE" w14:textId="0FB63DD6" w:rsidR="009F2A84" w:rsidRPr="009F2A84" w:rsidRDefault="009F2A84" w:rsidP="00E9797F">
      <w:pPr>
        <w:spacing w:after="0" w:line="240" w:lineRule="auto"/>
        <w:rPr>
          <w:rFonts w:eastAsia="DengXian" w:cs="Arial"/>
          <w:sz w:val="18"/>
          <w:szCs w:val="18"/>
          <w:lang w:eastAsia="zh-CN"/>
        </w:rPr>
      </w:pPr>
      <w:r w:rsidRPr="00E9797F">
        <w:rPr>
          <w:rFonts w:eastAsia="DengXian" w:cs="Arial"/>
          <w:b/>
          <w:bCs/>
          <w:sz w:val="18"/>
          <w:szCs w:val="18"/>
          <w:lang w:eastAsia="zh-CN"/>
        </w:rPr>
        <w:t>Supplementary Figure 1</w:t>
      </w:r>
      <w:r w:rsidR="00B7544B">
        <w:rPr>
          <w:rFonts w:eastAsia="DengXian" w:cs="Arial" w:hint="eastAsia"/>
          <w:b/>
          <w:bCs/>
          <w:sz w:val="18"/>
          <w:szCs w:val="18"/>
          <w:lang w:eastAsia="zh-CN"/>
        </w:rPr>
        <w:t>0</w:t>
      </w:r>
      <w:r w:rsidRPr="00E9797F">
        <w:rPr>
          <w:rFonts w:eastAsia="DengXian" w:cs="Arial"/>
          <w:b/>
          <w:bCs/>
          <w:sz w:val="18"/>
          <w:szCs w:val="18"/>
          <w:lang w:eastAsia="zh-CN"/>
        </w:rPr>
        <w:t>. Orthogonal validation of the SomaLogic-based model on the Olink platform in Stanford ADRC cohort</w:t>
      </w:r>
      <w:r>
        <w:rPr>
          <w:rFonts w:eastAsia="DengXian" w:cs="Arial"/>
          <w:b/>
          <w:bCs/>
          <w:sz w:val="18"/>
          <w:szCs w:val="18"/>
          <w:lang w:eastAsia="zh-CN"/>
        </w:rPr>
        <w:t xml:space="preserve">. </w:t>
      </w:r>
      <w:r w:rsidRPr="00E9797F">
        <w:rPr>
          <w:rFonts w:eastAsia="DengXian" w:cs="Arial"/>
          <w:b/>
          <w:bCs/>
          <w:sz w:val="18"/>
          <w:szCs w:val="18"/>
          <w:lang w:eastAsia="zh-CN"/>
        </w:rPr>
        <w:t xml:space="preserve">(A) </w:t>
      </w:r>
      <w:r w:rsidRPr="00E9797F">
        <w:rPr>
          <w:rFonts w:eastAsia="DengXian" w:cs="Arial"/>
          <w:sz w:val="18"/>
          <w:szCs w:val="18"/>
          <w:lang w:eastAsia="zh-CN"/>
        </w:rPr>
        <w:t xml:space="preserve">Demographic information for the Olink platform data in the Stanford ADRC cohort, including age (with standard deviation), percentage of males, and proportion of APOE4+ individuals for each group. </w:t>
      </w:r>
      <w:r w:rsidRPr="00E9797F">
        <w:rPr>
          <w:rFonts w:eastAsia="DengXian" w:cs="Arial"/>
          <w:b/>
          <w:bCs/>
          <w:sz w:val="18"/>
          <w:szCs w:val="18"/>
          <w:lang w:eastAsia="zh-CN"/>
        </w:rPr>
        <w:t xml:space="preserve">(B) </w:t>
      </w:r>
      <w:r w:rsidRPr="00E9797F">
        <w:rPr>
          <w:rFonts w:eastAsia="DengXian" w:cs="Arial"/>
          <w:sz w:val="18"/>
          <w:szCs w:val="18"/>
          <w:lang w:eastAsia="zh-CN"/>
        </w:rPr>
        <w:t xml:space="preserve">ROC curves of individual aptamers in distinguishing AD from CO, with all models adjusted for sex, age, and Plate ID. </w:t>
      </w:r>
      <w:r>
        <w:rPr>
          <w:rFonts w:eastAsia="DengXian" w:cs="Arial"/>
          <w:sz w:val="18"/>
          <w:szCs w:val="18"/>
          <w:lang w:eastAsia="zh-CN"/>
        </w:rPr>
        <w:t xml:space="preserve"> </w:t>
      </w:r>
      <w:r w:rsidRPr="00E9797F">
        <w:rPr>
          <w:rFonts w:eastAsia="DengXian" w:cs="Arial"/>
          <w:b/>
          <w:bCs/>
          <w:sz w:val="18"/>
          <w:szCs w:val="18"/>
          <w:lang w:eastAsia="zh-CN"/>
        </w:rPr>
        <w:t xml:space="preserve">(C) </w:t>
      </w:r>
      <w:r w:rsidRPr="00E9797F">
        <w:rPr>
          <w:rFonts w:eastAsia="DengXian" w:cs="Arial"/>
          <w:sz w:val="18"/>
          <w:szCs w:val="18"/>
          <w:lang w:eastAsia="zh-CN"/>
        </w:rPr>
        <w:t>ROC curves of a four-protein model on the Olink platform, adjusted for sex, age, and Plate ID.</w:t>
      </w:r>
      <w:r w:rsidR="00C128E5">
        <w:rPr>
          <w:rFonts w:eastAsia="DengXian" w:cs="Arial"/>
          <w:sz w:val="18"/>
          <w:szCs w:val="18"/>
          <w:lang w:eastAsia="zh-CN"/>
        </w:rPr>
        <w:t xml:space="preserve"> </w:t>
      </w:r>
      <w:r w:rsidRPr="00E9797F">
        <w:rPr>
          <w:rFonts w:eastAsia="DengXian" w:cs="Arial"/>
          <w:b/>
          <w:bCs/>
          <w:sz w:val="18"/>
          <w:szCs w:val="18"/>
          <w:lang w:eastAsia="zh-CN"/>
        </w:rPr>
        <w:t xml:space="preserve">(D) </w:t>
      </w:r>
      <w:r w:rsidRPr="00E9797F">
        <w:rPr>
          <w:rFonts w:eastAsia="DengXian" w:cs="Arial"/>
          <w:sz w:val="18"/>
          <w:szCs w:val="18"/>
          <w:lang w:eastAsia="zh-CN"/>
        </w:rPr>
        <w:t xml:space="preserve">Whisker plot showing AUCs of individual-protein and four-protein models across platforms for predicting clinical status of AD with 95% confidence intervals. </w:t>
      </w:r>
      <w:r>
        <w:rPr>
          <w:rFonts w:eastAsia="DengXian" w:cs="Arial"/>
          <w:sz w:val="18"/>
          <w:szCs w:val="18"/>
          <w:lang w:eastAsia="zh-CN"/>
        </w:rPr>
        <w:t xml:space="preserve"> </w:t>
      </w:r>
      <w:r w:rsidRPr="00E9797F">
        <w:rPr>
          <w:rFonts w:eastAsia="DengXian" w:cs="Arial"/>
          <w:b/>
          <w:bCs/>
          <w:sz w:val="18"/>
          <w:szCs w:val="18"/>
          <w:lang w:eastAsia="zh-CN"/>
        </w:rPr>
        <w:t xml:space="preserve">(E) </w:t>
      </w:r>
      <w:r w:rsidRPr="00E9797F">
        <w:rPr>
          <w:rFonts w:eastAsia="DengXian" w:cs="Arial"/>
          <w:sz w:val="18"/>
          <w:szCs w:val="18"/>
          <w:lang w:eastAsia="zh-CN"/>
        </w:rPr>
        <w:t>Statistical metrics from the replication analysis, including AUC, positive predictive value (PPV), negative predictive value (NPV), specificity, sensitivity, and accuracy, are provided for each model.</w:t>
      </w:r>
      <w:r>
        <w:rPr>
          <w:rFonts w:eastAsia="DengXian" w:cs="Arial"/>
          <w:sz w:val="18"/>
          <w:szCs w:val="18"/>
          <w:lang w:eastAsia="zh-CN"/>
        </w:rPr>
        <w:t xml:space="preserve"> </w:t>
      </w:r>
      <w:r w:rsidR="00C128E5">
        <w:rPr>
          <w:rFonts w:eastAsia="DengXian" w:cs="Arial"/>
          <w:sz w:val="18"/>
          <w:szCs w:val="18"/>
          <w:lang w:eastAsia="zh-CN"/>
        </w:rPr>
        <w:br/>
      </w:r>
      <w:r w:rsidRPr="00A77E29">
        <w:rPr>
          <w:rFonts w:eastAsia="DengXian" w:cs="Arial"/>
          <w:sz w:val="18"/>
          <w:szCs w:val="18"/>
          <w:lang w:eastAsia="zh-CN"/>
        </w:rPr>
        <w:t>Abbreviations: AUC, Area under the curve; PPV, Positive predictive value; NPV, Negative predictive value.</w:t>
      </w:r>
    </w:p>
    <w:p w14:paraId="617FCD2F" w14:textId="23372E33" w:rsidR="00E9797F" w:rsidRDefault="00B4276C" w:rsidP="00E9797F">
      <w:pPr>
        <w:spacing w:after="0" w:line="240" w:lineRule="auto"/>
        <w:rPr>
          <w:rFonts w:eastAsia="DengXian" w:cs="Arial"/>
          <w:sz w:val="18"/>
          <w:szCs w:val="18"/>
          <w:lang w:eastAsia="zh-CN"/>
        </w:rPr>
      </w:pPr>
      <w:r w:rsidRPr="009F2A84">
        <w:rPr>
          <w:rFonts w:cs="Arial"/>
          <w:sz w:val="18"/>
          <w:szCs w:val="18"/>
        </w:rPr>
        <w:br w:type="page"/>
      </w:r>
      <w:r w:rsidR="00BF23C2" w:rsidRPr="00E9797F">
        <w:rPr>
          <w:noProof/>
          <w:sz w:val="18"/>
          <w:szCs w:val="18"/>
        </w:rPr>
        <w:lastRenderedPageBreak/>
        <w:drawing>
          <wp:inline distT="0" distB="0" distL="0" distR="0" wp14:anchorId="2D315651" wp14:editId="537F314E">
            <wp:extent cx="4677132" cy="6886575"/>
            <wp:effectExtent l="0" t="0" r="9525" b="0"/>
            <wp:docPr id="1066708995"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08995" name="Picture 7" descr="A screenshot of a grap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0954" cy="6921650"/>
                    </a:xfrm>
                    <a:prstGeom prst="rect">
                      <a:avLst/>
                    </a:prstGeom>
                    <a:noFill/>
                    <a:ln>
                      <a:noFill/>
                    </a:ln>
                  </pic:spPr>
                </pic:pic>
              </a:graphicData>
            </a:graphic>
          </wp:inline>
        </w:drawing>
      </w:r>
    </w:p>
    <w:p w14:paraId="416BA23E" w14:textId="79435D8C" w:rsidR="00B2119F" w:rsidRDefault="00BF23C2" w:rsidP="00E9797F">
      <w:pPr>
        <w:spacing w:after="0" w:line="240" w:lineRule="auto"/>
        <w:rPr>
          <w:rFonts w:eastAsia="DengXian" w:cs="Arial"/>
          <w:sz w:val="18"/>
          <w:szCs w:val="18"/>
          <w:lang w:eastAsia="zh-CN"/>
        </w:rPr>
      </w:pPr>
      <w:r w:rsidRPr="00E9797F">
        <w:rPr>
          <w:rFonts w:cs="Arial"/>
          <w:b/>
          <w:bCs/>
          <w:sz w:val="18"/>
          <w:szCs w:val="18"/>
        </w:rPr>
        <w:t>Supplementary Figure 1</w:t>
      </w:r>
      <w:r w:rsidR="00B7544B">
        <w:rPr>
          <w:rFonts w:eastAsia="DengXian" w:cs="Arial" w:hint="eastAsia"/>
          <w:b/>
          <w:bCs/>
          <w:sz w:val="18"/>
          <w:szCs w:val="18"/>
          <w:lang w:eastAsia="zh-CN"/>
        </w:rPr>
        <w:t>1</w:t>
      </w:r>
      <w:r w:rsidRPr="00E9797F">
        <w:rPr>
          <w:rFonts w:cs="Arial"/>
          <w:b/>
          <w:bCs/>
          <w:sz w:val="18"/>
          <w:szCs w:val="18"/>
        </w:rPr>
        <w:t>. Orthogonal validation of the SomaLogic-based model on the Olink platform in BBRC &amp; FACE cohort</w:t>
      </w:r>
      <w:r w:rsidR="00607DE6">
        <w:rPr>
          <w:rFonts w:cs="Arial"/>
          <w:b/>
          <w:bCs/>
          <w:sz w:val="18"/>
          <w:szCs w:val="18"/>
        </w:rPr>
        <w:t xml:space="preserve">. </w:t>
      </w:r>
      <w:r w:rsidRPr="00E9797F">
        <w:rPr>
          <w:rFonts w:cs="Arial"/>
          <w:b/>
          <w:bCs/>
          <w:sz w:val="18"/>
          <w:szCs w:val="18"/>
        </w:rPr>
        <w:t xml:space="preserve">(A) </w:t>
      </w:r>
      <w:r w:rsidRPr="00E9797F">
        <w:rPr>
          <w:rFonts w:cs="Arial"/>
          <w:sz w:val="18"/>
          <w:szCs w:val="18"/>
        </w:rPr>
        <w:t>Demographic information for the Olink platform data in the BBRC cohort, including age (with standard deviation) and percentage of males.</w:t>
      </w:r>
      <w:r w:rsidR="00607DE6">
        <w:rPr>
          <w:rFonts w:cs="Arial"/>
          <w:sz w:val="18"/>
          <w:szCs w:val="18"/>
        </w:rPr>
        <w:t xml:space="preserve"> </w:t>
      </w:r>
      <w:r w:rsidRPr="00E9797F">
        <w:rPr>
          <w:rFonts w:cs="Arial"/>
          <w:b/>
          <w:bCs/>
          <w:sz w:val="18"/>
          <w:szCs w:val="18"/>
        </w:rPr>
        <w:t xml:space="preserve">(B) </w:t>
      </w:r>
      <w:r w:rsidRPr="00E9797F">
        <w:rPr>
          <w:rFonts w:cs="Arial"/>
          <w:sz w:val="18"/>
          <w:szCs w:val="18"/>
        </w:rPr>
        <w:t>ROC curves of a four-protein model on both the Soma and Olink platform, adjusted for sex and age.</w:t>
      </w:r>
      <w:r w:rsidR="00607DE6">
        <w:rPr>
          <w:rFonts w:cs="Arial"/>
          <w:sz w:val="18"/>
          <w:szCs w:val="18"/>
        </w:rPr>
        <w:t xml:space="preserve"> </w:t>
      </w:r>
      <w:r w:rsidRPr="00E9797F">
        <w:rPr>
          <w:rFonts w:cs="Arial"/>
          <w:b/>
          <w:bCs/>
          <w:sz w:val="18"/>
          <w:szCs w:val="18"/>
        </w:rPr>
        <w:t xml:space="preserve">(C) </w:t>
      </w:r>
      <w:r w:rsidRPr="00E9797F">
        <w:rPr>
          <w:rFonts w:cs="Arial"/>
          <w:sz w:val="18"/>
          <w:szCs w:val="18"/>
        </w:rPr>
        <w:t>ROC curves of a seven-protein model on the Soma platform, adjusted for sex and age.</w:t>
      </w:r>
      <w:r w:rsidR="00607DE6">
        <w:rPr>
          <w:rFonts w:cs="Arial"/>
          <w:sz w:val="18"/>
          <w:szCs w:val="18"/>
        </w:rPr>
        <w:t xml:space="preserve"> </w:t>
      </w:r>
      <w:r w:rsidRPr="00E9797F">
        <w:rPr>
          <w:rFonts w:cs="Arial"/>
          <w:b/>
          <w:bCs/>
          <w:sz w:val="18"/>
          <w:szCs w:val="18"/>
        </w:rPr>
        <w:t xml:space="preserve">(D) </w:t>
      </w:r>
      <w:r w:rsidRPr="00E9797F">
        <w:rPr>
          <w:rFonts w:cs="Arial"/>
          <w:sz w:val="18"/>
          <w:szCs w:val="18"/>
        </w:rPr>
        <w:t>Demographic information for the Olink platform data in the FACE cohort, including age (with standard deviation) and percentage of males.</w:t>
      </w:r>
      <w:r w:rsidR="00607DE6">
        <w:rPr>
          <w:rFonts w:cs="Arial"/>
          <w:sz w:val="18"/>
          <w:szCs w:val="18"/>
        </w:rPr>
        <w:t xml:space="preserve"> </w:t>
      </w:r>
      <w:r w:rsidRPr="00E9797F">
        <w:rPr>
          <w:rFonts w:cs="Arial"/>
          <w:b/>
          <w:bCs/>
          <w:sz w:val="18"/>
          <w:szCs w:val="18"/>
        </w:rPr>
        <w:t xml:space="preserve">(E, F) </w:t>
      </w:r>
      <w:r w:rsidRPr="00E9797F">
        <w:rPr>
          <w:rFonts w:cs="Arial"/>
          <w:sz w:val="18"/>
          <w:szCs w:val="18"/>
        </w:rPr>
        <w:t>ROC curves of single-protein model on both the Soma and Olink platform, adjusted for sex and age.</w:t>
      </w:r>
      <w:r w:rsidR="00607DE6">
        <w:rPr>
          <w:rFonts w:cs="Arial"/>
          <w:sz w:val="18"/>
          <w:szCs w:val="18"/>
        </w:rPr>
        <w:t xml:space="preserve"> </w:t>
      </w:r>
      <w:r w:rsidRPr="00E9797F">
        <w:rPr>
          <w:rFonts w:cs="Arial"/>
          <w:b/>
          <w:bCs/>
          <w:sz w:val="18"/>
          <w:szCs w:val="18"/>
        </w:rPr>
        <w:t xml:space="preserve">(G) </w:t>
      </w:r>
      <w:r w:rsidRPr="00E9797F">
        <w:rPr>
          <w:rFonts w:cs="Arial"/>
          <w:sz w:val="18"/>
          <w:szCs w:val="18"/>
        </w:rPr>
        <w:t>Statistical metrics from the replication analysis, including AUC, positive predictive value (PPV), negative predictive value (NPV), specificity, sensitivity, and accuracy, are provided for each model.</w:t>
      </w:r>
      <w:r w:rsidR="00607DE6">
        <w:rPr>
          <w:rFonts w:cs="Arial"/>
          <w:sz w:val="18"/>
          <w:szCs w:val="18"/>
        </w:rPr>
        <w:t xml:space="preserve"> </w:t>
      </w:r>
      <w:r w:rsidR="00AB4B72">
        <w:rPr>
          <w:rFonts w:cs="Arial"/>
          <w:sz w:val="18"/>
          <w:szCs w:val="18"/>
        </w:rPr>
        <w:t xml:space="preserve"> </w:t>
      </w:r>
      <w:r w:rsidR="00C128E5" w:rsidRPr="00A77E29">
        <w:rPr>
          <w:rFonts w:eastAsia="DengXian" w:cs="Arial"/>
          <w:sz w:val="18"/>
          <w:szCs w:val="18"/>
          <w:lang w:eastAsia="zh-CN"/>
        </w:rPr>
        <w:t>Abbreviations: AUC, Area under the curve; PPV, Positive predictive value; NPV, Negative predictive value.</w:t>
      </w:r>
    </w:p>
    <w:p w14:paraId="22738CD5" w14:textId="77777777" w:rsidR="00B2119F" w:rsidRPr="00E9797F" w:rsidRDefault="00B2119F" w:rsidP="00B2119F">
      <w:pPr>
        <w:spacing w:after="0" w:line="240" w:lineRule="auto"/>
        <w:rPr>
          <w:rFonts w:eastAsia="DengXian" w:cs="Arial"/>
          <w:sz w:val="18"/>
          <w:szCs w:val="18"/>
          <w:lang w:eastAsia="zh-CN"/>
        </w:rPr>
      </w:pPr>
      <w:r>
        <w:rPr>
          <w:noProof/>
        </w:rPr>
        <w:lastRenderedPageBreak/>
        <w:drawing>
          <wp:inline distT="0" distB="0" distL="0" distR="0" wp14:anchorId="6B6178E8" wp14:editId="156847E2">
            <wp:extent cx="5943600" cy="4389120"/>
            <wp:effectExtent l="0" t="0" r="0" b="0"/>
            <wp:docPr id="32016993" name="Picture 1" descr="A group of graphs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993" name="Picture 1" descr="A group of graphs showing different colored line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14:paraId="45EE8B44" w14:textId="54A653A6" w:rsidR="00B2119F" w:rsidRPr="00E9797F" w:rsidRDefault="00B2119F" w:rsidP="00B2119F">
      <w:pPr>
        <w:spacing w:after="0" w:line="240" w:lineRule="auto"/>
        <w:rPr>
          <w:rFonts w:eastAsia="DengXian" w:cs="Arial"/>
          <w:sz w:val="18"/>
          <w:szCs w:val="18"/>
          <w:lang w:eastAsia="zh-CN"/>
        </w:rPr>
      </w:pPr>
      <w:r w:rsidRPr="00E9797F">
        <w:rPr>
          <w:rFonts w:eastAsia="DengXian" w:cs="Arial"/>
          <w:b/>
          <w:bCs/>
          <w:sz w:val="18"/>
          <w:szCs w:val="18"/>
          <w:lang w:eastAsia="zh-CN"/>
        </w:rPr>
        <w:t xml:space="preserve">Supplementary Figure </w:t>
      </w:r>
      <w:r w:rsidR="00B7544B">
        <w:rPr>
          <w:rFonts w:eastAsia="DengXian" w:cs="Arial" w:hint="eastAsia"/>
          <w:b/>
          <w:bCs/>
          <w:sz w:val="18"/>
          <w:szCs w:val="18"/>
          <w:lang w:eastAsia="zh-CN"/>
        </w:rPr>
        <w:t>12</w:t>
      </w:r>
      <w:r w:rsidRPr="00E9797F">
        <w:rPr>
          <w:rFonts w:eastAsia="DengXian" w:cs="Arial"/>
          <w:b/>
          <w:bCs/>
          <w:sz w:val="18"/>
          <w:szCs w:val="18"/>
          <w:lang w:eastAsia="zh-CN"/>
        </w:rPr>
        <w:t>. Progression Analysis Based on Different Biomarkers</w:t>
      </w:r>
      <w:r>
        <w:rPr>
          <w:rFonts w:eastAsia="DengXian" w:cs="Arial"/>
          <w:b/>
          <w:bCs/>
          <w:sz w:val="18"/>
          <w:szCs w:val="18"/>
          <w:lang w:eastAsia="zh-CN"/>
        </w:rPr>
        <w:t xml:space="preserve">. </w:t>
      </w:r>
      <w:r w:rsidRPr="00E9797F">
        <w:rPr>
          <w:rFonts w:eastAsia="DengXian" w:cs="Arial"/>
          <w:sz w:val="18"/>
          <w:szCs w:val="18"/>
          <w:lang w:eastAsia="zh-CN"/>
        </w:rPr>
        <w:t>Kaplan-Meier survival curves illustrate the progression to AD after the initial blood draw based on different biomarker groups, illustrating the proportion of participants from each group remaining cognitively normal over the follow-up period.</w:t>
      </w:r>
      <w:r>
        <w:rPr>
          <w:rFonts w:eastAsia="DengXian" w:cs="Arial"/>
          <w:sz w:val="18"/>
          <w:szCs w:val="18"/>
          <w:lang w:eastAsia="zh-CN"/>
        </w:rPr>
        <w:t xml:space="preserve"> </w:t>
      </w:r>
      <w:r w:rsidRPr="00E9797F">
        <w:rPr>
          <w:rFonts w:eastAsia="DengXian" w:cs="Arial"/>
          <w:b/>
          <w:bCs/>
          <w:sz w:val="18"/>
          <w:szCs w:val="18"/>
          <w:lang w:eastAsia="zh-CN"/>
        </w:rPr>
        <w:t>(A)</w:t>
      </w:r>
      <w:r w:rsidRPr="00E9797F">
        <w:rPr>
          <w:rFonts w:eastAsia="DengXian" w:cs="Arial"/>
          <w:sz w:val="18"/>
          <w:szCs w:val="18"/>
          <w:lang w:eastAsia="zh-CN"/>
        </w:rPr>
        <w:t xml:space="preserve"> Predicted negative group (green line) and predicted positive group (red line).</w:t>
      </w:r>
      <w:r>
        <w:rPr>
          <w:rFonts w:eastAsia="DengXian" w:cs="Arial"/>
          <w:sz w:val="18"/>
          <w:szCs w:val="18"/>
          <w:lang w:eastAsia="zh-CN"/>
        </w:rPr>
        <w:t xml:space="preserve"> </w:t>
      </w:r>
      <w:r w:rsidRPr="00E9797F">
        <w:rPr>
          <w:rFonts w:eastAsia="DengXian" w:cs="Arial"/>
          <w:b/>
          <w:bCs/>
          <w:sz w:val="18"/>
          <w:szCs w:val="18"/>
          <w:lang w:eastAsia="zh-CN"/>
        </w:rPr>
        <w:t>(B)</w:t>
      </w:r>
      <w:r w:rsidRPr="00E9797F">
        <w:rPr>
          <w:rFonts w:eastAsia="DengXian" w:cs="Arial"/>
          <w:sz w:val="18"/>
          <w:szCs w:val="18"/>
          <w:lang w:eastAsia="zh-CN"/>
        </w:rPr>
        <w:t xml:space="preserve"> T- group (blue line) and T+ group (orange line) from plasma pTau-217.</w:t>
      </w:r>
      <w:r>
        <w:rPr>
          <w:rFonts w:eastAsia="DengXian" w:cs="Arial"/>
          <w:sz w:val="18"/>
          <w:szCs w:val="18"/>
          <w:lang w:eastAsia="zh-CN"/>
        </w:rPr>
        <w:t xml:space="preserve"> </w:t>
      </w:r>
      <w:r w:rsidRPr="00E9797F">
        <w:rPr>
          <w:rFonts w:eastAsia="DengXian" w:cs="Arial"/>
          <w:b/>
          <w:bCs/>
          <w:sz w:val="18"/>
          <w:szCs w:val="18"/>
          <w:lang w:eastAsia="zh-CN"/>
        </w:rPr>
        <w:t>(C)</w:t>
      </w:r>
      <w:r w:rsidRPr="00E9797F">
        <w:rPr>
          <w:rFonts w:eastAsia="DengXian" w:cs="Arial"/>
          <w:sz w:val="18"/>
          <w:szCs w:val="18"/>
          <w:lang w:eastAsia="zh-CN"/>
        </w:rPr>
        <w:t xml:space="preserve"> A merged plot displaying all four groups (predicted negative, predicted positive, T-, and T+) for a comprehensive comparison of progression patterns.</w:t>
      </w:r>
      <w:r>
        <w:rPr>
          <w:rFonts w:eastAsia="DengXian" w:cs="Arial"/>
          <w:sz w:val="18"/>
          <w:szCs w:val="18"/>
          <w:lang w:eastAsia="zh-CN"/>
        </w:rPr>
        <w:t xml:space="preserve"> </w:t>
      </w:r>
      <w:r w:rsidRPr="00E9797F">
        <w:rPr>
          <w:rFonts w:eastAsia="DengXian" w:cs="Arial"/>
          <w:b/>
          <w:bCs/>
          <w:sz w:val="18"/>
          <w:szCs w:val="18"/>
          <w:lang w:eastAsia="zh-CN"/>
        </w:rPr>
        <w:t>(</w:t>
      </w:r>
      <w:r>
        <w:rPr>
          <w:rFonts w:eastAsia="DengXian" w:cs="Arial" w:hint="eastAsia"/>
          <w:b/>
          <w:bCs/>
          <w:sz w:val="18"/>
          <w:szCs w:val="18"/>
          <w:lang w:eastAsia="zh-CN"/>
        </w:rPr>
        <w:t>D</w:t>
      </w:r>
      <w:r w:rsidRPr="00E9797F">
        <w:rPr>
          <w:rFonts w:eastAsia="DengXian" w:cs="Arial"/>
          <w:b/>
          <w:bCs/>
          <w:sz w:val="18"/>
          <w:szCs w:val="18"/>
          <w:lang w:eastAsia="zh-CN"/>
        </w:rPr>
        <w:t>)</w:t>
      </w:r>
      <w:r w:rsidRPr="00E9797F">
        <w:rPr>
          <w:rFonts w:eastAsia="DengXian" w:cs="Arial"/>
          <w:sz w:val="18"/>
          <w:szCs w:val="18"/>
          <w:lang w:eastAsia="zh-CN"/>
        </w:rPr>
        <w:t xml:space="preserve"> ROC curves evaluating the model's predictive power in classifying progression to symptomatic AD, with three follow-up periods: 5-year (orange), 10-year (pink), and 15-year (blue).</w:t>
      </w:r>
      <w:r>
        <w:rPr>
          <w:rFonts w:eastAsia="DengXian" w:cs="Arial"/>
          <w:sz w:val="18"/>
          <w:szCs w:val="18"/>
          <w:lang w:eastAsia="zh-CN"/>
        </w:rPr>
        <w:t xml:space="preserve"> </w:t>
      </w:r>
      <w:r>
        <w:rPr>
          <w:rFonts w:eastAsia="DengXian" w:cs="Arial"/>
          <w:sz w:val="18"/>
          <w:szCs w:val="18"/>
          <w:lang w:eastAsia="zh-CN"/>
        </w:rPr>
        <w:br/>
      </w:r>
      <w:r w:rsidRPr="006C104B">
        <w:rPr>
          <w:rFonts w:eastAsia="DengXian" w:cs="Arial"/>
          <w:sz w:val="18"/>
          <w:szCs w:val="18"/>
          <w:lang w:eastAsia="zh-CN"/>
        </w:rPr>
        <w:t>Abbreviations: pTau, Phosphorylated tau.</w:t>
      </w:r>
    </w:p>
    <w:p w14:paraId="17CFBB63" w14:textId="5C9A5648" w:rsidR="00F12813" w:rsidRPr="00ED1AEB" w:rsidRDefault="00B2119F" w:rsidP="00E9797F">
      <w:pPr>
        <w:spacing w:after="0" w:line="240" w:lineRule="auto"/>
        <w:rPr>
          <w:rFonts w:eastAsia="DengXian" w:cs="Arial"/>
          <w:sz w:val="18"/>
          <w:szCs w:val="18"/>
          <w:lang w:eastAsia="zh-CN"/>
        </w:rPr>
      </w:pPr>
      <w:r>
        <w:rPr>
          <w:rFonts w:eastAsia="DengXian" w:cs="Arial"/>
          <w:sz w:val="18"/>
          <w:szCs w:val="18"/>
          <w:lang w:eastAsia="zh-CN"/>
        </w:rPr>
        <w:br w:type="page"/>
      </w:r>
    </w:p>
    <w:p w14:paraId="5410F866" w14:textId="66765975" w:rsidR="00A77E29" w:rsidRPr="00E9797F" w:rsidRDefault="00ED1AEB" w:rsidP="00E9797F">
      <w:pPr>
        <w:spacing w:after="0" w:line="240" w:lineRule="auto"/>
        <w:rPr>
          <w:rFonts w:eastAsia="DengXian" w:cs="Arial"/>
          <w:sz w:val="18"/>
          <w:szCs w:val="18"/>
          <w:lang w:eastAsia="zh-CN"/>
        </w:rPr>
      </w:pPr>
      <w:r>
        <w:rPr>
          <w:noProof/>
        </w:rPr>
        <w:lastRenderedPageBreak/>
        <w:drawing>
          <wp:inline distT="0" distB="0" distL="0" distR="0" wp14:anchorId="686B5878" wp14:editId="6033DD06">
            <wp:extent cx="5943600" cy="4836160"/>
            <wp:effectExtent l="0" t="0" r="0" b="2540"/>
            <wp:docPr id="809478085" name="Picture 3"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78085" name="Picture 3" descr="A collage of graph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836160"/>
                    </a:xfrm>
                    <a:prstGeom prst="rect">
                      <a:avLst/>
                    </a:prstGeom>
                    <a:noFill/>
                    <a:ln>
                      <a:noFill/>
                    </a:ln>
                  </pic:spPr>
                </pic:pic>
              </a:graphicData>
            </a:graphic>
          </wp:inline>
        </w:drawing>
      </w:r>
      <w:r w:rsidR="00F12813" w:rsidRPr="00E9797F">
        <w:rPr>
          <w:rFonts w:eastAsia="DengXian" w:cs="Arial"/>
          <w:b/>
          <w:bCs/>
          <w:sz w:val="18"/>
          <w:szCs w:val="18"/>
          <w:lang w:eastAsia="zh-CN"/>
        </w:rPr>
        <w:t>Supplementary Figure 1</w:t>
      </w:r>
      <w:r w:rsidR="009F2A84">
        <w:rPr>
          <w:rFonts w:eastAsia="DengXian" w:cs="Arial" w:hint="eastAsia"/>
          <w:b/>
          <w:bCs/>
          <w:sz w:val="18"/>
          <w:szCs w:val="18"/>
          <w:lang w:eastAsia="zh-CN"/>
        </w:rPr>
        <w:t>3</w:t>
      </w:r>
      <w:r w:rsidR="00F12813" w:rsidRPr="00E9797F">
        <w:rPr>
          <w:rFonts w:eastAsia="DengXian" w:cs="Arial"/>
          <w:b/>
          <w:bCs/>
          <w:sz w:val="18"/>
          <w:szCs w:val="18"/>
          <w:lang w:eastAsia="zh-CN"/>
        </w:rPr>
        <w:t>. Analysis of progression in cognitive impairment and progression to symptomatic AD with predictive mode</w:t>
      </w:r>
      <w:r w:rsidR="00357C63">
        <w:rPr>
          <w:rFonts w:eastAsia="DengXian" w:cs="Arial"/>
          <w:b/>
          <w:bCs/>
          <w:sz w:val="18"/>
          <w:szCs w:val="18"/>
          <w:lang w:eastAsia="zh-CN"/>
        </w:rPr>
        <w:t xml:space="preserve">. </w:t>
      </w:r>
      <w:r w:rsidR="00F12813" w:rsidRPr="00E9797F">
        <w:rPr>
          <w:rFonts w:eastAsia="DengXian" w:cs="Arial"/>
          <w:b/>
          <w:bCs/>
          <w:sz w:val="18"/>
          <w:szCs w:val="18"/>
          <w:lang w:eastAsia="zh-CN"/>
        </w:rPr>
        <w:t>(A-C)</w:t>
      </w:r>
      <w:r w:rsidR="00F12813" w:rsidRPr="00E9797F">
        <w:rPr>
          <w:rFonts w:eastAsia="DengXian" w:cs="Arial"/>
          <w:sz w:val="18"/>
          <w:szCs w:val="18"/>
          <w:lang w:eastAsia="zh-CN"/>
        </w:rPr>
        <w:t xml:space="preserve"> Changes in Cognitive Dementia Rating-Sum of Boxes (CDR-SB) scores (y-axis) over time (x-axis) in </w:t>
      </w:r>
      <w:r w:rsidR="00F12813" w:rsidRPr="00E9797F">
        <w:rPr>
          <w:rFonts w:eastAsia="DengXian" w:cs="Arial"/>
          <w:b/>
          <w:bCs/>
          <w:sz w:val="18"/>
          <w:szCs w:val="18"/>
          <w:lang w:eastAsia="zh-CN"/>
        </w:rPr>
        <w:t>(A)</w:t>
      </w:r>
      <w:r w:rsidR="00F12813" w:rsidRPr="00E9797F">
        <w:rPr>
          <w:rFonts w:eastAsia="DengXian" w:cs="Arial"/>
          <w:sz w:val="18"/>
          <w:szCs w:val="18"/>
          <w:lang w:eastAsia="zh-CN"/>
        </w:rPr>
        <w:t xml:space="preserve"> both groups, </w:t>
      </w:r>
      <w:r w:rsidR="00F12813" w:rsidRPr="00E9797F">
        <w:rPr>
          <w:rFonts w:eastAsia="DengXian" w:cs="Arial"/>
          <w:b/>
          <w:bCs/>
          <w:sz w:val="18"/>
          <w:szCs w:val="18"/>
          <w:lang w:eastAsia="zh-CN"/>
        </w:rPr>
        <w:t>(B)</w:t>
      </w:r>
      <w:r w:rsidR="00F12813" w:rsidRPr="00E9797F">
        <w:rPr>
          <w:rFonts w:eastAsia="DengXian" w:cs="Arial"/>
          <w:sz w:val="18"/>
          <w:szCs w:val="18"/>
          <w:lang w:eastAsia="zh-CN"/>
        </w:rPr>
        <w:t xml:space="preserve"> the Alzheimer's disease (AD) group, and </w:t>
      </w:r>
      <w:r w:rsidR="00F12813" w:rsidRPr="00E9797F">
        <w:rPr>
          <w:rFonts w:eastAsia="DengXian" w:cs="Arial"/>
          <w:b/>
          <w:bCs/>
          <w:sz w:val="18"/>
          <w:szCs w:val="18"/>
          <w:lang w:eastAsia="zh-CN"/>
        </w:rPr>
        <w:t>(C)</w:t>
      </w:r>
      <w:r w:rsidR="00F12813" w:rsidRPr="00E9797F">
        <w:rPr>
          <w:rFonts w:eastAsia="DengXian" w:cs="Arial"/>
          <w:sz w:val="18"/>
          <w:szCs w:val="18"/>
          <w:lang w:eastAsia="zh-CN"/>
        </w:rPr>
        <w:t xml:space="preserve"> the cognitively normal group, as categorized by the prediction model.</w:t>
      </w:r>
      <w:r w:rsidR="00357C63">
        <w:rPr>
          <w:rFonts w:eastAsia="DengXian" w:cs="Arial"/>
          <w:sz w:val="18"/>
          <w:szCs w:val="18"/>
          <w:lang w:eastAsia="zh-CN"/>
        </w:rPr>
        <w:t xml:space="preserve"> </w:t>
      </w:r>
      <w:r w:rsidR="00F12813" w:rsidRPr="00E9797F">
        <w:rPr>
          <w:rFonts w:eastAsia="DengXian" w:cs="Arial"/>
          <w:b/>
          <w:bCs/>
          <w:sz w:val="18"/>
          <w:szCs w:val="18"/>
          <w:lang w:eastAsia="zh-CN"/>
        </w:rPr>
        <w:t>(D-F)</w:t>
      </w:r>
      <w:r w:rsidR="00F12813" w:rsidRPr="00E9797F">
        <w:rPr>
          <w:rFonts w:eastAsia="DengXian" w:cs="Arial"/>
          <w:sz w:val="18"/>
          <w:szCs w:val="18"/>
          <w:lang w:eastAsia="zh-CN"/>
        </w:rPr>
        <w:t xml:space="preserve"> Boxplots showing the rate of CDR-SB changes per year in </w:t>
      </w:r>
      <w:r w:rsidR="00F12813" w:rsidRPr="00E9797F">
        <w:rPr>
          <w:rFonts w:eastAsia="DengXian" w:cs="Arial"/>
          <w:b/>
          <w:bCs/>
          <w:sz w:val="18"/>
          <w:szCs w:val="18"/>
          <w:lang w:eastAsia="zh-CN"/>
        </w:rPr>
        <w:t>(D)</w:t>
      </w:r>
      <w:r w:rsidR="00F12813" w:rsidRPr="00E9797F">
        <w:rPr>
          <w:rFonts w:eastAsia="DengXian" w:cs="Arial"/>
          <w:sz w:val="18"/>
          <w:szCs w:val="18"/>
          <w:lang w:eastAsia="zh-CN"/>
        </w:rPr>
        <w:t xml:space="preserve"> both groups, </w:t>
      </w:r>
      <w:r w:rsidR="00F12813" w:rsidRPr="00E9797F">
        <w:rPr>
          <w:rFonts w:eastAsia="DengXian" w:cs="Arial"/>
          <w:b/>
          <w:bCs/>
          <w:sz w:val="18"/>
          <w:szCs w:val="18"/>
          <w:lang w:eastAsia="zh-CN"/>
        </w:rPr>
        <w:t>(E)</w:t>
      </w:r>
      <w:r w:rsidR="00F12813" w:rsidRPr="00E9797F">
        <w:rPr>
          <w:rFonts w:eastAsia="DengXian" w:cs="Arial"/>
          <w:sz w:val="18"/>
          <w:szCs w:val="18"/>
          <w:lang w:eastAsia="zh-CN"/>
        </w:rPr>
        <w:t xml:space="preserve"> the AD group, and </w:t>
      </w:r>
      <w:r w:rsidR="00F12813" w:rsidRPr="00E9797F">
        <w:rPr>
          <w:rFonts w:eastAsia="DengXian" w:cs="Arial"/>
          <w:b/>
          <w:bCs/>
          <w:sz w:val="18"/>
          <w:szCs w:val="18"/>
          <w:lang w:eastAsia="zh-CN"/>
        </w:rPr>
        <w:t>(F)</w:t>
      </w:r>
      <w:r w:rsidR="00F12813" w:rsidRPr="00E9797F">
        <w:rPr>
          <w:rFonts w:eastAsia="DengXian" w:cs="Arial"/>
          <w:sz w:val="18"/>
          <w:szCs w:val="18"/>
          <w:lang w:eastAsia="zh-CN"/>
        </w:rPr>
        <w:t xml:space="preserve"> the cognitively normal group, categorized by the prediction model.</w:t>
      </w:r>
      <w:r w:rsidR="00C128E5">
        <w:rPr>
          <w:rFonts w:eastAsia="DengXian" w:cs="Arial"/>
          <w:sz w:val="18"/>
          <w:szCs w:val="18"/>
          <w:lang w:eastAsia="zh-CN"/>
        </w:rPr>
        <w:br/>
      </w:r>
      <w:r w:rsidR="00A77E29" w:rsidRPr="00A77E29">
        <w:rPr>
          <w:rFonts w:eastAsia="DengXian" w:cs="Arial"/>
          <w:sz w:val="18"/>
          <w:szCs w:val="18"/>
          <w:lang w:eastAsia="zh-CN"/>
        </w:rPr>
        <w:t>Abbreviations: CDR-SB, Clinical Dementia Rating Scale-Sum of Boxes; CO, Control; AD, Alzheimer's disease.</w:t>
      </w:r>
    </w:p>
    <w:p w14:paraId="5EFF9F87" w14:textId="7CD86D2A" w:rsidR="00AF13D1" w:rsidRPr="009F2A84" w:rsidRDefault="00F12813" w:rsidP="00E9797F">
      <w:pPr>
        <w:spacing w:after="0" w:line="240" w:lineRule="auto"/>
        <w:rPr>
          <w:rFonts w:eastAsia="DengXian" w:cs="Arial"/>
          <w:sz w:val="18"/>
          <w:szCs w:val="18"/>
          <w:lang w:eastAsia="zh-CN"/>
        </w:rPr>
      </w:pPr>
      <w:r w:rsidRPr="00E9797F">
        <w:rPr>
          <w:noProof/>
          <w:sz w:val="18"/>
          <w:szCs w:val="18"/>
        </w:rPr>
        <w:lastRenderedPageBreak/>
        <w:drawing>
          <wp:inline distT="0" distB="0" distL="0" distR="0" wp14:anchorId="788112BF" wp14:editId="2868BF01">
            <wp:extent cx="5892719" cy="7528956"/>
            <wp:effectExtent l="0" t="0" r="0" b="0"/>
            <wp:docPr id="1113989795"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89795" name="Picture 9" descr="A screenshot of a computer scr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7477" cy="7535036"/>
                    </a:xfrm>
                    <a:prstGeom prst="rect">
                      <a:avLst/>
                    </a:prstGeom>
                    <a:noFill/>
                    <a:ln>
                      <a:noFill/>
                    </a:ln>
                  </pic:spPr>
                </pic:pic>
              </a:graphicData>
            </a:graphic>
          </wp:inline>
        </w:drawing>
      </w:r>
      <w:r w:rsidRPr="00E9797F">
        <w:rPr>
          <w:rFonts w:eastAsia="DengXian" w:cs="Arial"/>
          <w:b/>
          <w:bCs/>
          <w:sz w:val="18"/>
          <w:szCs w:val="18"/>
          <w:lang w:eastAsia="zh-CN"/>
        </w:rPr>
        <w:t>Supplementary Figure 1</w:t>
      </w:r>
      <w:r w:rsidR="009F2A84">
        <w:rPr>
          <w:rFonts w:eastAsia="DengXian" w:cs="Arial" w:hint="eastAsia"/>
          <w:b/>
          <w:bCs/>
          <w:sz w:val="18"/>
          <w:szCs w:val="18"/>
          <w:lang w:eastAsia="zh-CN"/>
        </w:rPr>
        <w:t>4</w:t>
      </w:r>
      <w:r w:rsidRPr="00E9797F">
        <w:rPr>
          <w:rFonts w:eastAsia="DengXian" w:cs="Arial"/>
          <w:b/>
          <w:bCs/>
          <w:sz w:val="18"/>
          <w:szCs w:val="18"/>
          <w:lang w:eastAsia="zh-CN"/>
        </w:rPr>
        <w:t>. Validation of technical and biological variance</w:t>
      </w:r>
      <w:r w:rsidR="00357C63">
        <w:rPr>
          <w:rFonts w:eastAsia="DengXian" w:cs="Arial"/>
          <w:b/>
          <w:bCs/>
          <w:sz w:val="18"/>
          <w:szCs w:val="18"/>
          <w:lang w:eastAsia="zh-CN"/>
        </w:rPr>
        <w:t xml:space="preserve">. </w:t>
      </w:r>
      <w:r w:rsidRPr="00E9797F">
        <w:rPr>
          <w:rFonts w:eastAsia="DengXian" w:cs="Arial"/>
          <w:b/>
          <w:bCs/>
          <w:sz w:val="18"/>
          <w:szCs w:val="18"/>
          <w:lang w:eastAsia="zh-CN"/>
        </w:rPr>
        <w:t xml:space="preserve">(A) </w:t>
      </w:r>
      <w:r w:rsidRPr="00E9797F">
        <w:rPr>
          <w:rFonts w:eastAsia="DengXian" w:cs="Arial"/>
          <w:sz w:val="18"/>
          <w:szCs w:val="18"/>
          <w:lang w:eastAsia="zh-CN"/>
        </w:rPr>
        <w:t>Upset plot showing overlap across multiple batches (Batch_1, Batch_2, Batch_3).</w:t>
      </w:r>
      <w:r w:rsidR="00357C63">
        <w:rPr>
          <w:rFonts w:eastAsia="DengXian" w:cs="Arial"/>
          <w:sz w:val="18"/>
          <w:szCs w:val="18"/>
          <w:lang w:eastAsia="zh-CN"/>
        </w:rPr>
        <w:t xml:space="preserve"> </w:t>
      </w:r>
      <w:r w:rsidRPr="00E9797F">
        <w:rPr>
          <w:rFonts w:eastAsia="DengXian" w:cs="Arial"/>
          <w:b/>
          <w:bCs/>
          <w:sz w:val="18"/>
          <w:szCs w:val="18"/>
          <w:lang w:eastAsia="zh-CN"/>
        </w:rPr>
        <w:t xml:space="preserve">(B) </w:t>
      </w:r>
      <w:r w:rsidRPr="00E9797F">
        <w:rPr>
          <w:rFonts w:eastAsia="DengXian" w:cs="Arial"/>
          <w:sz w:val="18"/>
          <w:szCs w:val="18"/>
          <w:lang w:eastAsia="zh-CN"/>
        </w:rPr>
        <w:t>Distribution of correction factors for duplicated samples.</w:t>
      </w:r>
      <w:r w:rsidR="00357C63">
        <w:rPr>
          <w:rFonts w:eastAsia="DengXian" w:cs="Arial"/>
          <w:sz w:val="18"/>
          <w:szCs w:val="18"/>
          <w:lang w:eastAsia="zh-CN"/>
        </w:rPr>
        <w:t xml:space="preserve"> </w:t>
      </w:r>
      <w:r w:rsidRPr="00E9797F">
        <w:rPr>
          <w:rFonts w:eastAsia="DengXian" w:cs="Arial"/>
          <w:b/>
          <w:bCs/>
          <w:sz w:val="18"/>
          <w:szCs w:val="18"/>
          <w:lang w:eastAsia="zh-CN"/>
        </w:rPr>
        <w:t xml:space="preserve">(C) </w:t>
      </w:r>
      <w:r w:rsidRPr="00E9797F">
        <w:rPr>
          <w:rFonts w:eastAsia="DengXian" w:cs="Arial"/>
          <w:sz w:val="18"/>
          <w:szCs w:val="18"/>
          <w:lang w:eastAsia="zh-CN"/>
        </w:rPr>
        <w:t>Distribution of correction factors across 7k proteins.</w:t>
      </w:r>
      <w:r w:rsidR="00357C63">
        <w:rPr>
          <w:rFonts w:eastAsia="DengXian" w:cs="Arial"/>
          <w:sz w:val="18"/>
          <w:szCs w:val="18"/>
          <w:lang w:eastAsia="zh-CN"/>
        </w:rPr>
        <w:t xml:space="preserve"> </w:t>
      </w:r>
      <w:r w:rsidRPr="00E9797F">
        <w:rPr>
          <w:rFonts w:eastAsia="DengXian" w:cs="Arial"/>
          <w:b/>
          <w:bCs/>
          <w:sz w:val="18"/>
          <w:szCs w:val="18"/>
          <w:lang w:eastAsia="zh-CN"/>
        </w:rPr>
        <w:t xml:space="preserve">(D) </w:t>
      </w:r>
      <w:r w:rsidRPr="00E9797F">
        <w:rPr>
          <w:rFonts w:eastAsia="DengXian" w:cs="Arial"/>
          <w:sz w:val="18"/>
          <w:szCs w:val="18"/>
          <w:lang w:eastAsia="zh-CN"/>
        </w:rPr>
        <w:t>Top 5 significant correction factors at both the duplicated sample level and protein level.</w:t>
      </w:r>
    </w:p>
    <w:sectPr w:rsidR="00AF13D1" w:rsidRPr="009F2A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23ADB" w14:textId="77777777" w:rsidR="008B2732" w:rsidRDefault="008B2732" w:rsidP="00B801F2">
      <w:r>
        <w:separator/>
      </w:r>
    </w:p>
  </w:endnote>
  <w:endnote w:type="continuationSeparator" w:id="0">
    <w:p w14:paraId="58B71ABF" w14:textId="77777777" w:rsidR="008B2732" w:rsidRDefault="008B2732" w:rsidP="00B80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AD9CD" w14:textId="77777777" w:rsidR="008B2732" w:rsidRDefault="008B2732" w:rsidP="00B801F2">
      <w:r>
        <w:separator/>
      </w:r>
    </w:p>
  </w:footnote>
  <w:footnote w:type="continuationSeparator" w:id="0">
    <w:p w14:paraId="2296EA04" w14:textId="77777777" w:rsidR="008B2732" w:rsidRDefault="008B2732" w:rsidP="00B801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57B67"/>
    <w:multiLevelType w:val="hybridMultilevel"/>
    <w:tmpl w:val="EB1E7B94"/>
    <w:lvl w:ilvl="0" w:tplc="4810E3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D5BDC"/>
    <w:multiLevelType w:val="hybridMultilevel"/>
    <w:tmpl w:val="8E38A754"/>
    <w:lvl w:ilvl="0" w:tplc="C652EA4A">
      <w:start w:val="1"/>
      <w:numFmt w:val="bullet"/>
      <w:lvlText w:val="•"/>
      <w:lvlJc w:val="left"/>
      <w:pPr>
        <w:tabs>
          <w:tab w:val="num" w:pos="720"/>
        </w:tabs>
        <w:ind w:left="720" w:hanging="360"/>
      </w:pPr>
      <w:rPr>
        <w:rFonts w:ascii="Arial" w:hAnsi="Arial" w:hint="default"/>
      </w:rPr>
    </w:lvl>
    <w:lvl w:ilvl="1" w:tplc="9CAA9C72">
      <w:start w:val="1"/>
      <w:numFmt w:val="bullet"/>
      <w:lvlText w:val="•"/>
      <w:lvlJc w:val="left"/>
      <w:pPr>
        <w:tabs>
          <w:tab w:val="num" w:pos="1440"/>
        </w:tabs>
        <w:ind w:left="1440" w:hanging="360"/>
      </w:pPr>
      <w:rPr>
        <w:rFonts w:ascii="Arial" w:hAnsi="Arial" w:hint="default"/>
      </w:rPr>
    </w:lvl>
    <w:lvl w:ilvl="2" w:tplc="549C3E78" w:tentative="1">
      <w:start w:val="1"/>
      <w:numFmt w:val="bullet"/>
      <w:lvlText w:val="•"/>
      <w:lvlJc w:val="left"/>
      <w:pPr>
        <w:tabs>
          <w:tab w:val="num" w:pos="2160"/>
        </w:tabs>
        <w:ind w:left="2160" w:hanging="360"/>
      </w:pPr>
      <w:rPr>
        <w:rFonts w:ascii="Arial" w:hAnsi="Arial" w:hint="default"/>
      </w:rPr>
    </w:lvl>
    <w:lvl w:ilvl="3" w:tplc="15A4B1C8" w:tentative="1">
      <w:start w:val="1"/>
      <w:numFmt w:val="bullet"/>
      <w:lvlText w:val="•"/>
      <w:lvlJc w:val="left"/>
      <w:pPr>
        <w:tabs>
          <w:tab w:val="num" w:pos="2880"/>
        </w:tabs>
        <w:ind w:left="2880" w:hanging="360"/>
      </w:pPr>
      <w:rPr>
        <w:rFonts w:ascii="Arial" w:hAnsi="Arial" w:hint="default"/>
      </w:rPr>
    </w:lvl>
    <w:lvl w:ilvl="4" w:tplc="CBE4A83C" w:tentative="1">
      <w:start w:val="1"/>
      <w:numFmt w:val="bullet"/>
      <w:lvlText w:val="•"/>
      <w:lvlJc w:val="left"/>
      <w:pPr>
        <w:tabs>
          <w:tab w:val="num" w:pos="3600"/>
        </w:tabs>
        <w:ind w:left="3600" w:hanging="360"/>
      </w:pPr>
      <w:rPr>
        <w:rFonts w:ascii="Arial" w:hAnsi="Arial" w:hint="default"/>
      </w:rPr>
    </w:lvl>
    <w:lvl w:ilvl="5" w:tplc="7FFE9A86" w:tentative="1">
      <w:start w:val="1"/>
      <w:numFmt w:val="bullet"/>
      <w:lvlText w:val="•"/>
      <w:lvlJc w:val="left"/>
      <w:pPr>
        <w:tabs>
          <w:tab w:val="num" w:pos="4320"/>
        </w:tabs>
        <w:ind w:left="4320" w:hanging="360"/>
      </w:pPr>
      <w:rPr>
        <w:rFonts w:ascii="Arial" w:hAnsi="Arial" w:hint="default"/>
      </w:rPr>
    </w:lvl>
    <w:lvl w:ilvl="6" w:tplc="A4E2E460" w:tentative="1">
      <w:start w:val="1"/>
      <w:numFmt w:val="bullet"/>
      <w:lvlText w:val="•"/>
      <w:lvlJc w:val="left"/>
      <w:pPr>
        <w:tabs>
          <w:tab w:val="num" w:pos="5040"/>
        </w:tabs>
        <w:ind w:left="5040" w:hanging="360"/>
      </w:pPr>
      <w:rPr>
        <w:rFonts w:ascii="Arial" w:hAnsi="Arial" w:hint="default"/>
      </w:rPr>
    </w:lvl>
    <w:lvl w:ilvl="7" w:tplc="F2F66F38" w:tentative="1">
      <w:start w:val="1"/>
      <w:numFmt w:val="bullet"/>
      <w:lvlText w:val="•"/>
      <w:lvlJc w:val="left"/>
      <w:pPr>
        <w:tabs>
          <w:tab w:val="num" w:pos="5760"/>
        </w:tabs>
        <w:ind w:left="5760" w:hanging="360"/>
      </w:pPr>
      <w:rPr>
        <w:rFonts w:ascii="Arial" w:hAnsi="Arial" w:hint="default"/>
      </w:rPr>
    </w:lvl>
    <w:lvl w:ilvl="8" w:tplc="55B8F8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8800B3"/>
    <w:multiLevelType w:val="hybridMultilevel"/>
    <w:tmpl w:val="375C4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2FAD"/>
    <w:multiLevelType w:val="hybridMultilevel"/>
    <w:tmpl w:val="BC743CAA"/>
    <w:lvl w:ilvl="0" w:tplc="997EE78E">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C85235"/>
    <w:multiLevelType w:val="hybridMultilevel"/>
    <w:tmpl w:val="02CED31A"/>
    <w:lvl w:ilvl="0" w:tplc="47DC3EB6">
      <w:start w:val="1"/>
      <w:numFmt w:val="bullet"/>
      <w:lvlText w:val="•"/>
      <w:lvlJc w:val="left"/>
      <w:pPr>
        <w:tabs>
          <w:tab w:val="num" w:pos="720"/>
        </w:tabs>
        <w:ind w:left="720" w:hanging="360"/>
      </w:pPr>
      <w:rPr>
        <w:rFonts w:ascii="Arial" w:hAnsi="Arial" w:hint="default"/>
      </w:rPr>
    </w:lvl>
    <w:lvl w:ilvl="1" w:tplc="2EC81356">
      <w:numFmt w:val="bullet"/>
      <w:lvlText w:val="•"/>
      <w:lvlJc w:val="left"/>
      <w:pPr>
        <w:tabs>
          <w:tab w:val="num" w:pos="1440"/>
        </w:tabs>
        <w:ind w:left="1440" w:hanging="360"/>
      </w:pPr>
      <w:rPr>
        <w:rFonts w:ascii="Arial" w:hAnsi="Arial" w:hint="default"/>
      </w:rPr>
    </w:lvl>
    <w:lvl w:ilvl="2" w:tplc="25C20738" w:tentative="1">
      <w:start w:val="1"/>
      <w:numFmt w:val="bullet"/>
      <w:lvlText w:val="•"/>
      <w:lvlJc w:val="left"/>
      <w:pPr>
        <w:tabs>
          <w:tab w:val="num" w:pos="2160"/>
        </w:tabs>
        <w:ind w:left="2160" w:hanging="360"/>
      </w:pPr>
      <w:rPr>
        <w:rFonts w:ascii="Arial" w:hAnsi="Arial" w:hint="default"/>
      </w:rPr>
    </w:lvl>
    <w:lvl w:ilvl="3" w:tplc="64B60006" w:tentative="1">
      <w:start w:val="1"/>
      <w:numFmt w:val="bullet"/>
      <w:lvlText w:val="•"/>
      <w:lvlJc w:val="left"/>
      <w:pPr>
        <w:tabs>
          <w:tab w:val="num" w:pos="2880"/>
        </w:tabs>
        <w:ind w:left="2880" w:hanging="360"/>
      </w:pPr>
      <w:rPr>
        <w:rFonts w:ascii="Arial" w:hAnsi="Arial" w:hint="default"/>
      </w:rPr>
    </w:lvl>
    <w:lvl w:ilvl="4" w:tplc="636C9792" w:tentative="1">
      <w:start w:val="1"/>
      <w:numFmt w:val="bullet"/>
      <w:lvlText w:val="•"/>
      <w:lvlJc w:val="left"/>
      <w:pPr>
        <w:tabs>
          <w:tab w:val="num" w:pos="3600"/>
        </w:tabs>
        <w:ind w:left="3600" w:hanging="360"/>
      </w:pPr>
      <w:rPr>
        <w:rFonts w:ascii="Arial" w:hAnsi="Arial" w:hint="default"/>
      </w:rPr>
    </w:lvl>
    <w:lvl w:ilvl="5" w:tplc="217879EC" w:tentative="1">
      <w:start w:val="1"/>
      <w:numFmt w:val="bullet"/>
      <w:lvlText w:val="•"/>
      <w:lvlJc w:val="left"/>
      <w:pPr>
        <w:tabs>
          <w:tab w:val="num" w:pos="4320"/>
        </w:tabs>
        <w:ind w:left="4320" w:hanging="360"/>
      </w:pPr>
      <w:rPr>
        <w:rFonts w:ascii="Arial" w:hAnsi="Arial" w:hint="default"/>
      </w:rPr>
    </w:lvl>
    <w:lvl w:ilvl="6" w:tplc="EAEABFD4" w:tentative="1">
      <w:start w:val="1"/>
      <w:numFmt w:val="bullet"/>
      <w:lvlText w:val="•"/>
      <w:lvlJc w:val="left"/>
      <w:pPr>
        <w:tabs>
          <w:tab w:val="num" w:pos="5040"/>
        </w:tabs>
        <w:ind w:left="5040" w:hanging="360"/>
      </w:pPr>
      <w:rPr>
        <w:rFonts w:ascii="Arial" w:hAnsi="Arial" w:hint="default"/>
      </w:rPr>
    </w:lvl>
    <w:lvl w:ilvl="7" w:tplc="B80636B4" w:tentative="1">
      <w:start w:val="1"/>
      <w:numFmt w:val="bullet"/>
      <w:lvlText w:val="•"/>
      <w:lvlJc w:val="left"/>
      <w:pPr>
        <w:tabs>
          <w:tab w:val="num" w:pos="5760"/>
        </w:tabs>
        <w:ind w:left="5760" w:hanging="360"/>
      </w:pPr>
      <w:rPr>
        <w:rFonts w:ascii="Arial" w:hAnsi="Arial" w:hint="default"/>
      </w:rPr>
    </w:lvl>
    <w:lvl w:ilvl="8" w:tplc="E97499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29357D"/>
    <w:multiLevelType w:val="hybridMultilevel"/>
    <w:tmpl w:val="84063920"/>
    <w:lvl w:ilvl="0" w:tplc="FDD6AE3E">
      <w:start w:val="1"/>
      <w:numFmt w:val="bullet"/>
      <w:lvlText w:val="•"/>
      <w:lvlJc w:val="left"/>
      <w:pPr>
        <w:tabs>
          <w:tab w:val="num" w:pos="720"/>
        </w:tabs>
        <w:ind w:left="720" w:hanging="360"/>
      </w:pPr>
      <w:rPr>
        <w:rFonts w:ascii="Arial" w:hAnsi="Arial" w:hint="default"/>
      </w:rPr>
    </w:lvl>
    <w:lvl w:ilvl="1" w:tplc="05D652C6" w:tentative="1">
      <w:start w:val="1"/>
      <w:numFmt w:val="bullet"/>
      <w:lvlText w:val="•"/>
      <w:lvlJc w:val="left"/>
      <w:pPr>
        <w:tabs>
          <w:tab w:val="num" w:pos="1440"/>
        </w:tabs>
        <w:ind w:left="1440" w:hanging="360"/>
      </w:pPr>
      <w:rPr>
        <w:rFonts w:ascii="Arial" w:hAnsi="Arial" w:hint="default"/>
      </w:rPr>
    </w:lvl>
    <w:lvl w:ilvl="2" w:tplc="CE064FB6" w:tentative="1">
      <w:start w:val="1"/>
      <w:numFmt w:val="bullet"/>
      <w:lvlText w:val="•"/>
      <w:lvlJc w:val="left"/>
      <w:pPr>
        <w:tabs>
          <w:tab w:val="num" w:pos="2160"/>
        </w:tabs>
        <w:ind w:left="2160" w:hanging="360"/>
      </w:pPr>
      <w:rPr>
        <w:rFonts w:ascii="Arial" w:hAnsi="Arial" w:hint="default"/>
      </w:rPr>
    </w:lvl>
    <w:lvl w:ilvl="3" w:tplc="590ECA0E" w:tentative="1">
      <w:start w:val="1"/>
      <w:numFmt w:val="bullet"/>
      <w:lvlText w:val="•"/>
      <w:lvlJc w:val="left"/>
      <w:pPr>
        <w:tabs>
          <w:tab w:val="num" w:pos="2880"/>
        </w:tabs>
        <w:ind w:left="2880" w:hanging="360"/>
      </w:pPr>
      <w:rPr>
        <w:rFonts w:ascii="Arial" w:hAnsi="Arial" w:hint="default"/>
      </w:rPr>
    </w:lvl>
    <w:lvl w:ilvl="4" w:tplc="32263D0E" w:tentative="1">
      <w:start w:val="1"/>
      <w:numFmt w:val="bullet"/>
      <w:lvlText w:val="•"/>
      <w:lvlJc w:val="left"/>
      <w:pPr>
        <w:tabs>
          <w:tab w:val="num" w:pos="3600"/>
        </w:tabs>
        <w:ind w:left="3600" w:hanging="360"/>
      </w:pPr>
      <w:rPr>
        <w:rFonts w:ascii="Arial" w:hAnsi="Arial" w:hint="default"/>
      </w:rPr>
    </w:lvl>
    <w:lvl w:ilvl="5" w:tplc="C5DAF436" w:tentative="1">
      <w:start w:val="1"/>
      <w:numFmt w:val="bullet"/>
      <w:lvlText w:val="•"/>
      <w:lvlJc w:val="left"/>
      <w:pPr>
        <w:tabs>
          <w:tab w:val="num" w:pos="4320"/>
        </w:tabs>
        <w:ind w:left="4320" w:hanging="360"/>
      </w:pPr>
      <w:rPr>
        <w:rFonts w:ascii="Arial" w:hAnsi="Arial" w:hint="default"/>
      </w:rPr>
    </w:lvl>
    <w:lvl w:ilvl="6" w:tplc="73D09102" w:tentative="1">
      <w:start w:val="1"/>
      <w:numFmt w:val="bullet"/>
      <w:lvlText w:val="•"/>
      <w:lvlJc w:val="left"/>
      <w:pPr>
        <w:tabs>
          <w:tab w:val="num" w:pos="5040"/>
        </w:tabs>
        <w:ind w:left="5040" w:hanging="360"/>
      </w:pPr>
      <w:rPr>
        <w:rFonts w:ascii="Arial" w:hAnsi="Arial" w:hint="default"/>
      </w:rPr>
    </w:lvl>
    <w:lvl w:ilvl="7" w:tplc="724E87F8" w:tentative="1">
      <w:start w:val="1"/>
      <w:numFmt w:val="bullet"/>
      <w:lvlText w:val="•"/>
      <w:lvlJc w:val="left"/>
      <w:pPr>
        <w:tabs>
          <w:tab w:val="num" w:pos="5760"/>
        </w:tabs>
        <w:ind w:left="5760" w:hanging="360"/>
      </w:pPr>
      <w:rPr>
        <w:rFonts w:ascii="Arial" w:hAnsi="Arial" w:hint="default"/>
      </w:rPr>
    </w:lvl>
    <w:lvl w:ilvl="8" w:tplc="DDD6FC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514C80"/>
    <w:multiLevelType w:val="hybridMultilevel"/>
    <w:tmpl w:val="CD2A6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F772BF"/>
    <w:multiLevelType w:val="hybridMultilevel"/>
    <w:tmpl w:val="614E697C"/>
    <w:lvl w:ilvl="0" w:tplc="DB94691A">
      <w:start w:val="257"/>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AE4715"/>
    <w:multiLevelType w:val="hybridMultilevel"/>
    <w:tmpl w:val="6F84BE84"/>
    <w:lvl w:ilvl="0" w:tplc="3604B500">
      <w:start w:val="25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A4453"/>
    <w:multiLevelType w:val="multilevel"/>
    <w:tmpl w:val="EB1E7B94"/>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821E09"/>
    <w:multiLevelType w:val="hybridMultilevel"/>
    <w:tmpl w:val="F28ECAEA"/>
    <w:lvl w:ilvl="0" w:tplc="FEDAA922">
      <w:start w:val="1"/>
      <w:numFmt w:val="bullet"/>
      <w:lvlText w:val="•"/>
      <w:lvlJc w:val="left"/>
      <w:pPr>
        <w:tabs>
          <w:tab w:val="num" w:pos="720"/>
        </w:tabs>
        <w:ind w:left="720" w:hanging="360"/>
      </w:pPr>
      <w:rPr>
        <w:rFonts w:ascii="Arial" w:hAnsi="Arial" w:hint="default"/>
      </w:rPr>
    </w:lvl>
    <w:lvl w:ilvl="1" w:tplc="F7FE6B3A" w:tentative="1">
      <w:start w:val="1"/>
      <w:numFmt w:val="bullet"/>
      <w:lvlText w:val="•"/>
      <w:lvlJc w:val="left"/>
      <w:pPr>
        <w:tabs>
          <w:tab w:val="num" w:pos="1440"/>
        </w:tabs>
        <w:ind w:left="1440" w:hanging="360"/>
      </w:pPr>
      <w:rPr>
        <w:rFonts w:ascii="Arial" w:hAnsi="Arial" w:hint="default"/>
      </w:rPr>
    </w:lvl>
    <w:lvl w:ilvl="2" w:tplc="057220A8" w:tentative="1">
      <w:start w:val="1"/>
      <w:numFmt w:val="bullet"/>
      <w:lvlText w:val="•"/>
      <w:lvlJc w:val="left"/>
      <w:pPr>
        <w:tabs>
          <w:tab w:val="num" w:pos="2160"/>
        </w:tabs>
        <w:ind w:left="2160" w:hanging="360"/>
      </w:pPr>
      <w:rPr>
        <w:rFonts w:ascii="Arial" w:hAnsi="Arial" w:hint="default"/>
      </w:rPr>
    </w:lvl>
    <w:lvl w:ilvl="3" w:tplc="1138F8CC" w:tentative="1">
      <w:start w:val="1"/>
      <w:numFmt w:val="bullet"/>
      <w:lvlText w:val="•"/>
      <w:lvlJc w:val="left"/>
      <w:pPr>
        <w:tabs>
          <w:tab w:val="num" w:pos="2880"/>
        </w:tabs>
        <w:ind w:left="2880" w:hanging="360"/>
      </w:pPr>
      <w:rPr>
        <w:rFonts w:ascii="Arial" w:hAnsi="Arial" w:hint="default"/>
      </w:rPr>
    </w:lvl>
    <w:lvl w:ilvl="4" w:tplc="6FE4EEDC" w:tentative="1">
      <w:start w:val="1"/>
      <w:numFmt w:val="bullet"/>
      <w:lvlText w:val="•"/>
      <w:lvlJc w:val="left"/>
      <w:pPr>
        <w:tabs>
          <w:tab w:val="num" w:pos="3600"/>
        </w:tabs>
        <w:ind w:left="3600" w:hanging="360"/>
      </w:pPr>
      <w:rPr>
        <w:rFonts w:ascii="Arial" w:hAnsi="Arial" w:hint="default"/>
      </w:rPr>
    </w:lvl>
    <w:lvl w:ilvl="5" w:tplc="213EBFD8" w:tentative="1">
      <w:start w:val="1"/>
      <w:numFmt w:val="bullet"/>
      <w:lvlText w:val="•"/>
      <w:lvlJc w:val="left"/>
      <w:pPr>
        <w:tabs>
          <w:tab w:val="num" w:pos="4320"/>
        </w:tabs>
        <w:ind w:left="4320" w:hanging="360"/>
      </w:pPr>
      <w:rPr>
        <w:rFonts w:ascii="Arial" w:hAnsi="Arial" w:hint="default"/>
      </w:rPr>
    </w:lvl>
    <w:lvl w:ilvl="6" w:tplc="7D7452EC" w:tentative="1">
      <w:start w:val="1"/>
      <w:numFmt w:val="bullet"/>
      <w:lvlText w:val="•"/>
      <w:lvlJc w:val="left"/>
      <w:pPr>
        <w:tabs>
          <w:tab w:val="num" w:pos="5040"/>
        </w:tabs>
        <w:ind w:left="5040" w:hanging="360"/>
      </w:pPr>
      <w:rPr>
        <w:rFonts w:ascii="Arial" w:hAnsi="Arial" w:hint="default"/>
      </w:rPr>
    </w:lvl>
    <w:lvl w:ilvl="7" w:tplc="ABFA317E" w:tentative="1">
      <w:start w:val="1"/>
      <w:numFmt w:val="bullet"/>
      <w:lvlText w:val="•"/>
      <w:lvlJc w:val="left"/>
      <w:pPr>
        <w:tabs>
          <w:tab w:val="num" w:pos="5760"/>
        </w:tabs>
        <w:ind w:left="5760" w:hanging="360"/>
      </w:pPr>
      <w:rPr>
        <w:rFonts w:ascii="Arial" w:hAnsi="Arial" w:hint="default"/>
      </w:rPr>
    </w:lvl>
    <w:lvl w:ilvl="8" w:tplc="FBB63F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24223B"/>
    <w:multiLevelType w:val="hybridMultilevel"/>
    <w:tmpl w:val="3EF83072"/>
    <w:lvl w:ilvl="0" w:tplc="F9B64F8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101288"/>
    <w:multiLevelType w:val="hybridMultilevel"/>
    <w:tmpl w:val="643CD542"/>
    <w:lvl w:ilvl="0" w:tplc="3B021560">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3A4054"/>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62474C"/>
    <w:multiLevelType w:val="hybridMultilevel"/>
    <w:tmpl w:val="B24211F4"/>
    <w:lvl w:ilvl="0" w:tplc="98B83190">
      <w:start w:val="1"/>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DC1615"/>
    <w:multiLevelType w:val="hybridMultilevel"/>
    <w:tmpl w:val="1324B428"/>
    <w:lvl w:ilvl="0" w:tplc="43B4A804">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E343F5"/>
    <w:multiLevelType w:val="hybridMultilevel"/>
    <w:tmpl w:val="7A709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E72F92"/>
    <w:multiLevelType w:val="hybridMultilevel"/>
    <w:tmpl w:val="41E683C6"/>
    <w:lvl w:ilvl="0" w:tplc="DEDAF630">
      <w:start w:val="1"/>
      <w:numFmt w:val="bullet"/>
      <w:lvlText w:val="•"/>
      <w:lvlJc w:val="left"/>
      <w:pPr>
        <w:tabs>
          <w:tab w:val="num" w:pos="720"/>
        </w:tabs>
        <w:ind w:left="720" w:hanging="360"/>
      </w:pPr>
      <w:rPr>
        <w:rFonts w:ascii="Arial" w:hAnsi="Arial" w:hint="default"/>
      </w:rPr>
    </w:lvl>
    <w:lvl w:ilvl="1" w:tplc="233C05F2" w:tentative="1">
      <w:start w:val="1"/>
      <w:numFmt w:val="bullet"/>
      <w:lvlText w:val="•"/>
      <w:lvlJc w:val="left"/>
      <w:pPr>
        <w:tabs>
          <w:tab w:val="num" w:pos="1440"/>
        </w:tabs>
        <w:ind w:left="1440" w:hanging="360"/>
      </w:pPr>
      <w:rPr>
        <w:rFonts w:ascii="Arial" w:hAnsi="Arial" w:hint="default"/>
      </w:rPr>
    </w:lvl>
    <w:lvl w:ilvl="2" w:tplc="8F82EB62" w:tentative="1">
      <w:start w:val="1"/>
      <w:numFmt w:val="bullet"/>
      <w:lvlText w:val="•"/>
      <w:lvlJc w:val="left"/>
      <w:pPr>
        <w:tabs>
          <w:tab w:val="num" w:pos="2160"/>
        </w:tabs>
        <w:ind w:left="2160" w:hanging="360"/>
      </w:pPr>
      <w:rPr>
        <w:rFonts w:ascii="Arial" w:hAnsi="Arial" w:hint="default"/>
      </w:rPr>
    </w:lvl>
    <w:lvl w:ilvl="3" w:tplc="98347DCC" w:tentative="1">
      <w:start w:val="1"/>
      <w:numFmt w:val="bullet"/>
      <w:lvlText w:val="•"/>
      <w:lvlJc w:val="left"/>
      <w:pPr>
        <w:tabs>
          <w:tab w:val="num" w:pos="2880"/>
        </w:tabs>
        <w:ind w:left="2880" w:hanging="360"/>
      </w:pPr>
      <w:rPr>
        <w:rFonts w:ascii="Arial" w:hAnsi="Arial" w:hint="default"/>
      </w:rPr>
    </w:lvl>
    <w:lvl w:ilvl="4" w:tplc="74846F62" w:tentative="1">
      <w:start w:val="1"/>
      <w:numFmt w:val="bullet"/>
      <w:lvlText w:val="•"/>
      <w:lvlJc w:val="left"/>
      <w:pPr>
        <w:tabs>
          <w:tab w:val="num" w:pos="3600"/>
        </w:tabs>
        <w:ind w:left="3600" w:hanging="360"/>
      </w:pPr>
      <w:rPr>
        <w:rFonts w:ascii="Arial" w:hAnsi="Arial" w:hint="default"/>
      </w:rPr>
    </w:lvl>
    <w:lvl w:ilvl="5" w:tplc="75F82118" w:tentative="1">
      <w:start w:val="1"/>
      <w:numFmt w:val="bullet"/>
      <w:lvlText w:val="•"/>
      <w:lvlJc w:val="left"/>
      <w:pPr>
        <w:tabs>
          <w:tab w:val="num" w:pos="4320"/>
        </w:tabs>
        <w:ind w:left="4320" w:hanging="360"/>
      </w:pPr>
      <w:rPr>
        <w:rFonts w:ascii="Arial" w:hAnsi="Arial" w:hint="default"/>
      </w:rPr>
    </w:lvl>
    <w:lvl w:ilvl="6" w:tplc="1C006D1A" w:tentative="1">
      <w:start w:val="1"/>
      <w:numFmt w:val="bullet"/>
      <w:lvlText w:val="•"/>
      <w:lvlJc w:val="left"/>
      <w:pPr>
        <w:tabs>
          <w:tab w:val="num" w:pos="5040"/>
        </w:tabs>
        <w:ind w:left="5040" w:hanging="360"/>
      </w:pPr>
      <w:rPr>
        <w:rFonts w:ascii="Arial" w:hAnsi="Arial" w:hint="default"/>
      </w:rPr>
    </w:lvl>
    <w:lvl w:ilvl="7" w:tplc="1C241A1C" w:tentative="1">
      <w:start w:val="1"/>
      <w:numFmt w:val="bullet"/>
      <w:lvlText w:val="•"/>
      <w:lvlJc w:val="left"/>
      <w:pPr>
        <w:tabs>
          <w:tab w:val="num" w:pos="5760"/>
        </w:tabs>
        <w:ind w:left="5760" w:hanging="360"/>
      </w:pPr>
      <w:rPr>
        <w:rFonts w:ascii="Arial" w:hAnsi="Arial" w:hint="default"/>
      </w:rPr>
    </w:lvl>
    <w:lvl w:ilvl="8" w:tplc="0E02D30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637168"/>
    <w:multiLevelType w:val="hybridMultilevel"/>
    <w:tmpl w:val="FDD09836"/>
    <w:lvl w:ilvl="0" w:tplc="D366A3AC">
      <w:start w:val="1"/>
      <w:numFmt w:val="bullet"/>
      <w:lvlText w:val="•"/>
      <w:lvlJc w:val="left"/>
      <w:pPr>
        <w:tabs>
          <w:tab w:val="num" w:pos="720"/>
        </w:tabs>
        <w:ind w:left="720" w:hanging="360"/>
      </w:pPr>
      <w:rPr>
        <w:rFonts w:ascii="Arial" w:hAnsi="Arial" w:hint="default"/>
      </w:rPr>
    </w:lvl>
    <w:lvl w:ilvl="1" w:tplc="6AA817A2" w:tentative="1">
      <w:start w:val="1"/>
      <w:numFmt w:val="bullet"/>
      <w:lvlText w:val="•"/>
      <w:lvlJc w:val="left"/>
      <w:pPr>
        <w:tabs>
          <w:tab w:val="num" w:pos="1440"/>
        </w:tabs>
        <w:ind w:left="1440" w:hanging="360"/>
      </w:pPr>
      <w:rPr>
        <w:rFonts w:ascii="Arial" w:hAnsi="Arial" w:hint="default"/>
      </w:rPr>
    </w:lvl>
    <w:lvl w:ilvl="2" w:tplc="E634F54A" w:tentative="1">
      <w:start w:val="1"/>
      <w:numFmt w:val="bullet"/>
      <w:lvlText w:val="•"/>
      <w:lvlJc w:val="left"/>
      <w:pPr>
        <w:tabs>
          <w:tab w:val="num" w:pos="2160"/>
        </w:tabs>
        <w:ind w:left="2160" w:hanging="360"/>
      </w:pPr>
      <w:rPr>
        <w:rFonts w:ascii="Arial" w:hAnsi="Arial" w:hint="default"/>
      </w:rPr>
    </w:lvl>
    <w:lvl w:ilvl="3" w:tplc="A2121BE8" w:tentative="1">
      <w:start w:val="1"/>
      <w:numFmt w:val="bullet"/>
      <w:lvlText w:val="•"/>
      <w:lvlJc w:val="left"/>
      <w:pPr>
        <w:tabs>
          <w:tab w:val="num" w:pos="2880"/>
        </w:tabs>
        <w:ind w:left="2880" w:hanging="360"/>
      </w:pPr>
      <w:rPr>
        <w:rFonts w:ascii="Arial" w:hAnsi="Arial" w:hint="default"/>
      </w:rPr>
    </w:lvl>
    <w:lvl w:ilvl="4" w:tplc="ED3CD992" w:tentative="1">
      <w:start w:val="1"/>
      <w:numFmt w:val="bullet"/>
      <w:lvlText w:val="•"/>
      <w:lvlJc w:val="left"/>
      <w:pPr>
        <w:tabs>
          <w:tab w:val="num" w:pos="3600"/>
        </w:tabs>
        <w:ind w:left="3600" w:hanging="360"/>
      </w:pPr>
      <w:rPr>
        <w:rFonts w:ascii="Arial" w:hAnsi="Arial" w:hint="default"/>
      </w:rPr>
    </w:lvl>
    <w:lvl w:ilvl="5" w:tplc="70EA5F08" w:tentative="1">
      <w:start w:val="1"/>
      <w:numFmt w:val="bullet"/>
      <w:lvlText w:val="•"/>
      <w:lvlJc w:val="left"/>
      <w:pPr>
        <w:tabs>
          <w:tab w:val="num" w:pos="4320"/>
        </w:tabs>
        <w:ind w:left="4320" w:hanging="360"/>
      </w:pPr>
      <w:rPr>
        <w:rFonts w:ascii="Arial" w:hAnsi="Arial" w:hint="default"/>
      </w:rPr>
    </w:lvl>
    <w:lvl w:ilvl="6" w:tplc="1136A7B0" w:tentative="1">
      <w:start w:val="1"/>
      <w:numFmt w:val="bullet"/>
      <w:lvlText w:val="•"/>
      <w:lvlJc w:val="left"/>
      <w:pPr>
        <w:tabs>
          <w:tab w:val="num" w:pos="5040"/>
        </w:tabs>
        <w:ind w:left="5040" w:hanging="360"/>
      </w:pPr>
      <w:rPr>
        <w:rFonts w:ascii="Arial" w:hAnsi="Arial" w:hint="default"/>
      </w:rPr>
    </w:lvl>
    <w:lvl w:ilvl="7" w:tplc="908E06D8" w:tentative="1">
      <w:start w:val="1"/>
      <w:numFmt w:val="bullet"/>
      <w:lvlText w:val="•"/>
      <w:lvlJc w:val="left"/>
      <w:pPr>
        <w:tabs>
          <w:tab w:val="num" w:pos="5760"/>
        </w:tabs>
        <w:ind w:left="5760" w:hanging="360"/>
      </w:pPr>
      <w:rPr>
        <w:rFonts w:ascii="Arial" w:hAnsi="Arial" w:hint="default"/>
      </w:rPr>
    </w:lvl>
    <w:lvl w:ilvl="8" w:tplc="EA963F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3542CD"/>
    <w:multiLevelType w:val="hybridMultilevel"/>
    <w:tmpl w:val="F002427A"/>
    <w:lvl w:ilvl="0" w:tplc="B65A24BA">
      <w:start w:val="1"/>
      <w:numFmt w:val="bullet"/>
      <w:lvlText w:val="•"/>
      <w:lvlJc w:val="left"/>
      <w:pPr>
        <w:tabs>
          <w:tab w:val="num" w:pos="720"/>
        </w:tabs>
        <w:ind w:left="720" w:hanging="360"/>
      </w:pPr>
      <w:rPr>
        <w:rFonts w:ascii="Arial" w:hAnsi="Arial" w:hint="default"/>
      </w:rPr>
    </w:lvl>
    <w:lvl w:ilvl="1" w:tplc="77243FDA">
      <w:numFmt w:val="bullet"/>
      <w:lvlText w:val="•"/>
      <w:lvlJc w:val="left"/>
      <w:pPr>
        <w:tabs>
          <w:tab w:val="num" w:pos="1440"/>
        </w:tabs>
        <w:ind w:left="1440" w:hanging="360"/>
      </w:pPr>
      <w:rPr>
        <w:rFonts w:ascii="Arial" w:hAnsi="Arial" w:hint="default"/>
      </w:rPr>
    </w:lvl>
    <w:lvl w:ilvl="2" w:tplc="D8B63E52" w:tentative="1">
      <w:start w:val="1"/>
      <w:numFmt w:val="bullet"/>
      <w:lvlText w:val="•"/>
      <w:lvlJc w:val="left"/>
      <w:pPr>
        <w:tabs>
          <w:tab w:val="num" w:pos="2160"/>
        </w:tabs>
        <w:ind w:left="2160" w:hanging="360"/>
      </w:pPr>
      <w:rPr>
        <w:rFonts w:ascii="Arial" w:hAnsi="Arial" w:hint="default"/>
      </w:rPr>
    </w:lvl>
    <w:lvl w:ilvl="3" w:tplc="394C8976" w:tentative="1">
      <w:start w:val="1"/>
      <w:numFmt w:val="bullet"/>
      <w:lvlText w:val="•"/>
      <w:lvlJc w:val="left"/>
      <w:pPr>
        <w:tabs>
          <w:tab w:val="num" w:pos="2880"/>
        </w:tabs>
        <w:ind w:left="2880" w:hanging="360"/>
      </w:pPr>
      <w:rPr>
        <w:rFonts w:ascii="Arial" w:hAnsi="Arial" w:hint="default"/>
      </w:rPr>
    </w:lvl>
    <w:lvl w:ilvl="4" w:tplc="E2E4C588" w:tentative="1">
      <w:start w:val="1"/>
      <w:numFmt w:val="bullet"/>
      <w:lvlText w:val="•"/>
      <w:lvlJc w:val="left"/>
      <w:pPr>
        <w:tabs>
          <w:tab w:val="num" w:pos="3600"/>
        </w:tabs>
        <w:ind w:left="3600" w:hanging="360"/>
      </w:pPr>
      <w:rPr>
        <w:rFonts w:ascii="Arial" w:hAnsi="Arial" w:hint="default"/>
      </w:rPr>
    </w:lvl>
    <w:lvl w:ilvl="5" w:tplc="A1EC6EFC" w:tentative="1">
      <w:start w:val="1"/>
      <w:numFmt w:val="bullet"/>
      <w:lvlText w:val="•"/>
      <w:lvlJc w:val="left"/>
      <w:pPr>
        <w:tabs>
          <w:tab w:val="num" w:pos="4320"/>
        </w:tabs>
        <w:ind w:left="4320" w:hanging="360"/>
      </w:pPr>
      <w:rPr>
        <w:rFonts w:ascii="Arial" w:hAnsi="Arial" w:hint="default"/>
      </w:rPr>
    </w:lvl>
    <w:lvl w:ilvl="6" w:tplc="2D2684C8" w:tentative="1">
      <w:start w:val="1"/>
      <w:numFmt w:val="bullet"/>
      <w:lvlText w:val="•"/>
      <w:lvlJc w:val="left"/>
      <w:pPr>
        <w:tabs>
          <w:tab w:val="num" w:pos="5040"/>
        </w:tabs>
        <w:ind w:left="5040" w:hanging="360"/>
      </w:pPr>
      <w:rPr>
        <w:rFonts w:ascii="Arial" w:hAnsi="Arial" w:hint="default"/>
      </w:rPr>
    </w:lvl>
    <w:lvl w:ilvl="7" w:tplc="6030A06A" w:tentative="1">
      <w:start w:val="1"/>
      <w:numFmt w:val="bullet"/>
      <w:lvlText w:val="•"/>
      <w:lvlJc w:val="left"/>
      <w:pPr>
        <w:tabs>
          <w:tab w:val="num" w:pos="5760"/>
        </w:tabs>
        <w:ind w:left="5760" w:hanging="360"/>
      </w:pPr>
      <w:rPr>
        <w:rFonts w:ascii="Arial" w:hAnsi="Arial" w:hint="default"/>
      </w:rPr>
    </w:lvl>
    <w:lvl w:ilvl="8" w:tplc="B44C4C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1B245D"/>
    <w:multiLevelType w:val="hybridMultilevel"/>
    <w:tmpl w:val="9A5C2E7E"/>
    <w:lvl w:ilvl="0" w:tplc="00589108">
      <w:start w:val="1"/>
      <w:numFmt w:val="bullet"/>
      <w:lvlText w:val="•"/>
      <w:lvlJc w:val="left"/>
      <w:pPr>
        <w:tabs>
          <w:tab w:val="num" w:pos="720"/>
        </w:tabs>
        <w:ind w:left="720" w:hanging="360"/>
      </w:pPr>
      <w:rPr>
        <w:rFonts w:ascii="Arial" w:hAnsi="Arial" w:hint="default"/>
      </w:rPr>
    </w:lvl>
    <w:lvl w:ilvl="1" w:tplc="69C06C16">
      <w:numFmt w:val="bullet"/>
      <w:lvlText w:val="•"/>
      <w:lvlJc w:val="left"/>
      <w:pPr>
        <w:tabs>
          <w:tab w:val="num" w:pos="1440"/>
        </w:tabs>
        <w:ind w:left="1440" w:hanging="360"/>
      </w:pPr>
      <w:rPr>
        <w:rFonts w:ascii="Arial" w:hAnsi="Arial" w:hint="default"/>
      </w:rPr>
    </w:lvl>
    <w:lvl w:ilvl="2" w:tplc="16EA6DC2">
      <w:numFmt w:val="bullet"/>
      <w:lvlText w:val="•"/>
      <w:lvlJc w:val="left"/>
      <w:pPr>
        <w:tabs>
          <w:tab w:val="num" w:pos="2160"/>
        </w:tabs>
        <w:ind w:left="2160" w:hanging="360"/>
      </w:pPr>
      <w:rPr>
        <w:rFonts w:ascii="Arial" w:hAnsi="Arial" w:hint="default"/>
      </w:rPr>
    </w:lvl>
    <w:lvl w:ilvl="3" w:tplc="19C89014" w:tentative="1">
      <w:start w:val="1"/>
      <w:numFmt w:val="bullet"/>
      <w:lvlText w:val="•"/>
      <w:lvlJc w:val="left"/>
      <w:pPr>
        <w:tabs>
          <w:tab w:val="num" w:pos="2880"/>
        </w:tabs>
        <w:ind w:left="2880" w:hanging="360"/>
      </w:pPr>
      <w:rPr>
        <w:rFonts w:ascii="Arial" w:hAnsi="Arial" w:hint="default"/>
      </w:rPr>
    </w:lvl>
    <w:lvl w:ilvl="4" w:tplc="BBE24758" w:tentative="1">
      <w:start w:val="1"/>
      <w:numFmt w:val="bullet"/>
      <w:lvlText w:val="•"/>
      <w:lvlJc w:val="left"/>
      <w:pPr>
        <w:tabs>
          <w:tab w:val="num" w:pos="3600"/>
        </w:tabs>
        <w:ind w:left="3600" w:hanging="360"/>
      </w:pPr>
      <w:rPr>
        <w:rFonts w:ascii="Arial" w:hAnsi="Arial" w:hint="default"/>
      </w:rPr>
    </w:lvl>
    <w:lvl w:ilvl="5" w:tplc="5454ABCA" w:tentative="1">
      <w:start w:val="1"/>
      <w:numFmt w:val="bullet"/>
      <w:lvlText w:val="•"/>
      <w:lvlJc w:val="left"/>
      <w:pPr>
        <w:tabs>
          <w:tab w:val="num" w:pos="4320"/>
        </w:tabs>
        <w:ind w:left="4320" w:hanging="360"/>
      </w:pPr>
      <w:rPr>
        <w:rFonts w:ascii="Arial" w:hAnsi="Arial" w:hint="default"/>
      </w:rPr>
    </w:lvl>
    <w:lvl w:ilvl="6" w:tplc="FBE88D90" w:tentative="1">
      <w:start w:val="1"/>
      <w:numFmt w:val="bullet"/>
      <w:lvlText w:val="•"/>
      <w:lvlJc w:val="left"/>
      <w:pPr>
        <w:tabs>
          <w:tab w:val="num" w:pos="5040"/>
        </w:tabs>
        <w:ind w:left="5040" w:hanging="360"/>
      </w:pPr>
      <w:rPr>
        <w:rFonts w:ascii="Arial" w:hAnsi="Arial" w:hint="default"/>
      </w:rPr>
    </w:lvl>
    <w:lvl w:ilvl="7" w:tplc="55B2295A" w:tentative="1">
      <w:start w:val="1"/>
      <w:numFmt w:val="bullet"/>
      <w:lvlText w:val="•"/>
      <w:lvlJc w:val="left"/>
      <w:pPr>
        <w:tabs>
          <w:tab w:val="num" w:pos="5760"/>
        </w:tabs>
        <w:ind w:left="5760" w:hanging="360"/>
      </w:pPr>
      <w:rPr>
        <w:rFonts w:ascii="Arial" w:hAnsi="Arial" w:hint="default"/>
      </w:rPr>
    </w:lvl>
    <w:lvl w:ilvl="8" w:tplc="C944DF7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7449B4"/>
    <w:multiLevelType w:val="hybridMultilevel"/>
    <w:tmpl w:val="677EBFBE"/>
    <w:lvl w:ilvl="0" w:tplc="866EAE14">
      <w:start w:val="1"/>
      <w:numFmt w:val="bullet"/>
      <w:lvlText w:val="•"/>
      <w:lvlJc w:val="left"/>
      <w:pPr>
        <w:tabs>
          <w:tab w:val="num" w:pos="720"/>
        </w:tabs>
        <w:ind w:left="720" w:hanging="360"/>
      </w:pPr>
      <w:rPr>
        <w:rFonts w:ascii="Arial" w:hAnsi="Arial" w:hint="default"/>
      </w:rPr>
    </w:lvl>
    <w:lvl w:ilvl="1" w:tplc="ABD81CEA">
      <w:numFmt w:val="bullet"/>
      <w:lvlText w:val="•"/>
      <w:lvlJc w:val="left"/>
      <w:pPr>
        <w:tabs>
          <w:tab w:val="num" w:pos="1440"/>
        </w:tabs>
        <w:ind w:left="1440" w:hanging="360"/>
      </w:pPr>
      <w:rPr>
        <w:rFonts w:ascii="Arial" w:hAnsi="Arial" w:hint="default"/>
      </w:rPr>
    </w:lvl>
    <w:lvl w:ilvl="2" w:tplc="84A888C8" w:tentative="1">
      <w:start w:val="1"/>
      <w:numFmt w:val="bullet"/>
      <w:lvlText w:val="•"/>
      <w:lvlJc w:val="left"/>
      <w:pPr>
        <w:tabs>
          <w:tab w:val="num" w:pos="2160"/>
        </w:tabs>
        <w:ind w:left="2160" w:hanging="360"/>
      </w:pPr>
      <w:rPr>
        <w:rFonts w:ascii="Arial" w:hAnsi="Arial" w:hint="default"/>
      </w:rPr>
    </w:lvl>
    <w:lvl w:ilvl="3" w:tplc="F95E1CE0" w:tentative="1">
      <w:start w:val="1"/>
      <w:numFmt w:val="bullet"/>
      <w:lvlText w:val="•"/>
      <w:lvlJc w:val="left"/>
      <w:pPr>
        <w:tabs>
          <w:tab w:val="num" w:pos="2880"/>
        </w:tabs>
        <w:ind w:left="2880" w:hanging="360"/>
      </w:pPr>
      <w:rPr>
        <w:rFonts w:ascii="Arial" w:hAnsi="Arial" w:hint="default"/>
      </w:rPr>
    </w:lvl>
    <w:lvl w:ilvl="4" w:tplc="000C0AB2" w:tentative="1">
      <w:start w:val="1"/>
      <w:numFmt w:val="bullet"/>
      <w:lvlText w:val="•"/>
      <w:lvlJc w:val="left"/>
      <w:pPr>
        <w:tabs>
          <w:tab w:val="num" w:pos="3600"/>
        </w:tabs>
        <w:ind w:left="3600" w:hanging="360"/>
      </w:pPr>
      <w:rPr>
        <w:rFonts w:ascii="Arial" w:hAnsi="Arial" w:hint="default"/>
      </w:rPr>
    </w:lvl>
    <w:lvl w:ilvl="5" w:tplc="88B033C8" w:tentative="1">
      <w:start w:val="1"/>
      <w:numFmt w:val="bullet"/>
      <w:lvlText w:val="•"/>
      <w:lvlJc w:val="left"/>
      <w:pPr>
        <w:tabs>
          <w:tab w:val="num" w:pos="4320"/>
        </w:tabs>
        <w:ind w:left="4320" w:hanging="360"/>
      </w:pPr>
      <w:rPr>
        <w:rFonts w:ascii="Arial" w:hAnsi="Arial" w:hint="default"/>
      </w:rPr>
    </w:lvl>
    <w:lvl w:ilvl="6" w:tplc="DCB00524" w:tentative="1">
      <w:start w:val="1"/>
      <w:numFmt w:val="bullet"/>
      <w:lvlText w:val="•"/>
      <w:lvlJc w:val="left"/>
      <w:pPr>
        <w:tabs>
          <w:tab w:val="num" w:pos="5040"/>
        </w:tabs>
        <w:ind w:left="5040" w:hanging="360"/>
      </w:pPr>
      <w:rPr>
        <w:rFonts w:ascii="Arial" w:hAnsi="Arial" w:hint="default"/>
      </w:rPr>
    </w:lvl>
    <w:lvl w:ilvl="7" w:tplc="9E58305A" w:tentative="1">
      <w:start w:val="1"/>
      <w:numFmt w:val="bullet"/>
      <w:lvlText w:val="•"/>
      <w:lvlJc w:val="left"/>
      <w:pPr>
        <w:tabs>
          <w:tab w:val="num" w:pos="5760"/>
        </w:tabs>
        <w:ind w:left="5760" w:hanging="360"/>
      </w:pPr>
      <w:rPr>
        <w:rFonts w:ascii="Arial" w:hAnsi="Arial" w:hint="default"/>
      </w:rPr>
    </w:lvl>
    <w:lvl w:ilvl="8" w:tplc="6ED2F07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FD79E9"/>
    <w:multiLevelType w:val="hybridMultilevel"/>
    <w:tmpl w:val="76DE9FD2"/>
    <w:lvl w:ilvl="0" w:tplc="C5500508">
      <w:start w:val="1"/>
      <w:numFmt w:val="bullet"/>
      <w:lvlText w:val="•"/>
      <w:lvlJc w:val="left"/>
      <w:pPr>
        <w:tabs>
          <w:tab w:val="num" w:pos="720"/>
        </w:tabs>
        <w:ind w:left="720" w:hanging="360"/>
      </w:pPr>
      <w:rPr>
        <w:rFonts w:ascii="Arial" w:hAnsi="Arial" w:hint="default"/>
      </w:rPr>
    </w:lvl>
    <w:lvl w:ilvl="1" w:tplc="6ADE3C02">
      <w:start w:val="1"/>
      <w:numFmt w:val="bullet"/>
      <w:lvlText w:val="•"/>
      <w:lvlJc w:val="left"/>
      <w:pPr>
        <w:tabs>
          <w:tab w:val="num" w:pos="1440"/>
        </w:tabs>
        <w:ind w:left="1440" w:hanging="360"/>
      </w:pPr>
      <w:rPr>
        <w:rFonts w:ascii="Arial" w:hAnsi="Arial" w:hint="default"/>
      </w:rPr>
    </w:lvl>
    <w:lvl w:ilvl="2" w:tplc="83C482D2">
      <w:numFmt w:val="bullet"/>
      <w:lvlText w:val="•"/>
      <w:lvlJc w:val="left"/>
      <w:pPr>
        <w:tabs>
          <w:tab w:val="num" w:pos="2160"/>
        </w:tabs>
        <w:ind w:left="2160" w:hanging="360"/>
      </w:pPr>
      <w:rPr>
        <w:rFonts w:ascii="Arial" w:hAnsi="Arial" w:hint="default"/>
      </w:rPr>
    </w:lvl>
    <w:lvl w:ilvl="3" w:tplc="144C1D3A" w:tentative="1">
      <w:start w:val="1"/>
      <w:numFmt w:val="bullet"/>
      <w:lvlText w:val="•"/>
      <w:lvlJc w:val="left"/>
      <w:pPr>
        <w:tabs>
          <w:tab w:val="num" w:pos="2880"/>
        </w:tabs>
        <w:ind w:left="2880" w:hanging="360"/>
      </w:pPr>
      <w:rPr>
        <w:rFonts w:ascii="Arial" w:hAnsi="Arial" w:hint="default"/>
      </w:rPr>
    </w:lvl>
    <w:lvl w:ilvl="4" w:tplc="C3D0867A" w:tentative="1">
      <w:start w:val="1"/>
      <w:numFmt w:val="bullet"/>
      <w:lvlText w:val="•"/>
      <w:lvlJc w:val="left"/>
      <w:pPr>
        <w:tabs>
          <w:tab w:val="num" w:pos="3600"/>
        </w:tabs>
        <w:ind w:left="3600" w:hanging="360"/>
      </w:pPr>
      <w:rPr>
        <w:rFonts w:ascii="Arial" w:hAnsi="Arial" w:hint="default"/>
      </w:rPr>
    </w:lvl>
    <w:lvl w:ilvl="5" w:tplc="814E1CD0" w:tentative="1">
      <w:start w:val="1"/>
      <w:numFmt w:val="bullet"/>
      <w:lvlText w:val="•"/>
      <w:lvlJc w:val="left"/>
      <w:pPr>
        <w:tabs>
          <w:tab w:val="num" w:pos="4320"/>
        </w:tabs>
        <w:ind w:left="4320" w:hanging="360"/>
      </w:pPr>
      <w:rPr>
        <w:rFonts w:ascii="Arial" w:hAnsi="Arial" w:hint="default"/>
      </w:rPr>
    </w:lvl>
    <w:lvl w:ilvl="6" w:tplc="9A2E5EE2" w:tentative="1">
      <w:start w:val="1"/>
      <w:numFmt w:val="bullet"/>
      <w:lvlText w:val="•"/>
      <w:lvlJc w:val="left"/>
      <w:pPr>
        <w:tabs>
          <w:tab w:val="num" w:pos="5040"/>
        </w:tabs>
        <w:ind w:left="5040" w:hanging="360"/>
      </w:pPr>
      <w:rPr>
        <w:rFonts w:ascii="Arial" w:hAnsi="Arial" w:hint="default"/>
      </w:rPr>
    </w:lvl>
    <w:lvl w:ilvl="7" w:tplc="84C6345A" w:tentative="1">
      <w:start w:val="1"/>
      <w:numFmt w:val="bullet"/>
      <w:lvlText w:val="•"/>
      <w:lvlJc w:val="left"/>
      <w:pPr>
        <w:tabs>
          <w:tab w:val="num" w:pos="5760"/>
        </w:tabs>
        <w:ind w:left="5760" w:hanging="360"/>
      </w:pPr>
      <w:rPr>
        <w:rFonts w:ascii="Arial" w:hAnsi="Arial" w:hint="default"/>
      </w:rPr>
    </w:lvl>
    <w:lvl w:ilvl="8" w:tplc="D93460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6BE76B9"/>
    <w:multiLevelType w:val="hybridMultilevel"/>
    <w:tmpl w:val="F85EC40C"/>
    <w:lvl w:ilvl="0" w:tplc="79507166">
      <w:start w:val="1"/>
      <w:numFmt w:val="bullet"/>
      <w:lvlText w:val="•"/>
      <w:lvlJc w:val="left"/>
      <w:pPr>
        <w:tabs>
          <w:tab w:val="num" w:pos="720"/>
        </w:tabs>
        <w:ind w:left="720" w:hanging="360"/>
      </w:pPr>
      <w:rPr>
        <w:rFonts w:ascii="Arial" w:hAnsi="Arial" w:hint="default"/>
      </w:rPr>
    </w:lvl>
    <w:lvl w:ilvl="1" w:tplc="E2569888">
      <w:numFmt w:val="bullet"/>
      <w:lvlText w:val="•"/>
      <w:lvlJc w:val="left"/>
      <w:pPr>
        <w:tabs>
          <w:tab w:val="num" w:pos="1440"/>
        </w:tabs>
        <w:ind w:left="1440" w:hanging="360"/>
      </w:pPr>
      <w:rPr>
        <w:rFonts w:ascii="Arial" w:hAnsi="Arial" w:hint="default"/>
      </w:rPr>
    </w:lvl>
    <w:lvl w:ilvl="2" w:tplc="265E3C32" w:tentative="1">
      <w:start w:val="1"/>
      <w:numFmt w:val="bullet"/>
      <w:lvlText w:val="•"/>
      <w:lvlJc w:val="left"/>
      <w:pPr>
        <w:tabs>
          <w:tab w:val="num" w:pos="2160"/>
        </w:tabs>
        <w:ind w:left="2160" w:hanging="360"/>
      </w:pPr>
      <w:rPr>
        <w:rFonts w:ascii="Arial" w:hAnsi="Arial" w:hint="default"/>
      </w:rPr>
    </w:lvl>
    <w:lvl w:ilvl="3" w:tplc="DEDEA018" w:tentative="1">
      <w:start w:val="1"/>
      <w:numFmt w:val="bullet"/>
      <w:lvlText w:val="•"/>
      <w:lvlJc w:val="left"/>
      <w:pPr>
        <w:tabs>
          <w:tab w:val="num" w:pos="2880"/>
        </w:tabs>
        <w:ind w:left="2880" w:hanging="360"/>
      </w:pPr>
      <w:rPr>
        <w:rFonts w:ascii="Arial" w:hAnsi="Arial" w:hint="default"/>
      </w:rPr>
    </w:lvl>
    <w:lvl w:ilvl="4" w:tplc="5BD2FBB0" w:tentative="1">
      <w:start w:val="1"/>
      <w:numFmt w:val="bullet"/>
      <w:lvlText w:val="•"/>
      <w:lvlJc w:val="left"/>
      <w:pPr>
        <w:tabs>
          <w:tab w:val="num" w:pos="3600"/>
        </w:tabs>
        <w:ind w:left="3600" w:hanging="360"/>
      </w:pPr>
      <w:rPr>
        <w:rFonts w:ascii="Arial" w:hAnsi="Arial" w:hint="default"/>
      </w:rPr>
    </w:lvl>
    <w:lvl w:ilvl="5" w:tplc="41AE2750" w:tentative="1">
      <w:start w:val="1"/>
      <w:numFmt w:val="bullet"/>
      <w:lvlText w:val="•"/>
      <w:lvlJc w:val="left"/>
      <w:pPr>
        <w:tabs>
          <w:tab w:val="num" w:pos="4320"/>
        </w:tabs>
        <w:ind w:left="4320" w:hanging="360"/>
      </w:pPr>
      <w:rPr>
        <w:rFonts w:ascii="Arial" w:hAnsi="Arial" w:hint="default"/>
      </w:rPr>
    </w:lvl>
    <w:lvl w:ilvl="6" w:tplc="A1061252" w:tentative="1">
      <w:start w:val="1"/>
      <w:numFmt w:val="bullet"/>
      <w:lvlText w:val="•"/>
      <w:lvlJc w:val="left"/>
      <w:pPr>
        <w:tabs>
          <w:tab w:val="num" w:pos="5040"/>
        </w:tabs>
        <w:ind w:left="5040" w:hanging="360"/>
      </w:pPr>
      <w:rPr>
        <w:rFonts w:ascii="Arial" w:hAnsi="Arial" w:hint="default"/>
      </w:rPr>
    </w:lvl>
    <w:lvl w:ilvl="7" w:tplc="1902DEF6" w:tentative="1">
      <w:start w:val="1"/>
      <w:numFmt w:val="bullet"/>
      <w:lvlText w:val="•"/>
      <w:lvlJc w:val="left"/>
      <w:pPr>
        <w:tabs>
          <w:tab w:val="num" w:pos="5760"/>
        </w:tabs>
        <w:ind w:left="5760" w:hanging="360"/>
      </w:pPr>
      <w:rPr>
        <w:rFonts w:ascii="Arial" w:hAnsi="Arial" w:hint="default"/>
      </w:rPr>
    </w:lvl>
    <w:lvl w:ilvl="8" w:tplc="20048BD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D012D2"/>
    <w:multiLevelType w:val="hybridMultilevel"/>
    <w:tmpl w:val="7200FFD0"/>
    <w:lvl w:ilvl="0" w:tplc="8FAACE60">
      <w:start w:val="1"/>
      <w:numFmt w:val="bullet"/>
      <w:lvlText w:val="•"/>
      <w:lvlJc w:val="left"/>
      <w:pPr>
        <w:tabs>
          <w:tab w:val="num" w:pos="720"/>
        </w:tabs>
        <w:ind w:left="720" w:hanging="360"/>
      </w:pPr>
      <w:rPr>
        <w:rFonts w:ascii="Arial" w:hAnsi="Arial" w:hint="default"/>
      </w:rPr>
    </w:lvl>
    <w:lvl w:ilvl="1" w:tplc="E9BC5884">
      <w:start w:val="1"/>
      <w:numFmt w:val="bullet"/>
      <w:lvlText w:val="•"/>
      <w:lvlJc w:val="left"/>
      <w:pPr>
        <w:tabs>
          <w:tab w:val="num" w:pos="1440"/>
        </w:tabs>
        <w:ind w:left="1440" w:hanging="360"/>
      </w:pPr>
      <w:rPr>
        <w:rFonts w:ascii="Arial" w:hAnsi="Arial" w:hint="default"/>
      </w:rPr>
    </w:lvl>
    <w:lvl w:ilvl="2" w:tplc="372873DA">
      <w:numFmt w:val="bullet"/>
      <w:lvlText w:val="•"/>
      <w:lvlJc w:val="left"/>
      <w:pPr>
        <w:tabs>
          <w:tab w:val="num" w:pos="2160"/>
        </w:tabs>
        <w:ind w:left="2160" w:hanging="360"/>
      </w:pPr>
      <w:rPr>
        <w:rFonts w:ascii="Arial" w:hAnsi="Arial" w:hint="default"/>
      </w:rPr>
    </w:lvl>
    <w:lvl w:ilvl="3" w:tplc="D708D434" w:tentative="1">
      <w:start w:val="1"/>
      <w:numFmt w:val="bullet"/>
      <w:lvlText w:val="•"/>
      <w:lvlJc w:val="left"/>
      <w:pPr>
        <w:tabs>
          <w:tab w:val="num" w:pos="2880"/>
        </w:tabs>
        <w:ind w:left="2880" w:hanging="360"/>
      </w:pPr>
      <w:rPr>
        <w:rFonts w:ascii="Arial" w:hAnsi="Arial" w:hint="default"/>
      </w:rPr>
    </w:lvl>
    <w:lvl w:ilvl="4" w:tplc="4A68C788" w:tentative="1">
      <w:start w:val="1"/>
      <w:numFmt w:val="bullet"/>
      <w:lvlText w:val="•"/>
      <w:lvlJc w:val="left"/>
      <w:pPr>
        <w:tabs>
          <w:tab w:val="num" w:pos="3600"/>
        </w:tabs>
        <w:ind w:left="3600" w:hanging="360"/>
      </w:pPr>
      <w:rPr>
        <w:rFonts w:ascii="Arial" w:hAnsi="Arial" w:hint="default"/>
      </w:rPr>
    </w:lvl>
    <w:lvl w:ilvl="5" w:tplc="479243B4" w:tentative="1">
      <w:start w:val="1"/>
      <w:numFmt w:val="bullet"/>
      <w:lvlText w:val="•"/>
      <w:lvlJc w:val="left"/>
      <w:pPr>
        <w:tabs>
          <w:tab w:val="num" w:pos="4320"/>
        </w:tabs>
        <w:ind w:left="4320" w:hanging="360"/>
      </w:pPr>
      <w:rPr>
        <w:rFonts w:ascii="Arial" w:hAnsi="Arial" w:hint="default"/>
      </w:rPr>
    </w:lvl>
    <w:lvl w:ilvl="6" w:tplc="A874D956" w:tentative="1">
      <w:start w:val="1"/>
      <w:numFmt w:val="bullet"/>
      <w:lvlText w:val="•"/>
      <w:lvlJc w:val="left"/>
      <w:pPr>
        <w:tabs>
          <w:tab w:val="num" w:pos="5040"/>
        </w:tabs>
        <w:ind w:left="5040" w:hanging="360"/>
      </w:pPr>
      <w:rPr>
        <w:rFonts w:ascii="Arial" w:hAnsi="Arial" w:hint="default"/>
      </w:rPr>
    </w:lvl>
    <w:lvl w:ilvl="7" w:tplc="6EFAF132" w:tentative="1">
      <w:start w:val="1"/>
      <w:numFmt w:val="bullet"/>
      <w:lvlText w:val="•"/>
      <w:lvlJc w:val="left"/>
      <w:pPr>
        <w:tabs>
          <w:tab w:val="num" w:pos="5760"/>
        </w:tabs>
        <w:ind w:left="5760" w:hanging="360"/>
      </w:pPr>
      <w:rPr>
        <w:rFonts w:ascii="Arial" w:hAnsi="Arial" w:hint="default"/>
      </w:rPr>
    </w:lvl>
    <w:lvl w:ilvl="8" w:tplc="A804287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C26D5A"/>
    <w:multiLevelType w:val="hybridMultilevel"/>
    <w:tmpl w:val="98BAB710"/>
    <w:lvl w:ilvl="0" w:tplc="63B81BF2">
      <w:start w:val="3"/>
      <w:numFmt w:val="bullet"/>
      <w:lvlText w:val="-"/>
      <w:lvlJc w:val="left"/>
      <w:pPr>
        <w:ind w:left="360" w:hanging="360"/>
      </w:pPr>
      <w:rPr>
        <w:rFonts w:ascii="Segoe UI" w:eastAsia="Times New Roman" w:hAnsi="Segoe UI" w:cs="Segoe U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2075416"/>
    <w:multiLevelType w:val="hybridMultilevel"/>
    <w:tmpl w:val="94B21FA0"/>
    <w:lvl w:ilvl="0" w:tplc="BD3E9946">
      <w:start w:val="257"/>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23B1CF3"/>
    <w:multiLevelType w:val="hybridMultilevel"/>
    <w:tmpl w:val="BC328362"/>
    <w:lvl w:ilvl="0" w:tplc="C32C0756">
      <w:start w:val="257"/>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66502E"/>
    <w:multiLevelType w:val="hybridMultilevel"/>
    <w:tmpl w:val="5C721216"/>
    <w:lvl w:ilvl="0" w:tplc="20581E82">
      <w:start w:val="1"/>
      <w:numFmt w:val="bullet"/>
      <w:lvlText w:val="•"/>
      <w:lvlJc w:val="left"/>
      <w:pPr>
        <w:tabs>
          <w:tab w:val="num" w:pos="720"/>
        </w:tabs>
        <w:ind w:left="720" w:hanging="360"/>
      </w:pPr>
      <w:rPr>
        <w:rFonts w:ascii="Arial" w:hAnsi="Arial" w:hint="default"/>
      </w:rPr>
    </w:lvl>
    <w:lvl w:ilvl="1" w:tplc="E696A1AC">
      <w:start w:val="1"/>
      <w:numFmt w:val="bullet"/>
      <w:lvlText w:val="•"/>
      <w:lvlJc w:val="left"/>
      <w:pPr>
        <w:tabs>
          <w:tab w:val="num" w:pos="1440"/>
        </w:tabs>
        <w:ind w:left="1440" w:hanging="360"/>
      </w:pPr>
      <w:rPr>
        <w:rFonts w:ascii="Arial" w:hAnsi="Arial" w:hint="default"/>
      </w:rPr>
    </w:lvl>
    <w:lvl w:ilvl="2" w:tplc="AC54BD82" w:tentative="1">
      <w:start w:val="1"/>
      <w:numFmt w:val="bullet"/>
      <w:lvlText w:val="•"/>
      <w:lvlJc w:val="left"/>
      <w:pPr>
        <w:tabs>
          <w:tab w:val="num" w:pos="2160"/>
        </w:tabs>
        <w:ind w:left="2160" w:hanging="360"/>
      </w:pPr>
      <w:rPr>
        <w:rFonts w:ascii="Arial" w:hAnsi="Arial" w:hint="default"/>
      </w:rPr>
    </w:lvl>
    <w:lvl w:ilvl="3" w:tplc="9EE2F53A" w:tentative="1">
      <w:start w:val="1"/>
      <w:numFmt w:val="bullet"/>
      <w:lvlText w:val="•"/>
      <w:lvlJc w:val="left"/>
      <w:pPr>
        <w:tabs>
          <w:tab w:val="num" w:pos="2880"/>
        </w:tabs>
        <w:ind w:left="2880" w:hanging="360"/>
      </w:pPr>
      <w:rPr>
        <w:rFonts w:ascii="Arial" w:hAnsi="Arial" w:hint="default"/>
      </w:rPr>
    </w:lvl>
    <w:lvl w:ilvl="4" w:tplc="470628F0" w:tentative="1">
      <w:start w:val="1"/>
      <w:numFmt w:val="bullet"/>
      <w:lvlText w:val="•"/>
      <w:lvlJc w:val="left"/>
      <w:pPr>
        <w:tabs>
          <w:tab w:val="num" w:pos="3600"/>
        </w:tabs>
        <w:ind w:left="3600" w:hanging="360"/>
      </w:pPr>
      <w:rPr>
        <w:rFonts w:ascii="Arial" w:hAnsi="Arial" w:hint="default"/>
      </w:rPr>
    </w:lvl>
    <w:lvl w:ilvl="5" w:tplc="E18C68E6" w:tentative="1">
      <w:start w:val="1"/>
      <w:numFmt w:val="bullet"/>
      <w:lvlText w:val="•"/>
      <w:lvlJc w:val="left"/>
      <w:pPr>
        <w:tabs>
          <w:tab w:val="num" w:pos="4320"/>
        </w:tabs>
        <w:ind w:left="4320" w:hanging="360"/>
      </w:pPr>
      <w:rPr>
        <w:rFonts w:ascii="Arial" w:hAnsi="Arial" w:hint="default"/>
      </w:rPr>
    </w:lvl>
    <w:lvl w:ilvl="6" w:tplc="BF34E61E" w:tentative="1">
      <w:start w:val="1"/>
      <w:numFmt w:val="bullet"/>
      <w:lvlText w:val="•"/>
      <w:lvlJc w:val="left"/>
      <w:pPr>
        <w:tabs>
          <w:tab w:val="num" w:pos="5040"/>
        </w:tabs>
        <w:ind w:left="5040" w:hanging="360"/>
      </w:pPr>
      <w:rPr>
        <w:rFonts w:ascii="Arial" w:hAnsi="Arial" w:hint="default"/>
      </w:rPr>
    </w:lvl>
    <w:lvl w:ilvl="7" w:tplc="C2C6DD54" w:tentative="1">
      <w:start w:val="1"/>
      <w:numFmt w:val="bullet"/>
      <w:lvlText w:val="•"/>
      <w:lvlJc w:val="left"/>
      <w:pPr>
        <w:tabs>
          <w:tab w:val="num" w:pos="5760"/>
        </w:tabs>
        <w:ind w:left="5760" w:hanging="360"/>
      </w:pPr>
      <w:rPr>
        <w:rFonts w:ascii="Arial" w:hAnsi="Arial" w:hint="default"/>
      </w:rPr>
    </w:lvl>
    <w:lvl w:ilvl="8" w:tplc="796EEBB8" w:tentative="1">
      <w:start w:val="1"/>
      <w:numFmt w:val="bullet"/>
      <w:lvlText w:val="•"/>
      <w:lvlJc w:val="left"/>
      <w:pPr>
        <w:tabs>
          <w:tab w:val="num" w:pos="6480"/>
        </w:tabs>
        <w:ind w:left="6480" w:hanging="360"/>
      </w:pPr>
      <w:rPr>
        <w:rFonts w:ascii="Arial" w:hAnsi="Arial" w:hint="default"/>
      </w:rPr>
    </w:lvl>
  </w:abstractNum>
  <w:num w:numId="1" w16cid:durableId="394932539">
    <w:abstractNumId w:val="6"/>
  </w:num>
  <w:num w:numId="2" w16cid:durableId="1860313184">
    <w:abstractNumId w:val="25"/>
  </w:num>
  <w:num w:numId="3" w16cid:durableId="306593202">
    <w:abstractNumId w:val="12"/>
  </w:num>
  <w:num w:numId="4" w16cid:durableId="2082487341">
    <w:abstractNumId w:val="3"/>
  </w:num>
  <w:num w:numId="5" w16cid:durableId="887498590">
    <w:abstractNumId w:val="5"/>
  </w:num>
  <w:num w:numId="6" w16cid:durableId="1183783947">
    <w:abstractNumId w:val="8"/>
  </w:num>
  <w:num w:numId="7" w16cid:durableId="267548708">
    <w:abstractNumId w:val="27"/>
  </w:num>
  <w:num w:numId="8" w16cid:durableId="370426039">
    <w:abstractNumId w:val="26"/>
  </w:num>
  <w:num w:numId="9" w16cid:durableId="398140380">
    <w:abstractNumId w:val="7"/>
  </w:num>
  <w:num w:numId="10" w16cid:durableId="1363821618">
    <w:abstractNumId w:val="0"/>
  </w:num>
  <w:num w:numId="11" w16cid:durableId="1746879396">
    <w:abstractNumId w:val="9"/>
  </w:num>
  <w:num w:numId="12" w16cid:durableId="1199513048">
    <w:abstractNumId w:val="11"/>
  </w:num>
  <w:num w:numId="13" w16cid:durableId="2092041337">
    <w:abstractNumId w:val="14"/>
  </w:num>
  <w:num w:numId="14" w16cid:durableId="128595813">
    <w:abstractNumId w:val="11"/>
    <w:lvlOverride w:ilvl="0">
      <w:startOverride w:val="1"/>
    </w:lvlOverride>
  </w:num>
  <w:num w:numId="15" w16cid:durableId="733313656">
    <w:abstractNumId w:val="21"/>
  </w:num>
  <w:num w:numId="16" w16cid:durableId="1441411366">
    <w:abstractNumId w:val="10"/>
  </w:num>
  <w:num w:numId="17" w16cid:durableId="1077826688">
    <w:abstractNumId w:val="1"/>
  </w:num>
  <w:num w:numId="18" w16cid:durableId="866329051">
    <w:abstractNumId w:val="17"/>
  </w:num>
  <w:num w:numId="19" w16cid:durableId="1245066911">
    <w:abstractNumId w:val="4"/>
  </w:num>
  <w:num w:numId="20" w16cid:durableId="1895461129">
    <w:abstractNumId w:val="20"/>
  </w:num>
  <w:num w:numId="21" w16cid:durableId="440347064">
    <w:abstractNumId w:val="18"/>
  </w:num>
  <w:num w:numId="22" w16cid:durableId="1949240695">
    <w:abstractNumId w:val="23"/>
  </w:num>
  <w:num w:numId="23" w16cid:durableId="1767530873">
    <w:abstractNumId w:val="19"/>
  </w:num>
  <w:num w:numId="24" w16cid:durableId="1060444748">
    <w:abstractNumId w:val="28"/>
  </w:num>
  <w:num w:numId="25" w16cid:durableId="1425420506">
    <w:abstractNumId w:val="22"/>
  </w:num>
  <w:num w:numId="26" w16cid:durableId="1534733777">
    <w:abstractNumId w:val="24"/>
  </w:num>
  <w:num w:numId="27" w16cid:durableId="569852115">
    <w:abstractNumId w:val="13"/>
  </w:num>
  <w:num w:numId="28" w16cid:durableId="1348870466">
    <w:abstractNumId w:val="2"/>
  </w:num>
  <w:num w:numId="29" w16cid:durableId="1978608667">
    <w:abstractNumId w:val="16"/>
  </w:num>
  <w:num w:numId="30" w16cid:durableId="21453892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AwMjE3NjA1sjQ2NDBS0lEKTi0uzszPAykwrAUAQ1mbCC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f55sd52z29s6eatpvv2wz2xp9xdp059r2s&quot;&gt;Plasma AD&lt;record-ids&gt;&lt;item&gt;1&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1&lt;/item&gt;&lt;item&gt;33&lt;/item&gt;&lt;item&gt;34&lt;/item&gt;&lt;item&gt;35&lt;/item&gt;&lt;item&gt;36&lt;/item&gt;&lt;item&gt;37&lt;/item&gt;&lt;item&gt;38&lt;/item&gt;&lt;item&gt;39&lt;/item&gt;&lt;item&gt;40&lt;/item&gt;&lt;item&gt;41&lt;/item&gt;&lt;/record-ids&gt;&lt;/item&gt;&lt;/Libraries&gt;"/>
  </w:docVars>
  <w:rsids>
    <w:rsidRoot w:val="00421F51"/>
    <w:rsid w:val="000016A7"/>
    <w:rsid w:val="00002551"/>
    <w:rsid w:val="0001053D"/>
    <w:rsid w:val="000163BF"/>
    <w:rsid w:val="00017B2D"/>
    <w:rsid w:val="00033FC3"/>
    <w:rsid w:val="00034F93"/>
    <w:rsid w:val="000403ED"/>
    <w:rsid w:val="00041AE1"/>
    <w:rsid w:val="00043106"/>
    <w:rsid w:val="00043C9E"/>
    <w:rsid w:val="00045C85"/>
    <w:rsid w:val="00047682"/>
    <w:rsid w:val="00047CF4"/>
    <w:rsid w:val="00051728"/>
    <w:rsid w:val="000667E3"/>
    <w:rsid w:val="000731C1"/>
    <w:rsid w:val="00076C23"/>
    <w:rsid w:val="000775D0"/>
    <w:rsid w:val="0008626F"/>
    <w:rsid w:val="00086777"/>
    <w:rsid w:val="0009700E"/>
    <w:rsid w:val="000A7DD2"/>
    <w:rsid w:val="000B0BD7"/>
    <w:rsid w:val="000B1F0E"/>
    <w:rsid w:val="000B53FA"/>
    <w:rsid w:val="000B5619"/>
    <w:rsid w:val="000B590D"/>
    <w:rsid w:val="000C022D"/>
    <w:rsid w:val="000C1DC1"/>
    <w:rsid w:val="000D0021"/>
    <w:rsid w:val="000D27DB"/>
    <w:rsid w:val="000D3D3C"/>
    <w:rsid w:val="000D6E16"/>
    <w:rsid w:val="000E684C"/>
    <w:rsid w:val="000E6E3D"/>
    <w:rsid w:val="000E6EA2"/>
    <w:rsid w:val="000E74D6"/>
    <w:rsid w:val="000F4FF8"/>
    <w:rsid w:val="000F5530"/>
    <w:rsid w:val="001059F9"/>
    <w:rsid w:val="00105E19"/>
    <w:rsid w:val="00110EF1"/>
    <w:rsid w:val="00111208"/>
    <w:rsid w:val="00113AAA"/>
    <w:rsid w:val="001215D4"/>
    <w:rsid w:val="00123326"/>
    <w:rsid w:val="00123BC8"/>
    <w:rsid w:val="00123C3F"/>
    <w:rsid w:val="0012585E"/>
    <w:rsid w:val="001306A8"/>
    <w:rsid w:val="00132435"/>
    <w:rsid w:val="00133E9D"/>
    <w:rsid w:val="001360B6"/>
    <w:rsid w:val="00143B18"/>
    <w:rsid w:val="001500C9"/>
    <w:rsid w:val="001534D1"/>
    <w:rsid w:val="00166AFF"/>
    <w:rsid w:val="00167F5B"/>
    <w:rsid w:val="0017307C"/>
    <w:rsid w:val="001738EB"/>
    <w:rsid w:val="0017776A"/>
    <w:rsid w:val="00182131"/>
    <w:rsid w:val="00186191"/>
    <w:rsid w:val="00187124"/>
    <w:rsid w:val="001909D3"/>
    <w:rsid w:val="00194DB9"/>
    <w:rsid w:val="00197CEE"/>
    <w:rsid w:val="001A0016"/>
    <w:rsid w:val="001A3896"/>
    <w:rsid w:val="001A4467"/>
    <w:rsid w:val="001A64FC"/>
    <w:rsid w:val="001B1FE7"/>
    <w:rsid w:val="001B27E5"/>
    <w:rsid w:val="001B3343"/>
    <w:rsid w:val="001C08E6"/>
    <w:rsid w:val="001C0A06"/>
    <w:rsid w:val="001C0C23"/>
    <w:rsid w:val="001C320D"/>
    <w:rsid w:val="001C48A5"/>
    <w:rsid w:val="001C48F0"/>
    <w:rsid w:val="001C7B28"/>
    <w:rsid w:val="001D0DAB"/>
    <w:rsid w:val="001D0E67"/>
    <w:rsid w:val="001D2460"/>
    <w:rsid w:val="001D4832"/>
    <w:rsid w:val="001D65CB"/>
    <w:rsid w:val="001D729F"/>
    <w:rsid w:val="001E44FD"/>
    <w:rsid w:val="001E53C6"/>
    <w:rsid w:val="002003BC"/>
    <w:rsid w:val="0020095D"/>
    <w:rsid w:val="0020227B"/>
    <w:rsid w:val="00202B82"/>
    <w:rsid w:val="002033FF"/>
    <w:rsid w:val="0020585E"/>
    <w:rsid w:val="00206DB3"/>
    <w:rsid w:val="002145D5"/>
    <w:rsid w:val="002208FE"/>
    <w:rsid w:val="002210A8"/>
    <w:rsid w:val="00222469"/>
    <w:rsid w:val="00222E5B"/>
    <w:rsid w:val="002268F6"/>
    <w:rsid w:val="00231A87"/>
    <w:rsid w:val="002331E6"/>
    <w:rsid w:val="00234506"/>
    <w:rsid w:val="00235917"/>
    <w:rsid w:val="00237E5E"/>
    <w:rsid w:val="00241CFC"/>
    <w:rsid w:val="00242560"/>
    <w:rsid w:val="00243304"/>
    <w:rsid w:val="00245016"/>
    <w:rsid w:val="0024511C"/>
    <w:rsid w:val="00246F3E"/>
    <w:rsid w:val="00251C99"/>
    <w:rsid w:val="002528D1"/>
    <w:rsid w:val="00252CD7"/>
    <w:rsid w:val="002562D7"/>
    <w:rsid w:val="002575C9"/>
    <w:rsid w:val="002637E1"/>
    <w:rsid w:val="002642B1"/>
    <w:rsid w:val="00271208"/>
    <w:rsid w:val="002752F0"/>
    <w:rsid w:val="00275528"/>
    <w:rsid w:val="00277942"/>
    <w:rsid w:val="00284D99"/>
    <w:rsid w:val="002947C8"/>
    <w:rsid w:val="00295471"/>
    <w:rsid w:val="002B3897"/>
    <w:rsid w:val="002B7471"/>
    <w:rsid w:val="002C3256"/>
    <w:rsid w:val="002C325C"/>
    <w:rsid w:val="002C4774"/>
    <w:rsid w:val="002D1E41"/>
    <w:rsid w:val="002D5921"/>
    <w:rsid w:val="002D7C39"/>
    <w:rsid w:val="002E1A98"/>
    <w:rsid w:val="002E2361"/>
    <w:rsid w:val="002E251E"/>
    <w:rsid w:val="002F1B31"/>
    <w:rsid w:val="002F2A02"/>
    <w:rsid w:val="002F37CF"/>
    <w:rsid w:val="002F6B52"/>
    <w:rsid w:val="00300FAA"/>
    <w:rsid w:val="00306FB0"/>
    <w:rsid w:val="00307D61"/>
    <w:rsid w:val="00311289"/>
    <w:rsid w:val="003161AC"/>
    <w:rsid w:val="00317FCA"/>
    <w:rsid w:val="003221D9"/>
    <w:rsid w:val="00322245"/>
    <w:rsid w:val="00323116"/>
    <w:rsid w:val="003264C4"/>
    <w:rsid w:val="00334081"/>
    <w:rsid w:val="003440F6"/>
    <w:rsid w:val="00347155"/>
    <w:rsid w:val="00347620"/>
    <w:rsid w:val="00354BA7"/>
    <w:rsid w:val="00356062"/>
    <w:rsid w:val="0035662D"/>
    <w:rsid w:val="00357C63"/>
    <w:rsid w:val="003600D0"/>
    <w:rsid w:val="00364E57"/>
    <w:rsid w:val="00370D7A"/>
    <w:rsid w:val="00375B47"/>
    <w:rsid w:val="0038188E"/>
    <w:rsid w:val="003833D8"/>
    <w:rsid w:val="0039227C"/>
    <w:rsid w:val="00393C1B"/>
    <w:rsid w:val="003A30CD"/>
    <w:rsid w:val="003A630C"/>
    <w:rsid w:val="003B0198"/>
    <w:rsid w:val="003B0DA5"/>
    <w:rsid w:val="003B3893"/>
    <w:rsid w:val="003B73E1"/>
    <w:rsid w:val="003D0BFA"/>
    <w:rsid w:val="003D79F9"/>
    <w:rsid w:val="003E4436"/>
    <w:rsid w:val="003F1549"/>
    <w:rsid w:val="003F5CD3"/>
    <w:rsid w:val="003F655B"/>
    <w:rsid w:val="003F795B"/>
    <w:rsid w:val="00402FBA"/>
    <w:rsid w:val="00404753"/>
    <w:rsid w:val="00412021"/>
    <w:rsid w:val="00412255"/>
    <w:rsid w:val="00415E3B"/>
    <w:rsid w:val="00420154"/>
    <w:rsid w:val="00420B75"/>
    <w:rsid w:val="00421F51"/>
    <w:rsid w:val="004234A7"/>
    <w:rsid w:val="00424D5A"/>
    <w:rsid w:val="00424DAB"/>
    <w:rsid w:val="00424ED8"/>
    <w:rsid w:val="00426D24"/>
    <w:rsid w:val="004313A3"/>
    <w:rsid w:val="004335A8"/>
    <w:rsid w:val="00443A02"/>
    <w:rsid w:val="00444799"/>
    <w:rsid w:val="004456B2"/>
    <w:rsid w:val="004471CE"/>
    <w:rsid w:val="004502D2"/>
    <w:rsid w:val="00450793"/>
    <w:rsid w:val="00451611"/>
    <w:rsid w:val="00451D9C"/>
    <w:rsid w:val="004523E2"/>
    <w:rsid w:val="00462CE3"/>
    <w:rsid w:val="0046435C"/>
    <w:rsid w:val="0046612B"/>
    <w:rsid w:val="00472A36"/>
    <w:rsid w:val="00477079"/>
    <w:rsid w:val="00492CC5"/>
    <w:rsid w:val="004A0A5A"/>
    <w:rsid w:val="004A1895"/>
    <w:rsid w:val="004A28F2"/>
    <w:rsid w:val="004A380E"/>
    <w:rsid w:val="004A5D6E"/>
    <w:rsid w:val="004B0F71"/>
    <w:rsid w:val="004B6BC3"/>
    <w:rsid w:val="004C3BEE"/>
    <w:rsid w:val="004D250B"/>
    <w:rsid w:val="004E0037"/>
    <w:rsid w:val="004E6506"/>
    <w:rsid w:val="004E7834"/>
    <w:rsid w:val="004F74C7"/>
    <w:rsid w:val="00500218"/>
    <w:rsid w:val="0050267F"/>
    <w:rsid w:val="005050A4"/>
    <w:rsid w:val="0051386C"/>
    <w:rsid w:val="00514437"/>
    <w:rsid w:val="00514A5D"/>
    <w:rsid w:val="00515674"/>
    <w:rsid w:val="00516075"/>
    <w:rsid w:val="005206A2"/>
    <w:rsid w:val="005259DB"/>
    <w:rsid w:val="005313AE"/>
    <w:rsid w:val="0053288C"/>
    <w:rsid w:val="00532D22"/>
    <w:rsid w:val="00540763"/>
    <w:rsid w:val="00550816"/>
    <w:rsid w:val="00550C57"/>
    <w:rsid w:val="00563CD7"/>
    <w:rsid w:val="00566A76"/>
    <w:rsid w:val="00566FCC"/>
    <w:rsid w:val="00580D3A"/>
    <w:rsid w:val="00582DA9"/>
    <w:rsid w:val="00583C70"/>
    <w:rsid w:val="00590260"/>
    <w:rsid w:val="00596C4F"/>
    <w:rsid w:val="00597E74"/>
    <w:rsid w:val="005A2F8E"/>
    <w:rsid w:val="005A5A63"/>
    <w:rsid w:val="005A7172"/>
    <w:rsid w:val="005B3FE3"/>
    <w:rsid w:val="005B5AEF"/>
    <w:rsid w:val="005B761B"/>
    <w:rsid w:val="005B7A43"/>
    <w:rsid w:val="005C1A8E"/>
    <w:rsid w:val="005C5861"/>
    <w:rsid w:val="005C6544"/>
    <w:rsid w:val="005D5063"/>
    <w:rsid w:val="005D5CCE"/>
    <w:rsid w:val="005E0004"/>
    <w:rsid w:val="005E0654"/>
    <w:rsid w:val="005E1912"/>
    <w:rsid w:val="005E4724"/>
    <w:rsid w:val="005E50A9"/>
    <w:rsid w:val="005E7608"/>
    <w:rsid w:val="005E7BB0"/>
    <w:rsid w:val="005F09BC"/>
    <w:rsid w:val="005F4C5A"/>
    <w:rsid w:val="005F58EE"/>
    <w:rsid w:val="0060337A"/>
    <w:rsid w:val="00603FC4"/>
    <w:rsid w:val="0060755C"/>
    <w:rsid w:val="00607DE6"/>
    <w:rsid w:val="00610D7C"/>
    <w:rsid w:val="00611404"/>
    <w:rsid w:val="00614094"/>
    <w:rsid w:val="00616B1E"/>
    <w:rsid w:val="00617AC1"/>
    <w:rsid w:val="0063111A"/>
    <w:rsid w:val="006325DD"/>
    <w:rsid w:val="00637FEA"/>
    <w:rsid w:val="00642252"/>
    <w:rsid w:val="006429CA"/>
    <w:rsid w:val="00650FED"/>
    <w:rsid w:val="00663A9D"/>
    <w:rsid w:val="0066409A"/>
    <w:rsid w:val="00666CB2"/>
    <w:rsid w:val="00671A1D"/>
    <w:rsid w:val="00671AB1"/>
    <w:rsid w:val="00677E9E"/>
    <w:rsid w:val="00681549"/>
    <w:rsid w:val="0068171E"/>
    <w:rsid w:val="006A16A8"/>
    <w:rsid w:val="006B01BF"/>
    <w:rsid w:val="006B087D"/>
    <w:rsid w:val="006B42D1"/>
    <w:rsid w:val="006C104B"/>
    <w:rsid w:val="006C34C0"/>
    <w:rsid w:val="006C5391"/>
    <w:rsid w:val="006C5848"/>
    <w:rsid w:val="006D42DC"/>
    <w:rsid w:val="006E04C4"/>
    <w:rsid w:val="006E1817"/>
    <w:rsid w:val="006E2730"/>
    <w:rsid w:val="006F235B"/>
    <w:rsid w:val="00702362"/>
    <w:rsid w:val="00717C36"/>
    <w:rsid w:val="007208A9"/>
    <w:rsid w:val="00723568"/>
    <w:rsid w:val="00724E24"/>
    <w:rsid w:val="00725A5A"/>
    <w:rsid w:val="0073052D"/>
    <w:rsid w:val="00732FDC"/>
    <w:rsid w:val="007331C8"/>
    <w:rsid w:val="007353B8"/>
    <w:rsid w:val="0074118E"/>
    <w:rsid w:val="0074457C"/>
    <w:rsid w:val="007469F5"/>
    <w:rsid w:val="00750601"/>
    <w:rsid w:val="007611B6"/>
    <w:rsid w:val="00761AF0"/>
    <w:rsid w:val="0076716A"/>
    <w:rsid w:val="00773194"/>
    <w:rsid w:val="00775672"/>
    <w:rsid w:val="00777365"/>
    <w:rsid w:val="00787BF9"/>
    <w:rsid w:val="00791E24"/>
    <w:rsid w:val="00792561"/>
    <w:rsid w:val="007954B2"/>
    <w:rsid w:val="00795F74"/>
    <w:rsid w:val="007A41F9"/>
    <w:rsid w:val="007B0DB5"/>
    <w:rsid w:val="007B21DD"/>
    <w:rsid w:val="007B5C59"/>
    <w:rsid w:val="007B615D"/>
    <w:rsid w:val="007B73FD"/>
    <w:rsid w:val="007C2A98"/>
    <w:rsid w:val="007C601C"/>
    <w:rsid w:val="007D1408"/>
    <w:rsid w:val="007D1858"/>
    <w:rsid w:val="007D3AC4"/>
    <w:rsid w:val="007D4DFF"/>
    <w:rsid w:val="007D5499"/>
    <w:rsid w:val="007D5FD4"/>
    <w:rsid w:val="007E0AC6"/>
    <w:rsid w:val="007E1BB8"/>
    <w:rsid w:val="007E24E8"/>
    <w:rsid w:val="007E39CB"/>
    <w:rsid w:val="007E6728"/>
    <w:rsid w:val="007F3042"/>
    <w:rsid w:val="007F4102"/>
    <w:rsid w:val="007F651B"/>
    <w:rsid w:val="008023C2"/>
    <w:rsid w:val="00802F80"/>
    <w:rsid w:val="00807876"/>
    <w:rsid w:val="00810FE2"/>
    <w:rsid w:val="00812B88"/>
    <w:rsid w:val="00813E6E"/>
    <w:rsid w:val="00814EF0"/>
    <w:rsid w:val="008179B8"/>
    <w:rsid w:val="00821566"/>
    <w:rsid w:val="00826C06"/>
    <w:rsid w:val="00827DF4"/>
    <w:rsid w:val="00830C61"/>
    <w:rsid w:val="00831808"/>
    <w:rsid w:val="0083484B"/>
    <w:rsid w:val="008358E8"/>
    <w:rsid w:val="00841B85"/>
    <w:rsid w:val="00845118"/>
    <w:rsid w:val="008521AD"/>
    <w:rsid w:val="00854987"/>
    <w:rsid w:val="008567EF"/>
    <w:rsid w:val="00862DE3"/>
    <w:rsid w:val="00867945"/>
    <w:rsid w:val="00867E53"/>
    <w:rsid w:val="00870F15"/>
    <w:rsid w:val="00872109"/>
    <w:rsid w:val="00872884"/>
    <w:rsid w:val="0087461A"/>
    <w:rsid w:val="00875C3B"/>
    <w:rsid w:val="00877E88"/>
    <w:rsid w:val="0088208E"/>
    <w:rsid w:val="00891C47"/>
    <w:rsid w:val="00892C56"/>
    <w:rsid w:val="00892CD9"/>
    <w:rsid w:val="008936DB"/>
    <w:rsid w:val="00894A72"/>
    <w:rsid w:val="008A5DCF"/>
    <w:rsid w:val="008B11EE"/>
    <w:rsid w:val="008B2732"/>
    <w:rsid w:val="008C1281"/>
    <w:rsid w:val="008C3881"/>
    <w:rsid w:val="008C6D2F"/>
    <w:rsid w:val="008D0311"/>
    <w:rsid w:val="008D1628"/>
    <w:rsid w:val="008D5DA9"/>
    <w:rsid w:val="008E42CE"/>
    <w:rsid w:val="008F02D2"/>
    <w:rsid w:val="008F0F26"/>
    <w:rsid w:val="008F42B8"/>
    <w:rsid w:val="008F7246"/>
    <w:rsid w:val="00901373"/>
    <w:rsid w:val="00904C9F"/>
    <w:rsid w:val="009059F4"/>
    <w:rsid w:val="00914635"/>
    <w:rsid w:val="009153ED"/>
    <w:rsid w:val="0092535C"/>
    <w:rsid w:val="009308F6"/>
    <w:rsid w:val="0093250E"/>
    <w:rsid w:val="00934049"/>
    <w:rsid w:val="00937260"/>
    <w:rsid w:val="00947B75"/>
    <w:rsid w:val="00947E9E"/>
    <w:rsid w:val="0095057E"/>
    <w:rsid w:val="00950B54"/>
    <w:rsid w:val="00951081"/>
    <w:rsid w:val="00955CE5"/>
    <w:rsid w:val="00957114"/>
    <w:rsid w:val="00962701"/>
    <w:rsid w:val="00963912"/>
    <w:rsid w:val="00964088"/>
    <w:rsid w:val="009643DF"/>
    <w:rsid w:val="00965086"/>
    <w:rsid w:val="00970F9A"/>
    <w:rsid w:val="00971094"/>
    <w:rsid w:val="00973FDF"/>
    <w:rsid w:val="00983899"/>
    <w:rsid w:val="00985C8F"/>
    <w:rsid w:val="00987DDE"/>
    <w:rsid w:val="009C4BE4"/>
    <w:rsid w:val="009C73C3"/>
    <w:rsid w:val="009D10CB"/>
    <w:rsid w:val="009D2E94"/>
    <w:rsid w:val="009E1FAD"/>
    <w:rsid w:val="009E2E9B"/>
    <w:rsid w:val="009E6F04"/>
    <w:rsid w:val="009F052C"/>
    <w:rsid w:val="009F12FE"/>
    <w:rsid w:val="009F2A84"/>
    <w:rsid w:val="009F3165"/>
    <w:rsid w:val="009F4F02"/>
    <w:rsid w:val="00A03D6D"/>
    <w:rsid w:val="00A0731F"/>
    <w:rsid w:val="00A079D2"/>
    <w:rsid w:val="00A11D46"/>
    <w:rsid w:val="00A135C5"/>
    <w:rsid w:val="00A137C3"/>
    <w:rsid w:val="00A14EFC"/>
    <w:rsid w:val="00A166AA"/>
    <w:rsid w:val="00A17951"/>
    <w:rsid w:val="00A30A64"/>
    <w:rsid w:val="00A329A2"/>
    <w:rsid w:val="00A3645C"/>
    <w:rsid w:val="00A51C01"/>
    <w:rsid w:val="00A56F9A"/>
    <w:rsid w:val="00A60968"/>
    <w:rsid w:val="00A60D03"/>
    <w:rsid w:val="00A60F6B"/>
    <w:rsid w:val="00A625C5"/>
    <w:rsid w:val="00A64D93"/>
    <w:rsid w:val="00A6740E"/>
    <w:rsid w:val="00A674AD"/>
    <w:rsid w:val="00A749A2"/>
    <w:rsid w:val="00A77E29"/>
    <w:rsid w:val="00A80670"/>
    <w:rsid w:val="00A84A76"/>
    <w:rsid w:val="00A8656C"/>
    <w:rsid w:val="00A87A4D"/>
    <w:rsid w:val="00A94A02"/>
    <w:rsid w:val="00A9597B"/>
    <w:rsid w:val="00A971C7"/>
    <w:rsid w:val="00AA36BC"/>
    <w:rsid w:val="00AA6DDF"/>
    <w:rsid w:val="00AB3296"/>
    <w:rsid w:val="00AB4B72"/>
    <w:rsid w:val="00AB674E"/>
    <w:rsid w:val="00AC3A3D"/>
    <w:rsid w:val="00AC5AAF"/>
    <w:rsid w:val="00AC7CAD"/>
    <w:rsid w:val="00AD3848"/>
    <w:rsid w:val="00AD7733"/>
    <w:rsid w:val="00AD7F27"/>
    <w:rsid w:val="00AE0FC4"/>
    <w:rsid w:val="00AE1444"/>
    <w:rsid w:val="00AE2E16"/>
    <w:rsid w:val="00AF1241"/>
    <w:rsid w:val="00AF13D1"/>
    <w:rsid w:val="00AF2D17"/>
    <w:rsid w:val="00AF5473"/>
    <w:rsid w:val="00AF5D5C"/>
    <w:rsid w:val="00B0672C"/>
    <w:rsid w:val="00B104FD"/>
    <w:rsid w:val="00B11B7A"/>
    <w:rsid w:val="00B12D44"/>
    <w:rsid w:val="00B14E6B"/>
    <w:rsid w:val="00B15BC0"/>
    <w:rsid w:val="00B15D67"/>
    <w:rsid w:val="00B16880"/>
    <w:rsid w:val="00B20253"/>
    <w:rsid w:val="00B2111A"/>
    <w:rsid w:val="00B2119F"/>
    <w:rsid w:val="00B27731"/>
    <w:rsid w:val="00B30721"/>
    <w:rsid w:val="00B323A1"/>
    <w:rsid w:val="00B34CFC"/>
    <w:rsid w:val="00B4036A"/>
    <w:rsid w:val="00B4276C"/>
    <w:rsid w:val="00B43270"/>
    <w:rsid w:val="00B43A1D"/>
    <w:rsid w:val="00B43D7D"/>
    <w:rsid w:val="00B470D5"/>
    <w:rsid w:val="00B52A12"/>
    <w:rsid w:val="00B5691D"/>
    <w:rsid w:val="00B5710B"/>
    <w:rsid w:val="00B604D6"/>
    <w:rsid w:val="00B619AF"/>
    <w:rsid w:val="00B641FC"/>
    <w:rsid w:val="00B64863"/>
    <w:rsid w:val="00B73DB4"/>
    <w:rsid w:val="00B7544B"/>
    <w:rsid w:val="00B801F2"/>
    <w:rsid w:val="00B807F3"/>
    <w:rsid w:val="00B92DDD"/>
    <w:rsid w:val="00B96198"/>
    <w:rsid w:val="00BA0981"/>
    <w:rsid w:val="00BA0F46"/>
    <w:rsid w:val="00BA1B0C"/>
    <w:rsid w:val="00BA4F4A"/>
    <w:rsid w:val="00BA6CAE"/>
    <w:rsid w:val="00BA6F70"/>
    <w:rsid w:val="00BB5850"/>
    <w:rsid w:val="00BB6829"/>
    <w:rsid w:val="00BD2A42"/>
    <w:rsid w:val="00BD68F7"/>
    <w:rsid w:val="00BD708F"/>
    <w:rsid w:val="00BE0743"/>
    <w:rsid w:val="00BE1D35"/>
    <w:rsid w:val="00BE2E90"/>
    <w:rsid w:val="00BE5229"/>
    <w:rsid w:val="00BE6B65"/>
    <w:rsid w:val="00BF23C2"/>
    <w:rsid w:val="00BF256A"/>
    <w:rsid w:val="00BF6694"/>
    <w:rsid w:val="00BF6752"/>
    <w:rsid w:val="00C02D30"/>
    <w:rsid w:val="00C02FA2"/>
    <w:rsid w:val="00C12151"/>
    <w:rsid w:val="00C128E5"/>
    <w:rsid w:val="00C24434"/>
    <w:rsid w:val="00C3273F"/>
    <w:rsid w:val="00C3345C"/>
    <w:rsid w:val="00C425B2"/>
    <w:rsid w:val="00C44886"/>
    <w:rsid w:val="00C45287"/>
    <w:rsid w:val="00C50742"/>
    <w:rsid w:val="00C5619A"/>
    <w:rsid w:val="00C56B88"/>
    <w:rsid w:val="00C63F2F"/>
    <w:rsid w:val="00C651DE"/>
    <w:rsid w:val="00C717AE"/>
    <w:rsid w:val="00C739A5"/>
    <w:rsid w:val="00C76914"/>
    <w:rsid w:val="00C8450D"/>
    <w:rsid w:val="00C91496"/>
    <w:rsid w:val="00CA0A0D"/>
    <w:rsid w:val="00CA1E2C"/>
    <w:rsid w:val="00CA417F"/>
    <w:rsid w:val="00CA63C7"/>
    <w:rsid w:val="00CA77DC"/>
    <w:rsid w:val="00CB7F41"/>
    <w:rsid w:val="00CC62C7"/>
    <w:rsid w:val="00CD207C"/>
    <w:rsid w:val="00CD2771"/>
    <w:rsid w:val="00CD70F5"/>
    <w:rsid w:val="00CD7D3B"/>
    <w:rsid w:val="00CE1D73"/>
    <w:rsid w:val="00CE33A0"/>
    <w:rsid w:val="00CE3BE1"/>
    <w:rsid w:val="00CE4E47"/>
    <w:rsid w:val="00CE6F29"/>
    <w:rsid w:val="00D23119"/>
    <w:rsid w:val="00D25C99"/>
    <w:rsid w:val="00D30F8A"/>
    <w:rsid w:val="00D33498"/>
    <w:rsid w:val="00D4164E"/>
    <w:rsid w:val="00D42A7A"/>
    <w:rsid w:val="00D4345A"/>
    <w:rsid w:val="00D573CC"/>
    <w:rsid w:val="00D60C98"/>
    <w:rsid w:val="00D63739"/>
    <w:rsid w:val="00D638B4"/>
    <w:rsid w:val="00D73D51"/>
    <w:rsid w:val="00D7432C"/>
    <w:rsid w:val="00D87FD2"/>
    <w:rsid w:val="00D929E3"/>
    <w:rsid w:val="00D93246"/>
    <w:rsid w:val="00D96BD2"/>
    <w:rsid w:val="00D97E40"/>
    <w:rsid w:val="00DA32AB"/>
    <w:rsid w:val="00DA3F1F"/>
    <w:rsid w:val="00DC090B"/>
    <w:rsid w:val="00DC09FB"/>
    <w:rsid w:val="00DC4885"/>
    <w:rsid w:val="00DD0AFB"/>
    <w:rsid w:val="00DD4471"/>
    <w:rsid w:val="00DE1843"/>
    <w:rsid w:val="00DF1363"/>
    <w:rsid w:val="00DF50CD"/>
    <w:rsid w:val="00DF5759"/>
    <w:rsid w:val="00E00A70"/>
    <w:rsid w:val="00E0282E"/>
    <w:rsid w:val="00E04B10"/>
    <w:rsid w:val="00E05282"/>
    <w:rsid w:val="00E1206C"/>
    <w:rsid w:val="00E12A2A"/>
    <w:rsid w:val="00E20A45"/>
    <w:rsid w:val="00E22483"/>
    <w:rsid w:val="00E24D79"/>
    <w:rsid w:val="00E32683"/>
    <w:rsid w:val="00E352E3"/>
    <w:rsid w:val="00E47DAD"/>
    <w:rsid w:val="00E5013B"/>
    <w:rsid w:val="00E50178"/>
    <w:rsid w:val="00E51719"/>
    <w:rsid w:val="00E54249"/>
    <w:rsid w:val="00E55FDB"/>
    <w:rsid w:val="00E61843"/>
    <w:rsid w:val="00E66E0E"/>
    <w:rsid w:val="00E7082A"/>
    <w:rsid w:val="00E709BF"/>
    <w:rsid w:val="00E73C64"/>
    <w:rsid w:val="00E803EA"/>
    <w:rsid w:val="00E82F8D"/>
    <w:rsid w:val="00E84D3A"/>
    <w:rsid w:val="00E8536E"/>
    <w:rsid w:val="00E96CBE"/>
    <w:rsid w:val="00E9797F"/>
    <w:rsid w:val="00EA143B"/>
    <w:rsid w:val="00EA41BE"/>
    <w:rsid w:val="00EA6331"/>
    <w:rsid w:val="00EB2F35"/>
    <w:rsid w:val="00EC5BF4"/>
    <w:rsid w:val="00EC5E4C"/>
    <w:rsid w:val="00ED09E8"/>
    <w:rsid w:val="00ED0D21"/>
    <w:rsid w:val="00ED1AEB"/>
    <w:rsid w:val="00ED3E2E"/>
    <w:rsid w:val="00EE07D2"/>
    <w:rsid w:val="00EF2F1B"/>
    <w:rsid w:val="00F06C6C"/>
    <w:rsid w:val="00F12813"/>
    <w:rsid w:val="00F13175"/>
    <w:rsid w:val="00F17A6F"/>
    <w:rsid w:val="00F21908"/>
    <w:rsid w:val="00F21B3F"/>
    <w:rsid w:val="00F22885"/>
    <w:rsid w:val="00F22F0E"/>
    <w:rsid w:val="00F30500"/>
    <w:rsid w:val="00F31582"/>
    <w:rsid w:val="00F34773"/>
    <w:rsid w:val="00F35115"/>
    <w:rsid w:val="00F3526C"/>
    <w:rsid w:val="00F36BAB"/>
    <w:rsid w:val="00F41CBB"/>
    <w:rsid w:val="00F44C7D"/>
    <w:rsid w:val="00F45438"/>
    <w:rsid w:val="00F4777C"/>
    <w:rsid w:val="00F5009A"/>
    <w:rsid w:val="00F5016B"/>
    <w:rsid w:val="00F57AF6"/>
    <w:rsid w:val="00F6677C"/>
    <w:rsid w:val="00F7520B"/>
    <w:rsid w:val="00F7587F"/>
    <w:rsid w:val="00F8282E"/>
    <w:rsid w:val="00F829BC"/>
    <w:rsid w:val="00F83D2D"/>
    <w:rsid w:val="00F9018D"/>
    <w:rsid w:val="00F907A0"/>
    <w:rsid w:val="00FA48BD"/>
    <w:rsid w:val="00FA7870"/>
    <w:rsid w:val="00FC20E3"/>
    <w:rsid w:val="00FC3938"/>
    <w:rsid w:val="00FC5FE5"/>
    <w:rsid w:val="00FD5A1B"/>
    <w:rsid w:val="00FD7C69"/>
    <w:rsid w:val="00FD7FE6"/>
    <w:rsid w:val="00FE1C14"/>
    <w:rsid w:val="00FE5B6B"/>
    <w:rsid w:val="00FF0713"/>
    <w:rsid w:val="00FF46F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DD896"/>
  <w15:chartTrackingRefBased/>
  <w15:docId w15:val="{1398FFA1-B212-8D40-83B5-8277B1105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03"/>
    <w:pPr>
      <w:spacing w:after="240" w:line="276" w:lineRule="auto"/>
    </w:pPr>
    <w:rPr>
      <w:rFonts w:ascii="Arial" w:hAnsi="Arial"/>
      <w:sz w:val="22"/>
    </w:rPr>
  </w:style>
  <w:style w:type="paragraph" w:styleId="Heading1">
    <w:name w:val="heading 1"/>
    <w:basedOn w:val="Normal"/>
    <w:next w:val="Normal"/>
    <w:link w:val="Heading1Char"/>
    <w:uiPriority w:val="9"/>
    <w:qFormat/>
    <w:rsid w:val="00E00A70"/>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110EF1"/>
    <w:pPr>
      <w:keepNext/>
      <w:keepLines/>
      <w:spacing w:before="360" w:after="12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110EF1"/>
    <w:pPr>
      <w:keepNext/>
      <w:keepLines/>
      <w:spacing w:before="360" w:after="12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1F51"/>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421F51"/>
    <w:pPr>
      <w:ind w:left="720"/>
      <w:contextualSpacing/>
    </w:pPr>
  </w:style>
  <w:style w:type="character" w:customStyle="1" w:styleId="ui-provider">
    <w:name w:val="ui-provider"/>
    <w:basedOn w:val="DefaultParagraphFont"/>
    <w:rsid w:val="004471CE"/>
  </w:style>
  <w:style w:type="character" w:styleId="CommentReference">
    <w:name w:val="annotation reference"/>
    <w:basedOn w:val="DefaultParagraphFont"/>
    <w:uiPriority w:val="99"/>
    <w:semiHidden/>
    <w:unhideWhenUsed/>
    <w:rsid w:val="0060755C"/>
    <w:rPr>
      <w:sz w:val="16"/>
      <w:szCs w:val="16"/>
    </w:rPr>
  </w:style>
  <w:style w:type="paragraph" w:styleId="CommentText">
    <w:name w:val="annotation text"/>
    <w:basedOn w:val="Normal"/>
    <w:link w:val="CommentTextChar"/>
    <w:uiPriority w:val="99"/>
    <w:unhideWhenUsed/>
    <w:rsid w:val="0060755C"/>
    <w:rPr>
      <w:sz w:val="20"/>
      <w:szCs w:val="20"/>
    </w:rPr>
  </w:style>
  <w:style w:type="character" w:customStyle="1" w:styleId="CommentTextChar">
    <w:name w:val="Comment Text Char"/>
    <w:basedOn w:val="DefaultParagraphFont"/>
    <w:link w:val="CommentText"/>
    <w:uiPriority w:val="99"/>
    <w:rsid w:val="0060755C"/>
    <w:rPr>
      <w:sz w:val="20"/>
      <w:szCs w:val="20"/>
    </w:rPr>
  </w:style>
  <w:style w:type="character" w:customStyle="1" w:styleId="Heading1Char">
    <w:name w:val="Heading 1 Char"/>
    <w:basedOn w:val="DefaultParagraphFont"/>
    <w:link w:val="Heading1"/>
    <w:uiPriority w:val="9"/>
    <w:rsid w:val="00E00A70"/>
    <w:rPr>
      <w:rFonts w:ascii="Arial" w:eastAsiaTheme="majorEastAsia" w:hAnsi="Arial" w:cstheme="majorBidi"/>
      <w:b/>
      <w:color w:val="000000" w:themeColor="text1"/>
      <w:sz w:val="32"/>
      <w:szCs w:val="32"/>
    </w:rPr>
  </w:style>
  <w:style w:type="numbering" w:customStyle="1" w:styleId="CurrentList1">
    <w:name w:val="Current List1"/>
    <w:uiPriority w:val="99"/>
    <w:rsid w:val="002642B1"/>
    <w:pPr>
      <w:numPr>
        <w:numId w:val="11"/>
      </w:numPr>
    </w:pPr>
  </w:style>
  <w:style w:type="character" w:customStyle="1" w:styleId="Heading2Char">
    <w:name w:val="Heading 2 Char"/>
    <w:basedOn w:val="DefaultParagraphFont"/>
    <w:link w:val="Heading2"/>
    <w:uiPriority w:val="9"/>
    <w:rsid w:val="00110EF1"/>
    <w:rPr>
      <w:rFonts w:ascii="Arial" w:eastAsiaTheme="majorEastAsia" w:hAnsi="Arial" w:cstheme="majorBidi"/>
      <w:b/>
      <w:color w:val="000000" w:themeColor="text1"/>
      <w:sz w:val="26"/>
      <w:szCs w:val="26"/>
    </w:rPr>
  </w:style>
  <w:style w:type="paragraph" w:styleId="CommentSubject">
    <w:name w:val="annotation subject"/>
    <w:basedOn w:val="CommentText"/>
    <w:next w:val="CommentText"/>
    <w:link w:val="CommentSubjectChar"/>
    <w:uiPriority w:val="99"/>
    <w:semiHidden/>
    <w:unhideWhenUsed/>
    <w:rsid w:val="001738EB"/>
    <w:rPr>
      <w:b/>
      <w:bCs/>
    </w:rPr>
  </w:style>
  <w:style w:type="character" w:customStyle="1" w:styleId="CommentSubjectChar">
    <w:name w:val="Comment Subject Char"/>
    <w:basedOn w:val="CommentTextChar"/>
    <w:link w:val="CommentSubject"/>
    <w:uiPriority w:val="99"/>
    <w:semiHidden/>
    <w:rsid w:val="001738EB"/>
    <w:rPr>
      <w:b/>
      <w:bCs/>
      <w:sz w:val="20"/>
      <w:szCs w:val="20"/>
    </w:rPr>
  </w:style>
  <w:style w:type="character" w:styleId="PlaceholderText">
    <w:name w:val="Placeholder Text"/>
    <w:basedOn w:val="DefaultParagraphFont"/>
    <w:uiPriority w:val="99"/>
    <w:semiHidden/>
    <w:rsid w:val="001A0016"/>
    <w:rPr>
      <w:color w:val="666666"/>
    </w:rPr>
  </w:style>
  <w:style w:type="paragraph" w:styleId="Header">
    <w:name w:val="header"/>
    <w:basedOn w:val="Normal"/>
    <w:link w:val="HeaderChar"/>
    <w:uiPriority w:val="99"/>
    <w:unhideWhenUsed/>
    <w:rsid w:val="00B801F2"/>
    <w:pPr>
      <w:tabs>
        <w:tab w:val="center" w:pos="4680"/>
        <w:tab w:val="right" w:pos="9360"/>
      </w:tabs>
    </w:pPr>
  </w:style>
  <w:style w:type="character" w:customStyle="1" w:styleId="HeaderChar">
    <w:name w:val="Header Char"/>
    <w:basedOn w:val="DefaultParagraphFont"/>
    <w:link w:val="Header"/>
    <w:uiPriority w:val="99"/>
    <w:rsid w:val="00B801F2"/>
  </w:style>
  <w:style w:type="paragraph" w:styleId="Footer">
    <w:name w:val="footer"/>
    <w:basedOn w:val="Normal"/>
    <w:link w:val="FooterChar"/>
    <w:uiPriority w:val="99"/>
    <w:unhideWhenUsed/>
    <w:rsid w:val="00B801F2"/>
    <w:pPr>
      <w:tabs>
        <w:tab w:val="center" w:pos="4680"/>
        <w:tab w:val="right" w:pos="9360"/>
      </w:tabs>
    </w:pPr>
  </w:style>
  <w:style w:type="character" w:customStyle="1" w:styleId="FooterChar">
    <w:name w:val="Footer Char"/>
    <w:basedOn w:val="DefaultParagraphFont"/>
    <w:link w:val="Footer"/>
    <w:uiPriority w:val="99"/>
    <w:rsid w:val="00B801F2"/>
  </w:style>
  <w:style w:type="paragraph" w:styleId="HTMLPreformatted">
    <w:name w:val="HTML Preformatted"/>
    <w:basedOn w:val="Normal"/>
    <w:link w:val="HTMLPreformattedChar"/>
    <w:uiPriority w:val="99"/>
    <w:semiHidden/>
    <w:unhideWhenUsed/>
    <w:rsid w:val="0035662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5662D"/>
    <w:rPr>
      <w:rFonts w:ascii="Consolas" w:hAnsi="Consolas" w:cs="Consolas"/>
      <w:sz w:val="20"/>
      <w:szCs w:val="20"/>
    </w:rPr>
  </w:style>
  <w:style w:type="character" w:styleId="Hyperlink">
    <w:name w:val="Hyperlink"/>
    <w:basedOn w:val="DefaultParagraphFont"/>
    <w:uiPriority w:val="99"/>
    <w:unhideWhenUsed/>
    <w:rsid w:val="00845118"/>
    <w:rPr>
      <w:color w:val="0000FF"/>
      <w:u w:val="single"/>
    </w:rPr>
  </w:style>
  <w:style w:type="character" w:styleId="FollowedHyperlink">
    <w:name w:val="FollowedHyperlink"/>
    <w:basedOn w:val="DefaultParagraphFont"/>
    <w:uiPriority w:val="99"/>
    <w:semiHidden/>
    <w:unhideWhenUsed/>
    <w:rsid w:val="00076C23"/>
    <w:rPr>
      <w:color w:val="954F72" w:themeColor="followedHyperlink"/>
      <w:u w:val="single"/>
    </w:rPr>
  </w:style>
  <w:style w:type="table" w:styleId="TableGrid">
    <w:name w:val="Table Grid"/>
    <w:basedOn w:val="TableNormal"/>
    <w:uiPriority w:val="39"/>
    <w:rsid w:val="00642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2E90"/>
    <w:rPr>
      <w:color w:val="605E5C"/>
      <w:shd w:val="clear" w:color="auto" w:fill="E1DFDD"/>
    </w:rPr>
  </w:style>
  <w:style w:type="paragraph" w:customStyle="1" w:styleId="EndNoteBibliographyTitle">
    <w:name w:val="EndNote Bibliography Title"/>
    <w:basedOn w:val="Normal"/>
    <w:link w:val="EndNoteBibliographyTitleChar"/>
    <w:rsid w:val="005E4724"/>
    <w:pPr>
      <w:jc w:val="center"/>
    </w:pPr>
    <w:rPr>
      <w:rFonts w:cs="Arial"/>
    </w:rPr>
  </w:style>
  <w:style w:type="character" w:customStyle="1" w:styleId="EndNoteBibliographyTitleChar">
    <w:name w:val="EndNote Bibliography Title Char"/>
    <w:basedOn w:val="DefaultParagraphFont"/>
    <w:link w:val="EndNoteBibliographyTitle"/>
    <w:rsid w:val="005E4724"/>
    <w:rPr>
      <w:rFonts w:ascii="Arial" w:hAnsi="Arial" w:cs="Arial"/>
      <w:sz w:val="22"/>
    </w:rPr>
  </w:style>
  <w:style w:type="paragraph" w:customStyle="1" w:styleId="EndNoteBibliography">
    <w:name w:val="EndNote Bibliography"/>
    <w:basedOn w:val="Normal"/>
    <w:link w:val="EndNoteBibliographyChar"/>
    <w:rsid w:val="005E4724"/>
    <w:pPr>
      <w:spacing w:line="240" w:lineRule="auto"/>
    </w:pPr>
    <w:rPr>
      <w:rFonts w:cs="Arial"/>
    </w:rPr>
  </w:style>
  <w:style w:type="character" w:customStyle="1" w:styleId="EndNoteBibliographyChar">
    <w:name w:val="EndNote Bibliography Char"/>
    <w:basedOn w:val="DefaultParagraphFont"/>
    <w:link w:val="EndNoteBibliography"/>
    <w:rsid w:val="005E4724"/>
    <w:rPr>
      <w:rFonts w:ascii="Arial" w:hAnsi="Arial" w:cs="Arial"/>
      <w:sz w:val="22"/>
    </w:rPr>
  </w:style>
  <w:style w:type="paragraph" w:styleId="Title">
    <w:name w:val="Title"/>
    <w:basedOn w:val="Normal"/>
    <w:next w:val="Normal"/>
    <w:link w:val="TitleChar"/>
    <w:uiPriority w:val="10"/>
    <w:qFormat/>
    <w:rsid w:val="00E00A70"/>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00A70"/>
    <w:rPr>
      <w:rFonts w:ascii="Arial" w:eastAsiaTheme="majorEastAsia" w:hAnsi="Arial" w:cstheme="majorBidi"/>
      <w:spacing w:val="-10"/>
      <w:kern w:val="28"/>
      <w:sz w:val="56"/>
      <w:szCs w:val="56"/>
    </w:rPr>
  </w:style>
  <w:style w:type="paragraph" w:styleId="Revision">
    <w:name w:val="Revision"/>
    <w:hidden/>
    <w:uiPriority w:val="99"/>
    <w:semiHidden/>
    <w:rsid w:val="00563CD7"/>
    <w:rPr>
      <w:rFonts w:ascii="Arial" w:hAnsi="Arial"/>
      <w:sz w:val="22"/>
    </w:rPr>
  </w:style>
  <w:style w:type="numbering" w:customStyle="1" w:styleId="CurrentList2">
    <w:name w:val="Current List2"/>
    <w:uiPriority w:val="99"/>
    <w:rsid w:val="00B27731"/>
    <w:pPr>
      <w:numPr>
        <w:numId w:val="27"/>
      </w:numPr>
    </w:pPr>
  </w:style>
  <w:style w:type="character" w:customStyle="1" w:styleId="Heading3Char">
    <w:name w:val="Heading 3 Char"/>
    <w:basedOn w:val="DefaultParagraphFont"/>
    <w:link w:val="Heading3"/>
    <w:uiPriority w:val="9"/>
    <w:rsid w:val="00110EF1"/>
    <w:rPr>
      <w:rFonts w:asciiTheme="majorHAnsi" w:eastAsiaTheme="majorEastAsia" w:hAnsiTheme="majorHAnsi" w:cstheme="majorBidi"/>
      <w:color w:val="1F3763" w:themeColor="accent1" w:themeShade="7F"/>
    </w:rPr>
  </w:style>
  <w:style w:type="paragraph" w:customStyle="1" w:styleId="Tablelegend">
    <w:name w:val="Table legend"/>
    <w:basedOn w:val="Normal"/>
    <w:qFormat/>
    <w:rsid w:val="00110EF1"/>
    <w:pPr>
      <w:spacing w:after="0"/>
    </w:pPr>
    <w:rPr>
      <w:bCs/>
      <w:sz w:val="18"/>
      <w:szCs w:val="20"/>
    </w:rPr>
  </w:style>
  <w:style w:type="paragraph" w:customStyle="1" w:styleId="Affilitations">
    <w:name w:val="Affilitations"/>
    <w:basedOn w:val="Normal"/>
    <w:qFormat/>
    <w:rsid w:val="00EC5BF4"/>
    <w:pPr>
      <w:spacing w:after="0" w:line="240" w:lineRule="auto"/>
      <w:jc w:val="both"/>
    </w:pPr>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9853">
      <w:bodyDiv w:val="1"/>
      <w:marLeft w:val="0"/>
      <w:marRight w:val="0"/>
      <w:marTop w:val="0"/>
      <w:marBottom w:val="0"/>
      <w:divBdr>
        <w:top w:val="none" w:sz="0" w:space="0" w:color="auto"/>
        <w:left w:val="none" w:sz="0" w:space="0" w:color="auto"/>
        <w:bottom w:val="none" w:sz="0" w:space="0" w:color="auto"/>
        <w:right w:val="none" w:sz="0" w:space="0" w:color="auto"/>
      </w:divBdr>
    </w:div>
    <w:div w:id="23215155">
      <w:bodyDiv w:val="1"/>
      <w:marLeft w:val="0"/>
      <w:marRight w:val="0"/>
      <w:marTop w:val="0"/>
      <w:marBottom w:val="0"/>
      <w:divBdr>
        <w:top w:val="none" w:sz="0" w:space="0" w:color="auto"/>
        <w:left w:val="none" w:sz="0" w:space="0" w:color="auto"/>
        <w:bottom w:val="none" w:sz="0" w:space="0" w:color="auto"/>
        <w:right w:val="none" w:sz="0" w:space="0" w:color="auto"/>
      </w:divBdr>
      <w:divsChild>
        <w:div w:id="2138722129">
          <w:marLeft w:val="0"/>
          <w:marRight w:val="0"/>
          <w:marTop w:val="0"/>
          <w:marBottom w:val="0"/>
          <w:divBdr>
            <w:top w:val="none" w:sz="0" w:space="0" w:color="auto"/>
            <w:left w:val="none" w:sz="0" w:space="0" w:color="auto"/>
            <w:bottom w:val="none" w:sz="0" w:space="0" w:color="auto"/>
            <w:right w:val="none" w:sz="0" w:space="0" w:color="auto"/>
          </w:divBdr>
          <w:divsChild>
            <w:div w:id="2130391107">
              <w:marLeft w:val="0"/>
              <w:marRight w:val="0"/>
              <w:marTop w:val="0"/>
              <w:marBottom w:val="0"/>
              <w:divBdr>
                <w:top w:val="none" w:sz="0" w:space="0" w:color="auto"/>
                <w:left w:val="none" w:sz="0" w:space="0" w:color="auto"/>
                <w:bottom w:val="none" w:sz="0" w:space="0" w:color="auto"/>
                <w:right w:val="none" w:sz="0" w:space="0" w:color="auto"/>
              </w:divBdr>
              <w:divsChild>
                <w:div w:id="8147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043">
      <w:bodyDiv w:val="1"/>
      <w:marLeft w:val="0"/>
      <w:marRight w:val="0"/>
      <w:marTop w:val="0"/>
      <w:marBottom w:val="0"/>
      <w:divBdr>
        <w:top w:val="none" w:sz="0" w:space="0" w:color="auto"/>
        <w:left w:val="none" w:sz="0" w:space="0" w:color="auto"/>
        <w:bottom w:val="none" w:sz="0" w:space="0" w:color="auto"/>
        <w:right w:val="none" w:sz="0" w:space="0" w:color="auto"/>
      </w:divBdr>
    </w:div>
    <w:div w:id="30618764">
      <w:bodyDiv w:val="1"/>
      <w:marLeft w:val="0"/>
      <w:marRight w:val="0"/>
      <w:marTop w:val="0"/>
      <w:marBottom w:val="0"/>
      <w:divBdr>
        <w:top w:val="none" w:sz="0" w:space="0" w:color="auto"/>
        <w:left w:val="none" w:sz="0" w:space="0" w:color="auto"/>
        <w:bottom w:val="none" w:sz="0" w:space="0" w:color="auto"/>
        <w:right w:val="none" w:sz="0" w:space="0" w:color="auto"/>
      </w:divBdr>
    </w:div>
    <w:div w:id="43482235">
      <w:bodyDiv w:val="1"/>
      <w:marLeft w:val="0"/>
      <w:marRight w:val="0"/>
      <w:marTop w:val="0"/>
      <w:marBottom w:val="0"/>
      <w:divBdr>
        <w:top w:val="none" w:sz="0" w:space="0" w:color="auto"/>
        <w:left w:val="none" w:sz="0" w:space="0" w:color="auto"/>
        <w:bottom w:val="none" w:sz="0" w:space="0" w:color="auto"/>
        <w:right w:val="none" w:sz="0" w:space="0" w:color="auto"/>
      </w:divBdr>
    </w:div>
    <w:div w:id="54861277">
      <w:bodyDiv w:val="1"/>
      <w:marLeft w:val="0"/>
      <w:marRight w:val="0"/>
      <w:marTop w:val="0"/>
      <w:marBottom w:val="0"/>
      <w:divBdr>
        <w:top w:val="none" w:sz="0" w:space="0" w:color="auto"/>
        <w:left w:val="none" w:sz="0" w:space="0" w:color="auto"/>
        <w:bottom w:val="none" w:sz="0" w:space="0" w:color="auto"/>
        <w:right w:val="none" w:sz="0" w:space="0" w:color="auto"/>
      </w:divBdr>
    </w:div>
    <w:div w:id="93669316">
      <w:bodyDiv w:val="1"/>
      <w:marLeft w:val="0"/>
      <w:marRight w:val="0"/>
      <w:marTop w:val="0"/>
      <w:marBottom w:val="0"/>
      <w:divBdr>
        <w:top w:val="none" w:sz="0" w:space="0" w:color="auto"/>
        <w:left w:val="none" w:sz="0" w:space="0" w:color="auto"/>
        <w:bottom w:val="none" w:sz="0" w:space="0" w:color="auto"/>
        <w:right w:val="none" w:sz="0" w:space="0" w:color="auto"/>
      </w:divBdr>
    </w:div>
    <w:div w:id="123693634">
      <w:bodyDiv w:val="1"/>
      <w:marLeft w:val="0"/>
      <w:marRight w:val="0"/>
      <w:marTop w:val="0"/>
      <w:marBottom w:val="0"/>
      <w:divBdr>
        <w:top w:val="none" w:sz="0" w:space="0" w:color="auto"/>
        <w:left w:val="none" w:sz="0" w:space="0" w:color="auto"/>
        <w:bottom w:val="none" w:sz="0" w:space="0" w:color="auto"/>
        <w:right w:val="none" w:sz="0" w:space="0" w:color="auto"/>
      </w:divBdr>
      <w:divsChild>
        <w:div w:id="316809976">
          <w:marLeft w:val="0"/>
          <w:marRight w:val="0"/>
          <w:marTop w:val="0"/>
          <w:marBottom w:val="0"/>
          <w:divBdr>
            <w:top w:val="none" w:sz="0" w:space="0" w:color="auto"/>
            <w:left w:val="none" w:sz="0" w:space="0" w:color="auto"/>
            <w:bottom w:val="none" w:sz="0" w:space="0" w:color="auto"/>
            <w:right w:val="none" w:sz="0" w:space="0" w:color="auto"/>
          </w:divBdr>
          <w:divsChild>
            <w:div w:id="16740714">
              <w:marLeft w:val="0"/>
              <w:marRight w:val="0"/>
              <w:marTop w:val="0"/>
              <w:marBottom w:val="0"/>
              <w:divBdr>
                <w:top w:val="none" w:sz="0" w:space="0" w:color="auto"/>
                <w:left w:val="none" w:sz="0" w:space="0" w:color="auto"/>
                <w:bottom w:val="none" w:sz="0" w:space="0" w:color="auto"/>
                <w:right w:val="none" w:sz="0" w:space="0" w:color="auto"/>
              </w:divBdr>
              <w:divsChild>
                <w:div w:id="12959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2646">
      <w:bodyDiv w:val="1"/>
      <w:marLeft w:val="0"/>
      <w:marRight w:val="0"/>
      <w:marTop w:val="0"/>
      <w:marBottom w:val="0"/>
      <w:divBdr>
        <w:top w:val="none" w:sz="0" w:space="0" w:color="auto"/>
        <w:left w:val="none" w:sz="0" w:space="0" w:color="auto"/>
        <w:bottom w:val="none" w:sz="0" w:space="0" w:color="auto"/>
        <w:right w:val="none" w:sz="0" w:space="0" w:color="auto"/>
      </w:divBdr>
    </w:div>
    <w:div w:id="134564868">
      <w:bodyDiv w:val="1"/>
      <w:marLeft w:val="0"/>
      <w:marRight w:val="0"/>
      <w:marTop w:val="0"/>
      <w:marBottom w:val="0"/>
      <w:divBdr>
        <w:top w:val="none" w:sz="0" w:space="0" w:color="auto"/>
        <w:left w:val="none" w:sz="0" w:space="0" w:color="auto"/>
        <w:bottom w:val="none" w:sz="0" w:space="0" w:color="auto"/>
        <w:right w:val="none" w:sz="0" w:space="0" w:color="auto"/>
      </w:divBdr>
    </w:div>
    <w:div w:id="143669981">
      <w:bodyDiv w:val="1"/>
      <w:marLeft w:val="0"/>
      <w:marRight w:val="0"/>
      <w:marTop w:val="0"/>
      <w:marBottom w:val="0"/>
      <w:divBdr>
        <w:top w:val="none" w:sz="0" w:space="0" w:color="auto"/>
        <w:left w:val="none" w:sz="0" w:space="0" w:color="auto"/>
        <w:bottom w:val="none" w:sz="0" w:space="0" w:color="auto"/>
        <w:right w:val="none" w:sz="0" w:space="0" w:color="auto"/>
      </w:divBdr>
    </w:div>
    <w:div w:id="167984867">
      <w:bodyDiv w:val="1"/>
      <w:marLeft w:val="0"/>
      <w:marRight w:val="0"/>
      <w:marTop w:val="0"/>
      <w:marBottom w:val="0"/>
      <w:divBdr>
        <w:top w:val="none" w:sz="0" w:space="0" w:color="auto"/>
        <w:left w:val="none" w:sz="0" w:space="0" w:color="auto"/>
        <w:bottom w:val="none" w:sz="0" w:space="0" w:color="auto"/>
        <w:right w:val="none" w:sz="0" w:space="0" w:color="auto"/>
      </w:divBdr>
      <w:divsChild>
        <w:div w:id="581456068">
          <w:marLeft w:val="360"/>
          <w:marRight w:val="0"/>
          <w:marTop w:val="120"/>
          <w:marBottom w:val="0"/>
          <w:divBdr>
            <w:top w:val="none" w:sz="0" w:space="0" w:color="auto"/>
            <w:left w:val="none" w:sz="0" w:space="0" w:color="auto"/>
            <w:bottom w:val="none" w:sz="0" w:space="0" w:color="auto"/>
            <w:right w:val="none" w:sz="0" w:space="0" w:color="auto"/>
          </w:divBdr>
        </w:div>
        <w:div w:id="1013723684">
          <w:marLeft w:val="1080"/>
          <w:marRight w:val="0"/>
          <w:marTop w:val="120"/>
          <w:marBottom w:val="0"/>
          <w:divBdr>
            <w:top w:val="none" w:sz="0" w:space="0" w:color="auto"/>
            <w:left w:val="none" w:sz="0" w:space="0" w:color="auto"/>
            <w:bottom w:val="none" w:sz="0" w:space="0" w:color="auto"/>
            <w:right w:val="none" w:sz="0" w:space="0" w:color="auto"/>
          </w:divBdr>
        </w:div>
        <w:div w:id="1830056054">
          <w:marLeft w:val="1080"/>
          <w:marRight w:val="0"/>
          <w:marTop w:val="120"/>
          <w:marBottom w:val="0"/>
          <w:divBdr>
            <w:top w:val="none" w:sz="0" w:space="0" w:color="auto"/>
            <w:left w:val="none" w:sz="0" w:space="0" w:color="auto"/>
            <w:bottom w:val="none" w:sz="0" w:space="0" w:color="auto"/>
            <w:right w:val="none" w:sz="0" w:space="0" w:color="auto"/>
          </w:divBdr>
        </w:div>
      </w:divsChild>
    </w:div>
    <w:div w:id="175048507">
      <w:bodyDiv w:val="1"/>
      <w:marLeft w:val="0"/>
      <w:marRight w:val="0"/>
      <w:marTop w:val="0"/>
      <w:marBottom w:val="0"/>
      <w:divBdr>
        <w:top w:val="none" w:sz="0" w:space="0" w:color="auto"/>
        <w:left w:val="none" w:sz="0" w:space="0" w:color="auto"/>
        <w:bottom w:val="none" w:sz="0" w:space="0" w:color="auto"/>
        <w:right w:val="none" w:sz="0" w:space="0" w:color="auto"/>
      </w:divBdr>
      <w:divsChild>
        <w:div w:id="1703750319">
          <w:marLeft w:val="0"/>
          <w:marRight w:val="0"/>
          <w:marTop w:val="0"/>
          <w:marBottom w:val="0"/>
          <w:divBdr>
            <w:top w:val="none" w:sz="0" w:space="0" w:color="auto"/>
            <w:left w:val="none" w:sz="0" w:space="0" w:color="auto"/>
            <w:bottom w:val="none" w:sz="0" w:space="0" w:color="auto"/>
            <w:right w:val="none" w:sz="0" w:space="0" w:color="auto"/>
          </w:divBdr>
          <w:divsChild>
            <w:div w:id="1612324145">
              <w:marLeft w:val="0"/>
              <w:marRight w:val="0"/>
              <w:marTop w:val="0"/>
              <w:marBottom w:val="0"/>
              <w:divBdr>
                <w:top w:val="none" w:sz="0" w:space="0" w:color="auto"/>
                <w:left w:val="none" w:sz="0" w:space="0" w:color="auto"/>
                <w:bottom w:val="none" w:sz="0" w:space="0" w:color="auto"/>
                <w:right w:val="none" w:sz="0" w:space="0" w:color="auto"/>
              </w:divBdr>
              <w:divsChild>
                <w:div w:id="4952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8952">
      <w:bodyDiv w:val="1"/>
      <w:marLeft w:val="0"/>
      <w:marRight w:val="0"/>
      <w:marTop w:val="0"/>
      <w:marBottom w:val="0"/>
      <w:divBdr>
        <w:top w:val="none" w:sz="0" w:space="0" w:color="auto"/>
        <w:left w:val="none" w:sz="0" w:space="0" w:color="auto"/>
        <w:bottom w:val="none" w:sz="0" w:space="0" w:color="auto"/>
        <w:right w:val="none" w:sz="0" w:space="0" w:color="auto"/>
      </w:divBdr>
    </w:div>
    <w:div w:id="211885547">
      <w:bodyDiv w:val="1"/>
      <w:marLeft w:val="0"/>
      <w:marRight w:val="0"/>
      <w:marTop w:val="0"/>
      <w:marBottom w:val="0"/>
      <w:divBdr>
        <w:top w:val="none" w:sz="0" w:space="0" w:color="auto"/>
        <w:left w:val="none" w:sz="0" w:space="0" w:color="auto"/>
        <w:bottom w:val="none" w:sz="0" w:space="0" w:color="auto"/>
        <w:right w:val="none" w:sz="0" w:space="0" w:color="auto"/>
      </w:divBdr>
      <w:divsChild>
        <w:div w:id="1856574042">
          <w:marLeft w:val="0"/>
          <w:marRight w:val="0"/>
          <w:marTop w:val="0"/>
          <w:marBottom w:val="0"/>
          <w:divBdr>
            <w:top w:val="none" w:sz="0" w:space="0" w:color="auto"/>
            <w:left w:val="none" w:sz="0" w:space="0" w:color="auto"/>
            <w:bottom w:val="none" w:sz="0" w:space="0" w:color="auto"/>
            <w:right w:val="none" w:sz="0" w:space="0" w:color="auto"/>
          </w:divBdr>
        </w:div>
      </w:divsChild>
    </w:div>
    <w:div w:id="234097858">
      <w:bodyDiv w:val="1"/>
      <w:marLeft w:val="0"/>
      <w:marRight w:val="0"/>
      <w:marTop w:val="0"/>
      <w:marBottom w:val="0"/>
      <w:divBdr>
        <w:top w:val="none" w:sz="0" w:space="0" w:color="auto"/>
        <w:left w:val="none" w:sz="0" w:space="0" w:color="auto"/>
        <w:bottom w:val="none" w:sz="0" w:space="0" w:color="auto"/>
        <w:right w:val="none" w:sz="0" w:space="0" w:color="auto"/>
      </w:divBdr>
    </w:div>
    <w:div w:id="246766318">
      <w:bodyDiv w:val="1"/>
      <w:marLeft w:val="0"/>
      <w:marRight w:val="0"/>
      <w:marTop w:val="0"/>
      <w:marBottom w:val="0"/>
      <w:divBdr>
        <w:top w:val="none" w:sz="0" w:space="0" w:color="auto"/>
        <w:left w:val="none" w:sz="0" w:space="0" w:color="auto"/>
        <w:bottom w:val="none" w:sz="0" w:space="0" w:color="auto"/>
        <w:right w:val="none" w:sz="0" w:space="0" w:color="auto"/>
      </w:divBdr>
    </w:div>
    <w:div w:id="248272491">
      <w:bodyDiv w:val="1"/>
      <w:marLeft w:val="0"/>
      <w:marRight w:val="0"/>
      <w:marTop w:val="0"/>
      <w:marBottom w:val="0"/>
      <w:divBdr>
        <w:top w:val="none" w:sz="0" w:space="0" w:color="auto"/>
        <w:left w:val="none" w:sz="0" w:space="0" w:color="auto"/>
        <w:bottom w:val="none" w:sz="0" w:space="0" w:color="auto"/>
        <w:right w:val="none" w:sz="0" w:space="0" w:color="auto"/>
      </w:divBdr>
    </w:div>
    <w:div w:id="268317884">
      <w:bodyDiv w:val="1"/>
      <w:marLeft w:val="0"/>
      <w:marRight w:val="0"/>
      <w:marTop w:val="0"/>
      <w:marBottom w:val="0"/>
      <w:divBdr>
        <w:top w:val="none" w:sz="0" w:space="0" w:color="auto"/>
        <w:left w:val="none" w:sz="0" w:space="0" w:color="auto"/>
        <w:bottom w:val="none" w:sz="0" w:space="0" w:color="auto"/>
        <w:right w:val="none" w:sz="0" w:space="0" w:color="auto"/>
      </w:divBdr>
    </w:div>
    <w:div w:id="279845877">
      <w:bodyDiv w:val="1"/>
      <w:marLeft w:val="0"/>
      <w:marRight w:val="0"/>
      <w:marTop w:val="0"/>
      <w:marBottom w:val="0"/>
      <w:divBdr>
        <w:top w:val="none" w:sz="0" w:space="0" w:color="auto"/>
        <w:left w:val="none" w:sz="0" w:space="0" w:color="auto"/>
        <w:bottom w:val="none" w:sz="0" w:space="0" w:color="auto"/>
        <w:right w:val="none" w:sz="0" w:space="0" w:color="auto"/>
      </w:divBdr>
      <w:divsChild>
        <w:div w:id="139663994">
          <w:marLeft w:val="360"/>
          <w:marRight w:val="0"/>
          <w:marTop w:val="120"/>
          <w:marBottom w:val="0"/>
          <w:divBdr>
            <w:top w:val="none" w:sz="0" w:space="0" w:color="auto"/>
            <w:left w:val="none" w:sz="0" w:space="0" w:color="auto"/>
            <w:bottom w:val="none" w:sz="0" w:space="0" w:color="auto"/>
            <w:right w:val="none" w:sz="0" w:space="0" w:color="auto"/>
          </w:divBdr>
        </w:div>
        <w:div w:id="946426109">
          <w:marLeft w:val="360"/>
          <w:marRight w:val="0"/>
          <w:marTop w:val="120"/>
          <w:marBottom w:val="0"/>
          <w:divBdr>
            <w:top w:val="none" w:sz="0" w:space="0" w:color="auto"/>
            <w:left w:val="none" w:sz="0" w:space="0" w:color="auto"/>
            <w:bottom w:val="none" w:sz="0" w:space="0" w:color="auto"/>
            <w:right w:val="none" w:sz="0" w:space="0" w:color="auto"/>
          </w:divBdr>
        </w:div>
        <w:div w:id="1431119629">
          <w:marLeft w:val="1080"/>
          <w:marRight w:val="0"/>
          <w:marTop w:val="120"/>
          <w:marBottom w:val="0"/>
          <w:divBdr>
            <w:top w:val="none" w:sz="0" w:space="0" w:color="auto"/>
            <w:left w:val="none" w:sz="0" w:space="0" w:color="auto"/>
            <w:bottom w:val="none" w:sz="0" w:space="0" w:color="auto"/>
            <w:right w:val="none" w:sz="0" w:space="0" w:color="auto"/>
          </w:divBdr>
        </w:div>
        <w:div w:id="1522013159">
          <w:marLeft w:val="360"/>
          <w:marRight w:val="0"/>
          <w:marTop w:val="120"/>
          <w:marBottom w:val="0"/>
          <w:divBdr>
            <w:top w:val="none" w:sz="0" w:space="0" w:color="auto"/>
            <w:left w:val="none" w:sz="0" w:space="0" w:color="auto"/>
            <w:bottom w:val="none" w:sz="0" w:space="0" w:color="auto"/>
            <w:right w:val="none" w:sz="0" w:space="0" w:color="auto"/>
          </w:divBdr>
        </w:div>
      </w:divsChild>
    </w:div>
    <w:div w:id="306054819">
      <w:bodyDiv w:val="1"/>
      <w:marLeft w:val="0"/>
      <w:marRight w:val="0"/>
      <w:marTop w:val="0"/>
      <w:marBottom w:val="0"/>
      <w:divBdr>
        <w:top w:val="none" w:sz="0" w:space="0" w:color="auto"/>
        <w:left w:val="none" w:sz="0" w:space="0" w:color="auto"/>
        <w:bottom w:val="none" w:sz="0" w:space="0" w:color="auto"/>
        <w:right w:val="none" w:sz="0" w:space="0" w:color="auto"/>
      </w:divBdr>
      <w:divsChild>
        <w:div w:id="920676543">
          <w:marLeft w:val="360"/>
          <w:marRight w:val="0"/>
          <w:marTop w:val="120"/>
          <w:marBottom w:val="0"/>
          <w:divBdr>
            <w:top w:val="none" w:sz="0" w:space="0" w:color="auto"/>
            <w:left w:val="none" w:sz="0" w:space="0" w:color="auto"/>
            <w:bottom w:val="none" w:sz="0" w:space="0" w:color="auto"/>
            <w:right w:val="none" w:sz="0" w:space="0" w:color="auto"/>
          </w:divBdr>
        </w:div>
      </w:divsChild>
    </w:div>
    <w:div w:id="315648563">
      <w:bodyDiv w:val="1"/>
      <w:marLeft w:val="0"/>
      <w:marRight w:val="0"/>
      <w:marTop w:val="0"/>
      <w:marBottom w:val="0"/>
      <w:divBdr>
        <w:top w:val="none" w:sz="0" w:space="0" w:color="auto"/>
        <w:left w:val="none" w:sz="0" w:space="0" w:color="auto"/>
        <w:bottom w:val="none" w:sz="0" w:space="0" w:color="auto"/>
        <w:right w:val="none" w:sz="0" w:space="0" w:color="auto"/>
      </w:divBdr>
    </w:div>
    <w:div w:id="333997434">
      <w:bodyDiv w:val="1"/>
      <w:marLeft w:val="0"/>
      <w:marRight w:val="0"/>
      <w:marTop w:val="0"/>
      <w:marBottom w:val="0"/>
      <w:divBdr>
        <w:top w:val="none" w:sz="0" w:space="0" w:color="auto"/>
        <w:left w:val="none" w:sz="0" w:space="0" w:color="auto"/>
        <w:bottom w:val="none" w:sz="0" w:space="0" w:color="auto"/>
        <w:right w:val="none" w:sz="0" w:space="0" w:color="auto"/>
      </w:divBdr>
    </w:div>
    <w:div w:id="346761014">
      <w:bodyDiv w:val="1"/>
      <w:marLeft w:val="0"/>
      <w:marRight w:val="0"/>
      <w:marTop w:val="0"/>
      <w:marBottom w:val="0"/>
      <w:divBdr>
        <w:top w:val="none" w:sz="0" w:space="0" w:color="auto"/>
        <w:left w:val="none" w:sz="0" w:space="0" w:color="auto"/>
        <w:bottom w:val="none" w:sz="0" w:space="0" w:color="auto"/>
        <w:right w:val="none" w:sz="0" w:space="0" w:color="auto"/>
      </w:divBdr>
    </w:div>
    <w:div w:id="350884919">
      <w:bodyDiv w:val="1"/>
      <w:marLeft w:val="0"/>
      <w:marRight w:val="0"/>
      <w:marTop w:val="0"/>
      <w:marBottom w:val="0"/>
      <w:divBdr>
        <w:top w:val="none" w:sz="0" w:space="0" w:color="auto"/>
        <w:left w:val="none" w:sz="0" w:space="0" w:color="auto"/>
        <w:bottom w:val="none" w:sz="0" w:space="0" w:color="auto"/>
        <w:right w:val="none" w:sz="0" w:space="0" w:color="auto"/>
      </w:divBdr>
      <w:divsChild>
        <w:div w:id="2016036634">
          <w:marLeft w:val="360"/>
          <w:marRight w:val="0"/>
          <w:marTop w:val="120"/>
          <w:marBottom w:val="0"/>
          <w:divBdr>
            <w:top w:val="none" w:sz="0" w:space="0" w:color="auto"/>
            <w:left w:val="none" w:sz="0" w:space="0" w:color="auto"/>
            <w:bottom w:val="none" w:sz="0" w:space="0" w:color="auto"/>
            <w:right w:val="none" w:sz="0" w:space="0" w:color="auto"/>
          </w:divBdr>
        </w:div>
        <w:div w:id="908997033">
          <w:marLeft w:val="1080"/>
          <w:marRight w:val="0"/>
          <w:marTop w:val="120"/>
          <w:marBottom w:val="0"/>
          <w:divBdr>
            <w:top w:val="none" w:sz="0" w:space="0" w:color="auto"/>
            <w:left w:val="none" w:sz="0" w:space="0" w:color="auto"/>
            <w:bottom w:val="none" w:sz="0" w:space="0" w:color="auto"/>
            <w:right w:val="none" w:sz="0" w:space="0" w:color="auto"/>
          </w:divBdr>
        </w:div>
        <w:div w:id="1990089749">
          <w:marLeft w:val="1080"/>
          <w:marRight w:val="0"/>
          <w:marTop w:val="120"/>
          <w:marBottom w:val="0"/>
          <w:divBdr>
            <w:top w:val="none" w:sz="0" w:space="0" w:color="auto"/>
            <w:left w:val="none" w:sz="0" w:space="0" w:color="auto"/>
            <w:bottom w:val="none" w:sz="0" w:space="0" w:color="auto"/>
            <w:right w:val="none" w:sz="0" w:space="0" w:color="auto"/>
          </w:divBdr>
        </w:div>
        <w:div w:id="382483278">
          <w:marLeft w:val="1800"/>
          <w:marRight w:val="0"/>
          <w:marTop w:val="120"/>
          <w:marBottom w:val="0"/>
          <w:divBdr>
            <w:top w:val="none" w:sz="0" w:space="0" w:color="auto"/>
            <w:left w:val="none" w:sz="0" w:space="0" w:color="auto"/>
            <w:bottom w:val="none" w:sz="0" w:space="0" w:color="auto"/>
            <w:right w:val="none" w:sz="0" w:space="0" w:color="auto"/>
          </w:divBdr>
        </w:div>
        <w:div w:id="1021324494">
          <w:marLeft w:val="1080"/>
          <w:marRight w:val="0"/>
          <w:marTop w:val="120"/>
          <w:marBottom w:val="0"/>
          <w:divBdr>
            <w:top w:val="none" w:sz="0" w:space="0" w:color="auto"/>
            <w:left w:val="none" w:sz="0" w:space="0" w:color="auto"/>
            <w:bottom w:val="none" w:sz="0" w:space="0" w:color="auto"/>
            <w:right w:val="none" w:sz="0" w:space="0" w:color="auto"/>
          </w:divBdr>
        </w:div>
        <w:div w:id="1638877538">
          <w:marLeft w:val="1800"/>
          <w:marRight w:val="0"/>
          <w:marTop w:val="120"/>
          <w:marBottom w:val="0"/>
          <w:divBdr>
            <w:top w:val="none" w:sz="0" w:space="0" w:color="auto"/>
            <w:left w:val="none" w:sz="0" w:space="0" w:color="auto"/>
            <w:bottom w:val="none" w:sz="0" w:space="0" w:color="auto"/>
            <w:right w:val="none" w:sz="0" w:space="0" w:color="auto"/>
          </w:divBdr>
        </w:div>
        <w:div w:id="220560709">
          <w:marLeft w:val="1080"/>
          <w:marRight w:val="0"/>
          <w:marTop w:val="120"/>
          <w:marBottom w:val="0"/>
          <w:divBdr>
            <w:top w:val="none" w:sz="0" w:space="0" w:color="auto"/>
            <w:left w:val="none" w:sz="0" w:space="0" w:color="auto"/>
            <w:bottom w:val="none" w:sz="0" w:space="0" w:color="auto"/>
            <w:right w:val="none" w:sz="0" w:space="0" w:color="auto"/>
          </w:divBdr>
        </w:div>
        <w:div w:id="1630478846">
          <w:marLeft w:val="1800"/>
          <w:marRight w:val="0"/>
          <w:marTop w:val="120"/>
          <w:marBottom w:val="0"/>
          <w:divBdr>
            <w:top w:val="none" w:sz="0" w:space="0" w:color="auto"/>
            <w:left w:val="none" w:sz="0" w:space="0" w:color="auto"/>
            <w:bottom w:val="none" w:sz="0" w:space="0" w:color="auto"/>
            <w:right w:val="none" w:sz="0" w:space="0" w:color="auto"/>
          </w:divBdr>
        </w:div>
      </w:divsChild>
    </w:div>
    <w:div w:id="366759125">
      <w:bodyDiv w:val="1"/>
      <w:marLeft w:val="0"/>
      <w:marRight w:val="0"/>
      <w:marTop w:val="0"/>
      <w:marBottom w:val="0"/>
      <w:divBdr>
        <w:top w:val="none" w:sz="0" w:space="0" w:color="auto"/>
        <w:left w:val="none" w:sz="0" w:space="0" w:color="auto"/>
        <w:bottom w:val="none" w:sz="0" w:space="0" w:color="auto"/>
        <w:right w:val="none" w:sz="0" w:space="0" w:color="auto"/>
      </w:divBdr>
    </w:div>
    <w:div w:id="368992136">
      <w:bodyDiv w:val="1"/>
      <w:marLeft w:val="0"/>
      <w:marRight w:val="0"/>
      <w:marTop w:val="0"/>
      <w:marBottom w:val="0"/>
      <w:divBdr>
        <w:top w:val="none" w:sz="0" w:space="0" w:color="auto"/>
        <w:left w:val="none" w:sz="0" w:space="0" w:color="auto"/>
        <w:bottom w:val="none" w:sz="0" w:space="0" w:color="auto"/>
        <w:right w:val="none" w:sz="0" w:space="0" w:color="auto"/>
      </w:divBdr>
    </w:div>
    <w:div w:id="380523126">
      <w:bodyDiv w:val="1"/>
      <w:marLeft w:val="0"/>
      <w:marRight w:val="0"/>
      <w:marTop w:val="0"/>
      <w:marBottom w:val="0"/>
      <w:divBdr>
        <w:top w:val="none" w:sz="0" w:space="0" w:color="auto"/>
        <w:left w:val="none" w:sz="0" w:space="0" w:color="auto"/>
        <w:bottom w:val="none" w:sz="0" w:space="0" w:color="auto"/>
        <w:right w:val="none" w:sz="0" w:space="0" w:color="auto"/>
      </w:divBdr>
      <w:divsChild>
        <w:div w:id="458886949">
          <w:marLeft w:val="0"/>
          <w:marRight w:val="0"/>
          <w:marTop w:val="0"/>
          <w:marBottom w:val="0"/>
          <w:divBdr>
            <w:top w:val="none" w:sz="0" w:space="0" w:color="auto"/>
            <w:left w:val="none" w:sz="0" w:space="0" w:color="auto"/>
            <w:bottom w:val="none" w:sz="0" w:space="0" w:color="auto"/>
            <w:right w:val="none" w:sz="0" w:space="0" w:color="auto"/>
          </w:divBdr>
          <w:divsChild>
            <w:div w:id="1703633951">
              <w:marLeft w:val="0"/>
              <w:marRight w:val="0"/>
              <w:marTop w:val="0"/>
              <w:marBottom w:val="0"/>
              <w:divBdr>
                <w:top w:val="none" w:sz="0" w:space="0" w:color="auto"/>
                <w:left w:val="none" w:sz="0" w:space="0" w:color="auto"/>
                <w:bottom w:val="none" w:sz="0" w:space="0" w:color="auto"/>
                <w:right w:val="none" w:sz="0" w:space="0" w:color="auto"/>
              </w:divBdr>
              <w:divsChild>
                <w:div w:id="13482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02680">
      <w:bodyDiv w:val="1"/>
      <w:marLeft w:val="0"/>
      <w:marRight w:val="0"/>
      <w:marTop w:val="0"/>
      <w:marBottom w:val="0"/>
      <w:divBdr>
        <w:top w:val="none" w:sz="0" w:space="0" w:color="auto"/>
        <w:left w:val="none" w:sz="0" w:space="0" w:color="auto"/>
        <w:bottom w:val="none" w:sz="0" w:space="0" w:color="auto"/>
        <w:right w:val="none" w:sz="0" w:space="0" w:color="auto"/>
      </w:divBdr>
      <w:divsChild>
        <w:div w:id="1480658548">
          <w:marLeft w:val="0"/>
          <w:marRight w:val="0"/>
          <w:marTop w:val="0"/>
          <w:marBottom w:val="0"/>
          <w:divBdr>
            <w:top w:val="single" w:sz="2" w:space="0" w:color="auto"/>
            <w:left w:val="single" w:sz="2" w:space="0" w:color="auto"/>
            <w:bottom w:val="single" w:sz="2" w:space="0" w:color="auto"/>
            <w:right w:val="single" w:sz="2" w:space="0" w:color="auto"/>
          </w:divBdr>
        </w:div>
      </w:divsChild>
    </w:div>
    <w:div w:id="386730154">
      <w:bodyDiv w:val="1"/>
      <w:marLeft w:val="0"/>
      <w:marRight w:val="0"/>
      <w:marTop w:val="0"/>
      <w:marBottom w:val="0"/>
      <w:divBdr>
        <w:top w:val="none" w:sz="0" w:space="0" w:color="auto"/>
        <w:left w:val="none" w:sz="0" w:space="0" w:color="auto"/>
        <w:bottom w:val="none" w:sz="0" w:space="0" w:color="auto"/>
        <w:right w:val="none" w:sz="0" w:space="0" w:color="auto"/>
      </w:divBdr>
    </w:div>
    <w:div w:id="407382319">
      <w:bodyDiv w:val="1"/>
      <w:marLeft w:val="0"/>
      <w:marRight w:val="0"/>
      <w:marTop w:val="0"/>
      <w:marBottom w:val="0"/>
      <w:divBdr>
        <w:top w:val="none" w:sz="0" w:space="0" w:color="auto"/>
        <w:left w:val="none" w:sz="0" w:space="0" w:color="auto"/>
        <w:bottom w:val="none" w:sz="0" w:space="0" w:color="auto"/>
        <w:right w:val="none" w:sz="0" w:space="0" w:color="auto"/>
      </w:divBdr>
      <w:divsChild>
        <w:div w:id="1216552494">
          <w:marLeft w:val="1080"/>
          <w:marRight w:val="0"/>
          <w:marTop w:val="120"/>
          <w:marBottom w:val="0"/>
          <w:divBdr>
            <w:top w:val="none" w:sz="0" w:space="0" w:color="auto"/>
            <w:left w:val="none" w:sz="0" w:space="0" w:color="auto"/>
            <w:bottom w:val="none" w:sz="0" w:space="0" w:color="auto"/>
            <w:right w:val="none" w:sz="0" w:space="0" w:color="auto"/>
          </w:divBdr>
        </w:div>
        <w:div w:id="1778333263">
          <w:marLeft w:val="1800"/>
          <w:marRight w:val="0"/>
          <w:marTop w:val="120"/>
          <w:marBottom w:val="0"/>
          <w:divBdr>
            <w:top w:val="none" w:sz="0" w:space="0" w:color="auto"/>
            <w:left w:val="none" w:sz="0" w:space="0" w:color="auto"/>
            <w:bottom w:val="none" w:sz="0" w:space="0" w:color="auto"/>
            <w:right w:val="none" w:sz="0" w:space="0" w:color="auto"/>
          </w:divBdr>
        </w:div>
        <w:div w:id="70274522">
          <w:marLeft w:val="1800"/>
          <w:marRight w:val="0"/>
          <w:marTop w:val="120"/>
          <w:marBottom w:val="0"/>
          <w:divBdr>
            <w:top w:val="none" w:sz="0" w:space="0" w:color="auto"/>
            <w:left w:val="none" w:sz="0" w:space="0" w:color="auto"/>
            <w:bottom w:val="none" w:sz="0" w:space="0" w:color="auto"/>
            <w:right w:val="none" w:sz="0" w:space="0" w:color="auto"/>
          </w:divBdr>
        </w:div>
        <w:div w:id="597178169">
          <w:marLeft w:val="1800"/>
          <w:marRight w:val="0"/>
          <w:marTop w:val="120"/>
          <w:marBottom w:val="0"/>
          <w:divBdr>
            <w:top w:val="none" w:sz="0" w:space="0" w:color="auto"/>
            <w:left w:val="none" w:sz="0" w:space="0" w:color="auto"/>
            <w:bottom w:val="none" w:sz="0" w:space="0" w:color="auto"/>
            <w:right w:val="none" w:sz="0" w:space="0" w:color="auto"/>
          </w:divBdr>
        </w:div>
      </w:divsChild>
    </w:div>
    <w:div w:id="414786245">
      <w:bodyDiv w:val="1"/>
      <w:marLeft w:val="0"/>
      <w:marRight w:val="0"/>
      <w:marTop w:val="0"/>
      <w:marBottom w:val="0"/>
      <w:divBdr>
        <w:top w:val="none" w:sz="0" w:space="0" w:color="auto"/>
        <w:left w:val="none" w:sz="0" w:space="0" w:color="auto"/>
        <w:bottom w:val="none" w:sz="0" w:space="0" w:color="auto"/>
        <w:right w:val="none" w:sz="0" w:space="0" w:color="auto"/>
      </w:divBdr>
    </w:div>
    <w:div w:id="423301805">
      <w:bodyDiv w:val="1"/>
      <w:marLeft w:val="0"/>
      <w:marRight w:val="0"/>
      <w:marTop w:val="0"/>
      <w:marBottom w:val="0"/>
      <w:divBdr>
        <w:top w:val="none" w:sz="0" w:space="0" w:color="auto"/>
        <w:left w:val="none" w:sz="0" w:space="0" w:color="auto"/>
        <w:bottom w:val="none" w:sz="0" w:space="0" w:color="auto"/>
        <w:right w:val="none" w:sz="0" w:space="0" w:color="auto"/>
      </w:divBdr>
    </w:div>
    <w:div w:id="437261320">
      <w:bodyDiv w:val="1"/>
      <w:marLeft w:val="0"/>
      <w:marRight w:val="0"/>
      <w:marTop w:val="0"/>
      <w:marBottom w:val="0"/>
      <w:divBdr>
        <w:top w:val="none" w:sz="0" w:space="0" w:color="auto"/>
        <w:left w:val="none" w:sz="0" w:space="0" w:color="auto"/>
        <w:bottom w:val="none" w:sz="0" w:space="0" w:color="auto"/>
        <w:right w:val="none" w:sz="0" w:space="0" w:color="auto"/>
      </w:divBdr>
      <w:divsChild>
        <w:div w:id="1363290392">
          <w:marLeft w:val="0"/>
          <w:marRight w:val="0"/>
          <w:marTop w:val="0"/>
          <w:marBottom w:val="0"/>
          <w:divBdr>
            <w:top w:val="none" w:sz="0" w:space="0" w:color="auto"/>
            <w:left w:val="none" w:sz="0" w:space="0" w:color="auto"/>
            <w:bottom w:val="none" w:sz="0" w:space="0" w:color="auto"/>
            <w:right w:val="none" w:sz="0" w:space="0" w:color="auto"/>
          </w:divBdr>
          <w:divsChild>
            <w:div w:id="1601569050">
              <w:marLeft w:val="0"/>
              <w:marRight w:val="0"/>
              <w:marTop w:val="0"/>
              <w:marBottom w:val="0"/>
              <w:divBdr>
                <w:top w:val="none" w:sz="0" w:space="0" w:color="auto"/>
                <w:left w:val="none" w:sz="0" w:space="0" w:color="auto"/>
                <w:bottom w:val="none" w:sz="0" w:space="0" w:color="auto"/>
                <w:right w:val="none" w:sz="0" w:space="0" w:color="auto"/>
              </w:divBdr>
              <w:divsChild>
                <w:div w:id="2055765403">
                  <w:marLeft w:val="0"/>
                  <w:marRight w:val="0"/>
                  <w:marTop w:val="0"/>
                  <w:marBottom w:val="0"/>
                  <w:divBdr>
                    <w:top w:val="none" w:sz="0" w:space="0" w:color="auto"/>
                    <w:left w:val="none" w:sz="0" w:space="0" w:color="auto"/>
                    <w:bottom w:val="none" w:sz="0" w:space="0" w:color="auto"/>
                    <w:right w:val="none" w:sz="0" w:space="0" w:color="auto"/>
                  </w:divBdr>
                  <w:divsChild>
                    <w:div w:id="3537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3081">
      <w:bodyDiv w:val="1"/>
      <w:marLeft w:val="0"/>
      <w:marRight w:val="0"/>
      <w:marTop w:val="0"/>
      <w:marBottom w:val="0"/>
      <w:divBdr>
        <w:top w:val="none" w:sz="0" w:space="0" w:color="auto"/>
        <w:left w:val="none" w:sz="0" w:space="0" w:color="auto"/>
        <w:bottom w:val="none" w:sz="0" w:space="0" w:color="auto"/>
        <w:right w:val="none" w:sz="0" w:space="0" w:color="auto"/>
      </w:divBdr>
    </w:div>
    <w:div w:id="448164974">
      <w:bodyDiv w:val="1"/>
      <w:marLeft w:val="0"/>
      <w:marRight w:val="0"/>
      <w:marTop w:val="0"/>
      <w:marBottom w:val="0"/>
      <w:divBdr>
        <w:top w:val="none" w:sz="0" w:space="0" w:color="auto"/>
        <w:left w:val="none" w:sz="0" w:space="0" w:color="auto"/>
        <w:bottom w:val="none" w:sz="0" w:space="0" w:color="auto"/>
        <w:right w:val="none" w:sz="0" w:space="0" w:color="auto"/>
      </w:divBdr>
    </w:div>
    <w:div w:id="451020732">
      <w:bodyDiv w:val="1"/>
      <w:marLeft w:val="0"/>
      <w:marRight w:val="0"/>
      <w:marTop w:val="0"/>
      <w:marBottom w:val="0"/>
      <w:divBdr>
        <w:top w:val="none" w:sz="0" w:space="0" w:color="auto"/>
        <w:left w:val="none" w:sz="0" w:space="0" w:color="auto"/>
        <w:bottom w:val="none" w:sz="0" w:space="0" w:color="auto"/>
        <w:right w:val="none" w:sz="0" w:space="0" w:color="auto"/>
      </w:divBdr>
    </w:div>
    <w:div w:id="458256846">
      <w:bodyDiv w:val="1"/>
      <w:marLeft w:val="0"/>
      <w:marRight w:val="0"/>
      <w:marTop w:val="0"/>
      <w:marBottom w:val="0"/>
      <w:divBdr>
        <w:top w:val="none" w:sz="0" w:space="0" w:color="auto"/>
        <w:left w:val="none" w:sz="0" w:space="0" w:color="auto"/>
        <w:bottom w:val="none" w:sz="0" w:space="0" w:color="auto"/>
        <w:right w:val="none" w:sz="0" w:space="0" w:color="auto"/>
      </w:divBdr>
    </w:div>
    <w:div w:id="470248879">
      <w:bodyDiv w:val="1"/>
      <w:marLeft w:val="0"/>
      <w:marRight w:val="0"/>
      <w:marTop w:val="0"/>
      <w:marBottom w:val="0"/>
      <w:divBdr>
        <w:top w:val="none" w:sz="0" w:space="0" w:color="auto"/>
        <w:left w:val="none" w:sz="0" w:space="0" w:color="auto"/>
        <w:bottom w:val="none" w:sz="0" w:space="0" w:color="auto"/>
        <w:right w:val="none" w:sz="0" w:space="0" w:color="auto"/>
      </w:divBdr>
    </w:div>
    <w:div w:id="471946624">
      <w:bodyDiv w:val="1"/>
      <w:marLeft w:val="0"/>
      <w:marRight w:val="0"/>
      <w:marTop w:val="0"/>
      <w:marBottom w:val="0"/>
      <w:divBdr>
        <w:top w:val="none" w:sz="0" w:space="0" w:color="auto"/>
        <w:left w:val="none" w:sz="0" w:space="0" w:color="auto"/>
        <w:bottom w:val="none" w:sz="0" w:space="0" w:color="auto"/>
        <w:right w:val="none" w:sz="0" w:space="0" w:color="auto"/>
      </w:divBdr>
    </w:div>
    <w:div w:id="489834652">
      <w:bodyDiv w:val="1"/>
      <w:marLeft w:val="0"/>
      <w:marRight w:val="0"/>
      <w:marTop w:val="0"/>
      <w:marBottom w:val="0"/>
      <w:divBdr>
        <w:top w:val="none" w:sz="0" w:space="0" w:color="auto"/>
        <w:left w:val="none" w:sz="0" w:space="0" w:color="auto"/>
        <w:bottom w:val="none" w:sz="0" w:space="0" w:color="auto"/>
        <w:right w:val="none" w:sz="0" w:space="0" w:color="auto"/>
      </w:divBdr>
    </w:div>
    <w:div w:id="529101835">
      <w:bodyDiv w:val="1"/>
      <w:marLeft w:val="0"/>
      <w:marRight w:val="0"/>
      <w:marTop w:val="0"/>
      <w:marBottom w:val="0"/>
      <w:divBdr>
        <w:top w:val="none" w:sz="0" w:space="0" w:color="auto"/>
        <w:left w:val="none" w:sz="0" w:space="0" w:color="auto"/>
        <w:bottom w:val="none" w:sz="0" w:space="0" w:color="auto"/>
        <w:right w:val="none" w:sz="0" w:space="0" w:color="auto"/>
      </w:divBdr>
    </w:div>
    <w:div w:id="550993496">
      <w:bodyDiv w:val="1"/>
      <w:marLeft w:val="0"/>
      <w:marRight w:val="0"/>
      <w:marTop w:val="0"/>
      <w:marBottom w:val="0"/>
      <w:divBdr>
        <w:top w:val="none" w:sz="0" w:space="0" w:color="auto"/>
        <w:left w:val="none" w:sz="0" w:space="0" w:color="auto"/>
        <w:bottom w:val="none" w:sz="0" w:space="0" w:color="auto"/>
        <w:right w:val="none" w:sz="0" w:space="0" w:color="auto"/>
      </w:divBdr>
    </w:div>
    <w:div w:id="570191617">
      <w:bodyDiv w:val="1"/>
      <w:marLeft w:val="0"/>
      <w:marRight w:val="0"/>
      <w:marTop w:val="0"/>
      <w:marBottom w:val="0"/>
      <w:divBdr>
        <w:top w:val="none" w:sz="0" w:space="0" w:color="auto"/>
        <w:left w:val="none" w:sz="0" w:space="0" w:color="auto"/>
        <w:bottom w:val="none" w:sz="0" w:space="0" w:color="auto"/>
        <w:right w:val="none" w:sz="0" w:space="0" w:color="auto"/>
      </w:divBdr>
    </w:div>
    <w:div w:id="573272901">
      <w:bodyDiv w:val="1"/>
      <w:marLeft w:val="0"/>
      <w:marRight w:val="0"/>
      <w:marTop w:val="0"/>
      <w:marBottom w:val="0"/>
      <w:divBdr>
        <w:top w:val="none" w:sz="0" w:space="0" w:color="auto"/>
        <w:left w:val="none" w:sz="0" w:space="0" w:color="auto"/>
        <w:bottom w:val="none" w:sz="0" w:space="0" w:color="auto"/>
        <w:right w:val="none" w:sz="0" w:space="0" w:color="auto"/>
      </w:divBdr>
    </w:div>
    <w:div w:id="634530950">
      <w:bodyDiv w:val="1"/>
      <w:marLeft w:val="0"/>
      <w:marRight w:val="0"/>
      <w:marTop w:val="0"/>
      <w:marBottom w:val="0"/>
      <w:divBdr>
        <w:top w:val="none" w:sz="0" w:space="0" w:color="auto"/>
        <w:left w:val="none" w:sz="0" w:space="0" w:color="auto"/>
        <w:bottom w:val="none" w:sz="0" w:space="0" w:color="auto"/>
        <w:right w:val="none" w:sz="0" w:space="0" w:color="auto"/>
      </w:divBdr>
      <w:divsChild>
        <w:div w:id="479884090">
          <w:marLeft w:val="1080"/>
          <w:marRight w:val="0"/>
          <w:marTop w:val="120"/>
          <w:marBottom w:val="0"/>
          <w:divBdr>
            <w:top w:val="none" w:sz="0" w:space="0" w:color="auto"/>
            <w:left w:val="none" w:sz="0" w:space="0" w:color="auto"/>
            <w:bottom w:val="none" w:sz="0" w:space="0" w:color="auto"/>
            <w:right w:val="none" w:sz="0" w:space="0" w:color="auto"/>
          </w:divBdr>
        </w:div>
      </w:divsChild>
    </w:div>
    <w:div w:id="647052297">
      <w:bodyDiv w:val="1"/>
      <w:marLeft w:val="0"/>
      <w:marRight w:val="0"/>
      <w:marTop w:val="0"/>
      <w:marBottom w:val="0"/>
      <w:divBdr>
        <w:top w:val="none" w:sz="0" w:space="0" w:color="auto"/>
        <w:left w:val="none" w:sz="0" w:space="0" w:color="auto"/>
        <w:bottom w:val="none" w:sz="0" w:space="0" w:color="auto"/>
        <w:right w:val="none" w:sz="0" w:space="0" w:color="auto"/>
      </w:divBdr>
      <w:divsChild>
        <w:div w:id="1579555990">
          <w:marLeft w:val="1080"/>
          <w:marRight w:val="0"/>
          <w:marTop w:val="120"/>
          <w:marBottom w:val="0"/>
          <w:divBdr>
            <w:top w:val="none" w:sz="0" w:space="0" w:color="auto"/>
            <w:left w:val="none" w:sz="0" w:space="0" w:color="auto"/>
            <w:bottom w:val="none" w:sz="0" w:space="0" w:color="auto"/>
            <w:right w:val="none" w:sz="0" w:space="0" w:color="auto"/>
          </w:divBdr>
        </w:div>
        <w:div w:id="753085424">
          <w:marLeft w:val="1800"/>
          <w:marRight w:val="0"/>
          <w:marTop w:val="120"/>
          <w:marBottom w:val="0"/>
          <w:divBdr>
            <w:top w:val="none" w:sz="0" w:space="0" w:color="auto"/>
            <w:left w:val="none" w:sz="0" w:space="0" w:color="auto"/>
            <w:bottom w:val="none" w:sz="0" w:space="0" w:color="auto"/>
            <w:right w:val="none" w:sz="0" w:space="0" w:color="auto"/>
          </w:divBdr>
        </w:div>
      </w:divsChild>
    </w:div>
    <w:div w:id="647443710">
      <w:bodyDiv w:val="1"/>
      <w:marLeft w:val="0"/>
      <w:marRight w:val="0"/>
      <w:marTop w:val="0"/>
      <w:marBottom w:val="0"/>
      <w:divBdr>
        <w:top w:val="none" w:sz="0" w:space="0" w:color="auto"/>
        <w:left w:val="none" w:sz="0" w:space="0" w:color="auto"/>
        <w:bottom w:val="none" w:sz="0" w:space="0" w:color="auto"/>
        <w:right w:val="none" w:sz="0" w:space="0" w:color="auto"/>
      </w:divBdr>
    </w:div>
    <w:div w:id="652412417">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7">
          <w:marLeft w:val="0"/>
          <w:marRight w:val="0"/>
          <w:marTop w:val="0"/>
          <w:marBottom w:val="0"/>
          <w:divBdr>
            <w:top w:val="single" w:sz="2" w:space="0" w:color="auto"/>
            <w:left w:val="single" w:sz="2" w:space="0" w:color="auto"/>
            <w:bottom w:val="single" w:sz="2" w:space="0" w:color="auto"/>
            <w:right w:val="single" w:sz="2" w:space="0" w:color="auto"/>
          </w:divBdr>
          <w:divsChild>
            <w:div w:id="934942170">
              <w:marLeft w:val="0"/>
              <w:marRight w:val="0"/>
              <w:marTop w:val="0"/>
              <w:marBottom w:val="0"/>
              <w:divBdr>
                <w:top w:val="single" w:sz="2" w:space="0" w:color="auto"/>
                <w:left w:val="single" w:sz="2" w:space="0" w:color="auto"/>
                <w:bottom w:val="single" w:sz="2" w:space="31" w:color="auto"/>
                <w:right w:val="single" w:sz="2" w:space="0" w:color="auto"/>
              </w:divBdr>
              <w:divsChild>
                <w:div w:id="112411137">
                  <w:marLeft w:val="0"/>
                  <w:marRight w:val="0"/>
                  <w:marTop w:val="0"/>
                  <w:marBottom w:val="0"/>
                  <w:divBdr>
                    <w:top w:val="single" w:sz="2" w:space="0" w:color="auto"/>
                    <w:left w:val="single" w:sz="2" w:space="0" w:color="auto"/>
                    <w:bottom w:val="single" w:sz="2" w:space="0" w:color="auto"/>
                    <w:right w:val="single" w:sz="2" w:space="0" w:color="auto"/>
                  </w:divBdr>
                  <w:divsChild>
                    <w:div w:id="474181743">
                      <w:marLeft w:val="0"/>
                      <w:marRight w:val="0"/>
                      <w:marTop w:val="0"/>
                      <w:marBottom w:val="0"/>
                      <w:divBdr>
                        <w:top w:val="single" w:sz="6" w:space="0" w:color="auto"/>
                        <w:left w:val="single" w:sz="6" w:space="0" w:color="auto"/>
                        <w:bottom w:val="single" w:sz="6" w:space="0" w:color="auto"/>
                        <w:right w:val="single" w:sz="6" w:space="0" w:color="auto"/>
                      </w:divBdr>
                      <w:divsChild>
                        <w:div w:id="1165587488">
                          <w:marLeft w:val="0"/>
                          <w:marRight w:val="0"/>
                          <w:marTop w:val="0"/>
                          <w:marBottom w:val="0"/>
                          <w:divBdr>
                            <w:top w:val="single" w:sz="2" w:space="0" w:color="auto"/>
                            <w:left w:val="single" w:sz="2" w:space="0" w:color="auto"/>
                            <w:bottom w:val="single" w:sz="2" w:space="0" w:color="auto"/>
                            <w:right w:val="single" w:sz="2" w:space="0" w:color="auto"/>
                          </w:divBdr>
                          <w:divsChild>
                            <w:div w:id="1326127261">
                              <w:marLeft w:val="0"/>
                              <w:marRight w:val="0"/>
                              <w:marTop w:val="0"/>
                              <w:marBottom w:val="0"/>
                              <w:divBdr>
                                <w:top w:val="single" w:sz="2" w:space="0" w:color="auto"/>
                                <w:left w:val="single" w:sz="2" w:space="0" w:color="auto"/>
                                <w:bottom w:val="single" w:sz="2" w:space="0" w:color="auto"/>
                                <w:right w:val="single" w:sz="2" w:space="0" w:color="auto"/>
                              </w:divBdr>
                            </w:div>
                            <w:div w:id="1012297002">
                              <w:marLeft w:val="0"/>
                              <w:marRight w:val="0"/>
                              <w:marTop w:val="0"/>
                              <w:marBottom w:val="0"/>
                              <w:divBdr>
                                <w:top w:val="single" w:sz="2" w:space="0" w:color="auto"/>
                                <w:left w:val="single" w:sz="2" w:space="0" w:color="auto"/>
                                <w:bottom w:val="single" w:sz="2" w:space="0" w:color="auto"/>
                                <w:right w:val="single" w:sz="2" w:space="0" w:color="auto"/>
                              </w:divBdr>
                            </w:div>
                            <w:div w:id="5349294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59968669">
      <w:bodyDiv w:val="1"/>
      <w:marLeft w:val="0"/>
      <w:marRight w:val="0"/>
      <w:marTop w:val="0"/>
      <w:marBottom w:val="0"/>
      <w:divBdr>
        <w:top w:val="none" w:sz="0" w:space="0" w:color="auto"/>
        <w:left w:val="none" w:sz="0" w:space="0" w:color="auto"/>
        <w:bottom w:val="none" w:sz="0" w:space="0" w:color="auto"/>
        <w:right w:val="none" w:sz="0" w:space="0" w:color="auto"/>
      </w:divBdr>
    </w:div>
    <w:div w:id="664671416">
      <w:bodyDiv w:val="1"/>
      <w:marLeft w:val="0"/>
      <w:marRight w:val="0"/>
      <w:marTop w:val="0"/>
      <w:marBottom w:val="0"/>
      <w:divBdr>
        <w:top w:val="none" w:sz="0" w:space="0" w:color="auto"/>
        <w:left w:val="none" w:sz="0" w:space="0" w:color="auto"/>
        <w:bottom w:val="none" w:sz="0" w:space="0" w:color="auto"/>
        <w:right w:val="none" w:sz="0" w:space="0" w:color="auto"/>
      </w:divBdr>
    </w:div>
    <w:div w:id="697201760">
      <w:bodyDiv w:val="1"/>
      <w:marLeft w:val="0"/>
      <w:marRight w:val="0"/>
      <w:marTop w:val="0"/>
      <w:marBottom w:val="0"/>
      <w:divBdr>
        <w:top w:val="none" w:sz="0" w:space="0" w:color="auto"/>
        <w:left w:val="none" w:sz="0" w:space="0" w:color="auto"/>
        <w:bottom w:val="none" w:sz="0" w:space="0" w:color="auto"/>
        <w:right w:val="none" w:sz="0" w:space="0" w:color="auto"/>
      </w:divBdr>
    </w:div>
    <w:div w:id="710809958">
      <w:bodyDiv w:val="1"/>
      <w:marLeft w:val="0"/>
      <w:marRight w:val="0"/>
      <w:marTop w:val="0"/>
      <w:marBottom w:val="0"/>
      <w:divBdr>
        <w:top w:val="none" w:sz="0" w:space="0" w:color="auto"/>
        <w:left w:val="none" w:sz="0" w:space="0" w:color="auto"/>
        <w:bottom w:val="none" w:sz="0" w:space="0" w:color="auto"/>
        <w:right w:val="none" w:sz="0" w:space="0" w:color="auto"/>
      </w:divBdr>
    </w:div>
    <w:div w:id="713693434">
      <w:bodyDiv w:val="1"/>
      <w:marLeft w:val="0"/>
      <w:marRight w:val="0"/>
      <w:marTop w:val="0"/>
      <w:marBottom w:val="0"/>
      <w:divBdr>
        <w:top w:val="none" w:sz="0" w:space="0" w:color="auto"/>
        <w:left w:val="none" w:sz="0" w:space="0" w:color="auto"/>
        <w:bottom w:val="none" w:sz="0" w:space="0" w:color="auto"/>
        <w:right w:val="none" w:sz="0" w:space="0" w:color="auto"/>
      </w:divBdr>
      <w:divsChild>
        <w:div w:id="1911844286">
          <w:marLeft w:val="1080"/>
          <w:marRight w:val="0"/>
          <w:marTop w:val="120"/>
          <w:marBottom w:val="0"/>
          <w:divBdr>
            <w:top w:val="none" w:sz="0" w:space="0" w:color="auto"/>
            <w:left w:val="none" w:sz="0" w:space="0" w:color="auto"/>
            <w:bottom w:val="none" w:sz="0" w:space="0" w:color="auto"/>
            <w:right w:val="none" w:sz="0" w:space="0" w:color="auto"/>
          </w:divBdr>
        </w:div>
      </w:divsChild>
    </w:div>
    <w:div w:id="738789832">
      <w:bodyDiv w:val="1"/>
      <w:marLeft w:val="0"/>
      <w:marRight w:val="0"/>
      <w:marTop w:val="0"/>
      <w:marBottom w:val="0"/>
      <w:divBdr>
        <w:top w:val="none" w:sz="0" w:space="0" w:color="auto"/>
        <w:left w:val="none" w:sz="0" w:space="0" w:color="auto"/>
        <w:bottom w:val="none" w:sz="0" w:space="0" w:color="auto"/>
        <w:right w:val="none" w:sz="0" w:space="0" w:color="auto"/>
      </w:divBdr>
    </w:div>
    <w:div w:id="738791163">
      <w:bodyDiv w:val="1"/>
      <w:marLeft w:val="0"/>
      <w:marRight w:val="0"/>
      <w:marTop w:val="0"/>
      <w:marBottom w:val="0"/>
      <w:divBdr>
        <w:top w:val="none" w:sz="0" w:space="0" w:color="auto"/>
        <w:left w:val="none" w:sz="0" w:space="0" w:color="auto"/>
        <w:bottom w:val="none" w:sz="0" w:space="0" w:color="auto"/>
        <w:right w:val="none" w:sz="0" w:space="0" w:color="auto"/>
      </w:divBdr>
    </w:div>
    <w:div w:id="760219565">
      <w:bodyDiv w:val="1"/>
      <w:marLeft w:val="0"/>
      <w:marRight w:val="0"/>
      <w:marTop w:val="0"/>
      <w:marBottom w:val="0"/>
      <w:divBdr>
        <w:top w:val="none" w:sz="0" w:space="0" w:color="auto"/>
        <w:left w:val="none" w:sz="0" w:space="0" w:color="auto"/>
        <w:bottom w:val="none" w:sz="0" w:space="0" w:color="auto"/>
        <w:right w:val="none" w:sz="0" w:space="0" w:color="auto"/>
      </w:divBdr>
      <w:divsChild>
        <w:div w:id="1174957111">
          <w:marLeft w:val="360"/>
          <w:marRight w:val="0"/>
          <w:marTop w:val="120"/>
          <w:marBottom w:val="0"/>
          <w:divBdr>
            <w:top w:val="none" w:sz="0" w:space="0" w:color="auto"/>
            <w:left w:val="none" w:sz="0" w:space="0" w:color="auto"/>
            <w:bottom w:val="none" w:sz="0" w:space="0" w:color="auto"/>
            <w:right w:val="none" w:sz="0" w:space="0" w:color="auto"/>
          </w:divBdr>
        </w:div>
        <w:div w:id="823854930">
          <w:marLeft w:val="1080"/>
          <w:marRight w:val="0"/>
          <w:marTop w:val="120"/>
          <w:marBottom w:val="0"/>
          <w:divBdr>
            <w:top w:val="none" w:sz="0" w:space="0" w:color="auto"/>
            <w:left w:val="none" w:sz="0" w:space="0" w:color="auto"/>
            <w:bottom w:val="none" w:sz="0" w:space="0" w:color="auto"/>
            <w:right w:val="none" w:sz="0" w:space="0" w:color="auto"/>
          </w:divBdr>
        </w:div>
        <w:div w:id="1150974559">
          <w:marLeft w:val="1080"/>
          <w:marRight w:val="0"/>
          <w:marTop w:val="120"/>
          <w:marBottom w:val="0"/>
          <w:divBdr>
            <w:top w:val="none" w:sz="0" w:space="0" w:color="auto"/>
            <w:left w:val="none" w:sz="0" w:space="0" w:color="auto"/>
            <w:bottom w:val="none" w:sz="0" w:space="0" w:color="auto"/>
            <w:right w:val="none" w:sz="0" w:space="0" w:color="auto"/>
          </w:divBdr>
        </w:div>
      </w:divsChild>
    </w:div>
    <w:div w:id="762604264">
      <w:bodyDiv w:val="1"/>
      <w:marLeft w:val="0"/>
      <w:marRight w:val="0"/>
      <w:marTop w:val="0"/>
      <w:marBottom w:val="0"/>
      <w:divBdr>
        <w:top w:val="none" w:sz="0" w:space="0" w:color="auto"/>
        <w:left w:val="none" w:sz="0" w:space="0" w:color="auto"/>
        <w:bottom w:val="none" w:sz="0" w:space="0" w:color="auto"/>
        <w:right w:val="none" w:sz="0" w:space="0" w:color="auto"/>
      </w:divBdr>
      <w:divsChild>
        <w:div w:id="1779568746">
          <w:marLeft w:val="0"/>
          <w:marRight w:val="0"/>
          <w:marTop w:val="0"/>
          <w:marBottom w:val="0"/>
          <w:divBdr>
            <w:top w:val="none" w:sz="0" w:space="0" w:color="auto"/>
            <w:left w:val="none" w:sz="0" w:space="0" w:color="auto"/>
            <w:bottom w:val="none" w:sz="0" w:space="0" w:color="auto"/>
            <w:right w:val="none" w:sz="0" w:space="0" w:color="auto"/>
          </w:divBdr>
          <w:divsChild>
            <w:div w:id="1662005721">
              <w:marLeft w:val="0"/>
              <w:marRight w:val="0"/>
              <w:marTop w:val="0"/>
              <w:marBottom w:val="0"/>
              <w:divBdr>
                <w:top w:val="none" w:sz="0" w:space="0" w:color="auto"/>
                <w:left w:val="none" w:sz="0" w:space="0" w:color="auto"/>
                <w:bottom w:val="none" w:sz="0" w:space="0" w:color="auto"/>
                <w:right w:val="none" w:sz="0" w:space="0" w:color="auto"/>
              </w:divBdr>
              <w:divsChild>
                <w:div w:id="1412046139">
                  <w:marLeft w:val="0"/>
                  <w:marRight w:val="0"/>
                  <w:marTop w:val="0"/>
                  <w:marBottom w:val="0"/>
                  <w:divBdr>
                    <w:top w:val="none" w:sz="0" w:space="0" w:color="auto"/>
                    <w:left w:val="none" w:sz="0" w:space="0" w:color="auto"/>
                    <w:bottom w:val="none" w:sz="0" w:space="0" w:color="auto"/>
                    <w:right w:val="none" w:sz="0" w:space="0" w:color="auto"/>
                  </w:divBdr>
                  <w:divsChild>
                    <w:div w:id="2145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80821">
      <w:bodyDiv w:val="1"/>
      <w:marLeft w:val="0"/>
      <w:marRight w:val="0"/>
      <w:marTop w:val="0"/>
      <w:marBottom w:val="0"/>
      <w:divBdr>
        <w:top w:val="none" w:sz="0" w:space="0" w:color="auto"/>
        <w:left w:val="none" w:sz="0" w:space="0" w:color="auto"/>
        <w:bottom w:val="none" w:sz="0" w:space="0" w:color="auto"/>
        <w:right w:val="none" w:sz="0" w:space="0" w:color="auto"/>
      </w:divBdr>
    </w:div>
    <w:div w:id="768895178">
      <w:bodyDiv w:val="1"/>
      <w:marLeft w:val="0"/>
      <w:marRight w:val="0"/>
      <w:marTop w:val="0"/>
      <w:marBottom w:val="0"/>
      <w:divBdr>
        <w:top w:val="none" w:sz="0" w:space="0" w:color="auto"/>
        <w:left w:val="none" w:sz="0" w:space="0" w:color="auto"/>
        <w:bottom w:val="none" w:sz="0" w:space="0" w:color="auto"/>
        <w:right w:val="none" w:sz="0" w:space="0" w:color="auto"/>
      </w:divBdr>
    </w:div>
    <w:div w:id="772481138">
      <w:bodyDiv w:val="1"/>
      <w:marLeft w:val="0"/>
      <w:marRight w:val="0"/>
      <w:marTop w:val="0"/>
      <w:marBottom w:val="0"/>
      <w:divBdr>
        <w:top w:val="none" w:sz="0" w:space="0" w:color="auto"/>
        <w:left w:val="none" w:sz="0" w:space="0" w:color="auto"/>
        <w:bottom w:val="none" w:sz="0" w:space="0" w:color="auto"/>
        <w:right w:val="none" w:sz="0" w:space="0" w:color="auto"/>
      </w:divBdr>
    </w:div>
    <w:div w:id="805700069">
      <w:bodyDiv w:val="1"/>
      <w:marLeft w:val="0"/>
      <w:marRight w:val="0"/>
      <w:marTop w:val="0"/>
      <w:marBottom w:val="0"/>
      <w:divBdr>
        <w:top w:val="none" w:sz="0" w:space="0" w:color="auto"/>
        <w:left w:val="none" w:sz="0" w:space="0" w:color="auto"/>
        <w:bottom w:val="none" w:sz="0" w:space="0" w:color="auto"/>
        <w:right w:val="none" w:sz="0" w:space="0" w:color="auto"/>
      </w:divBdr>
    </w:div>
    <w:div w:id="853374238">
      <w:bodyDiv w:val="1"/>
      <w:marLeft w:val="0"/>
      <w:marRight w:val="0"/>
      <w:marTop w:val="0"/>
      <w:marBottom w:val="0"/>
      <w:divBdr>
        <w:top w:val="none" w:sz="0" w:space="0" w:color="auto"/>
        <w:left w:val="none" w:sz="0" w:space="0" w:color="auto"/>
        <w:bottom w:val="none" w:sz="0" w:space="0" w:color="auto"/>
        <w:right w:val="none" w:sz="0" w:space="0" w:color="auto"/>
      </w:divBdr>
      <w:divsChild>
        <w:div w:id="1964075776">
          <w:marLeft w:val="1080"/>
          <w:marRight w:val="0"/>
          <w:marTop w:val="120"/>
          <w:marBottom w:val="0"/>
          <w:divBdr>
            <w:top w:val="none" w:sz="0" w:space="0" w:color="auto"/>
            <w:left w:val="none" w:sz="0" w:space="0" w:color="auto"/>
            <w:bottom w:val="none" w:sz="0" w:space="0" w:color="auto"/>
            <w:right w:val="none" w:sz="0" w:space="0" w:color="auto"/>
          </w:divBdr>
        </w:div>
        <w:div w:id="1080906684">
          <w:marLeft w:val="1080"/>
          <w:marRight w:val="0"/>
          <w:marTop w:val="120"/>
          <w:marBottom w:val="0"/>
          <w:divBdr>
            <w:top w:val="none" w:sz="0" w:space="0" w:color="auto"/>
            <w:left w:val="none" w:sz="0" w:space="0" w:color="auto"/>
            <w:bottom w:val="none" w:sz="0" w:space="0" w:color="auto"/>
            <w:right w:val="none" w:sz="0" w:space="0" w:color="auto"/>
          </w:divBdr>
        </w:div>
        <w:div w:id="1417898810">
          <w:marLeft w:val="1080"/>
          <w:marRight w:val="0"/>
          <w:marTop w:val="120"/>
          <w:marBottom w:val="0"/>
          <w:divBdr>
            <w:top w:val="none" w:sz="0" w:space="0" w:color="auto"/>
            <w:left w:val="none" w:sz="0" w:space="0" w:color="auto"/>
            <w:bottom w:val="none" w:sz="0" w:space="0" w:color="auto"/>
            <w:right w:val="none" w:sz="0" w:space="0" w:color="auto"/>
          </w:divBdr>
        </w:div>
      </w:divsChild>
    </w:div>
    <w:div w:id="860625002">
      <w:bodyDiv w:val="1"/>
      <w:marLeft w:val="0"/>
      <w:marRight w:val="0"/>
      <w:marTop w:val="0"/>
      <w:marBottom w:val="0"/>
      <w:divBdr>
        <w:top w:val="none" w:sz="0" w:space="0" w:color="auto"/>
        <w:left w:val="none" w:sz="0" w:space="0" w:color="auto"/>
        <w:bottom w:val="none" w:sz="0" w:space="0" w:color="auto"/>
        <w:right w:val="none" w:sz="0" w:space="0" w:color="auto"/>
      </w:divBdr>
    </w:div>
    <w:div w:id="865018001">
      <w:bodyDiv w:val="1"/>
      <w:marLeft w:val="0"/>
      <w:marRight w:val="0"/>
      <w:marTop w:val="0"/>
      <w:marBottom w:val="0"/>
      <w:divBdr>
        <w:top w:val="none" w:sz="0" w:space="0" w:color="auto"/>
        <w:left w:val="none" w:sz="0" w:space="0" w:color="auto"/>
        <w:bottom w:val="none" w:sz="0" w:space="0" w:color="auto"/>
        <w:right w:val="none" w:sz="0" w:space="0" w:color="auto"/>
      </w:divBdr>
      <w:divsChild>
        <w:div w:id="565604992">
          <w:marLeft w:val="1080"/>
          <w:marRight w:val="0"/>
          <w:marTop w:val="120"/>
          <w:marBottom w:val="0"/>
          <w:divBdr>
            <w:top w:val="none" w:sz="0" w:space="0" w:color="auto"/>
            <w:left w:val="none" w:sz="0" w:space="0" w:color="auto"/>
            <w:bottom w:val="none" w:sz="0" w:space="0" w:color="auto"/>
            <w:right w:val="none" w:sz="0" w:space="0" w:color="auto"/>
          </w:divBdr>
        </w:div>
      </w:divsChild>
    </w:div>
    <w:div w:id="904685344">
      <w:bodyDiv w:val="1"/>
      <w:marLeft w:val="0"/>
      <w:marRight w:val="0"/>
      <w:marTop w:val="0"/>
      <w:marBottom w:val="0"/>
      <w:divBdr>
        <w:top w:val="none" w:sz="0" w:space="0" w:color="auto"/>
        <w:left w:val="none" w:sz="0" w:space="0" w:color="auto"/>
        <w:bottom w:val="none" w:sz="0" w:space="0" w:color="auto"/>
        <w:right w:val="none" w:sz="0" w:space="0" w:color="auto"/>
      </w:divBdr>
    </w:div>
    <w:div w:id="908879424">
      <w:bodyDiv w:val="1"/>
      <w:marLeft w:val="0"/>
      <w:marRight w:val="0"/>
      <w:marTop w:val="0"/>
      <w:marBottom w:val="0"/>
      <w:divBdr>
        <w:top w:val="none" w:sz="0" w:space="0" w:color="auto"/>
        <w:left w:val="none" w:sz="0" w:space="0" w:color="auto"/>
        <w:bottom w:val="none" w:sz="0" w:space="0" w:color="auto"/>
        <w:right w:val="none" w:sz="0" w:space="0" w:color="auto"/>
      </w:divBdr>
      <w:divsChild>
        <w:div w:id="443160095">
          <w:marLeft w:val="360"/>
          <w:marRight w:val="0"/>
          <w:marTop w:val="120"/>
          <w:marBottom w:val="0"/>
          <w:divBdr>
            <w:top w:val="none" w:sz="0" w:space="0" w:color="auto"/>
            <w:left w:val="none" w:sz="0" w:space="0" w:color="auto"/>
            <w:bottom w:val="none" w:sz="0" w:space="0" w:color="auto"/>
            <w:right w:val="none" w:sz="0" w:space="0" w:color="auto"/>
          </w:divBdr>
        </w:div>
        <w:div w:id="496071688">
          <w:marLeft w:val="1080"/>
          <w:marRight w:val="0"/>
          <w:marTop w:val="120"/>
          <w:marBottom w:val="0"/>
          <w:divBdr>
            <w:top w:val="none" w:sz="0" w:space="0" w:color="auto"/>
            <w:left w:val="none" w:sz="0" w:space="0" w:color="auto"/>
            <w:bottom w:val="none" w:sz="0" w:space="0" w:color="auto"/>
            <w:right w:val="none" w:sz="0" w:space="0" w:color="auto"/>
          </w:divBdr>
        </w:div>
        <w:div w:id="195386296">
          <w:marLeft w:val="360"/>
          <w:marRight w:val="0"/>
          <w:marTop w:val="120"/>
          <w:marBottom w:val="0"/>
          <w:divBdr>
            <w:top w:val="none" w:sz="0" w:space="0" w:color="auto"/>
            <w:left w:val="none" w:sz="0" w:space="0" w:color="auto"/>
            <w:bottom w:val="none" w:sz="0" w:space="0" w:color="auto"/>
            <w:right w:val="none" w:sz="0" w:space="0" w:color="auto"/>
          </w:divBdr>
        </w:div>
        <w:div w:id="385877383">
          <w:marLeft w:val="360"/>
          <w:marRight w:val="0"/>
          <w:marTop w:val="120"/>
          <w:marBottom w:val="0"/>
          <w:divBdr>
            <w:top w:val="none" w:sz="0" w:space="0" w:color="auto"/>
            <w:left w:val="none" w:sz="0" w:space="0" w:color="auto"/>
            <w:bottom w:val="none" w:sz="0" w:space="0" w:color="auto"/>
            <w:right w:val="none" w:sz="0" w:space="0" w:color="auto"/>
          </w:divBdr>
        </w:div>
        <w:div w:id="1014265125">
          <w:marLeft w:val="1080"/>
          <w:marRight w:val="0"/>
          <w:marTop w:val="120"/>
          <w:marBottom w:val="0"/>
          <w:divBdr>
            <w:top w:val="none" w:sz="0" w:space="0" w:color="auto"/>
            <w:left w:val="none" w:sz="0" w:space="0" w:color="auto"/>
            <w:bottom w:val="none" w:sz="0" w:space="0" w:color="auto"/>
            <w:right w:val="none" w:sz="0" w:space="0" w:color="auto"/>
          </w:divBdr>
        </w:div>
      </w:divsChild>
    </w:div>
    <w:div w:id="910164049">
      <w:bodyDiv w:val="1"/>
      <w:marLeft w:val="0"/>
      <w:marRight w:val="0"/>
      <w:marTop w:val="0"/>
      <w:marBottom w:val="0"/>
      <w:divBdr>
        <w:top w:val="none" w:sz="0" w:space="0" w:color="auto"/>
        <w:left w:val="none" w:sz="0" w:space="0" w:color="auto"/>
        <w:bottom w:val="none" w:sz="0" w:space="0" w:color="auto"/>
        <w:right w:val="none" w:sz="0" w:space="0" w:color="auto"/>
      </w:divBdr>
    </w:div>
    <w:div w:id="913583012">
      <w:bodyDiv w:val="1"/>
      <w:marLeft w:val="0"/>
      <w:marRight w:val="0"/>
      <w:marTop w:val="0"/>
      <w:marBottom w:val="0"/>
      <w:divBdr>
        <w:top w:val="none" w:sz="0" w:space="0" w:color="auto"/>
        <w:left w:val="none" w:sz="0" w:space="0" w:color="auto"/>
        <w:bottom w:val="none" w:sz="0" w:space="0" w:color="auto"/>
        <w:right w:val="none" w:sz="0" w:space="0" w:color="auto"/>
      </w:divBdr>
    </w:div>
    <w:div w:id="9280041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669">
          <w:marLeft w:val="360"/>
          <w:marRight w:val="0"/>
          <w:marTop w:val="120"/>
          <w:marBottom w:val="0"/>
          <w:divBdr>
            <w:top w:val="none" w:sz="0" w:space="0" w:color="auto"/>
            <w:left w:val="none" w:sz="0" w:space="0" w:color="auto"/>
            <w:bottom w:val="none" w:sz="0" w:space="0" w:color="auto"/>
            <w:right w:val="none" w:sz="0" w:space="0" w:color="auto"/>
          </w:divBdr>
        </w:div>
      </w:divsChild>
    </w:div>
    <w:div w:id="941843463">
      <w:bodyDiv w:val="1"/>
      <w:marLeft w:val="0"/>
      <w:marRight w:val="0"/>
      <w:marTop w:val="0"/>
      <w:marBottom w:val="0"/>
      <w:divBdr>
        <w:top w:val="none" w:sz="0" w:space="0" w:color="auto"/>
        <w:left w:val="none" w:sz="0" w:space="0" w:color="auto"/>
        <w:bottom w:val="none" w:sz="0" w:space="0" w:color="auto"/>
        <w:right w:val="none" w:sz="0" w:space="0" w:color="auto"/>
      </w:divBdr>
      <w:divsChild>
        <w:div w:id="2118283887">
          <w:marLeft w:val="1080"/>
          <w:marRight w:val="0"/>
          <w:marTop w:val="120"/>
          <w:marBottom w:val="0"/>
          <w:divBdr>
            <w:top w:val="none" w:sz="0" w:space="0" w:color="auto"/>
            <w:left w:val="none" w:sz="0" w:space="0" w:color="auto"/>
            <w:bottom w:val="none" w:sz="0" w:space="0" w:color="auto"/>
            <w:right w:val="none" w:sz="0" w:space="0" w:color="auto"/>
          </w:divBdr>
        </w:div>
        <w:div w:id="1990011661">
          <w:marLeft w:val="1800"/>
          <w:marRight w:val="0"/>
          <w:marTop w:val="120"/>
          <w:marBottom w:val="0"/>
          <w:divBdr>
            <w:top w:val="none" w:sz="0" w:space="0" w:color="auto"/>
            <w:left w:val="none" w:sz="0" w:space="0" w:color="auto"/>
            <w:bottom w:val="none" w:sz="0" w:space="0" w:color="auto"/>
            <w:right w:val="none" w:sz="0" w:space="0" w:color="auto"/>
          </w:divBdr>
        </w:div>
      </w:divsChild>
    </w:div>
    <w:div w:id="955253859">
      <w:bodyDiv w:val="1"/>
      <w:marLeft w:val="0"/>
      <w:marRight w:val="0"/>
      <w:marTop w:val="0"/>
      <w:marBottom w:val="0"/>
      <w:divBdr>
        <w:top w:val="none" w:sz="0" w:space="0" w:color="auto"/>
        <w:left w:val="none" w:sz="0" w:space="0" w:color="auto"/>
        <w:bottom w:val="none" w:sz="0" w:space="0" w:color="auto"/>
        <w:right w:val="none" w:sz="0" w:space="0" w:color="auto"/>
      </w:divBdr>
    </w:div>
    <w:div w:id="966275610">
      <w:bodyDiv w:val="1"/>
      <w:marLeft w:val="0"/>
      <w:marRight w:val="0"/>
      <w:marTop w:val="0"/>
      <w:marBottom w:val="0"/>
      <w:divBdr>
        <w:top w:val="none" w:sz="0" w:space="0" w:color="auto"/>
        <w:left w:val="none" w:sz="0" w:space="0" w:color="auto"/>
        <w:bottom w:val="none" w:sz="0" w:space="0" w:color="auto"/>
        <w:right w:val="none" w:sz="0" w:space="0" w:color="auto"/>
      </w:divBdr>
    </w:div>
    <w:div w:id="976643966">
      <w:bodyDiv w:val="1"/>
      <w:marLeft w:val="0"/>
      <w:marRight w:val="0"/>
      <w:marTop w:val="0"/>
      <w:marBottom w:val="0"/>
      <w:divBdr>
        <w:top w:val="none" w:sz="0" w:space="0" w:color="auto"/>
        <w:left w:val="none" w:sz="0" w:space="0" w:color="auto"/>
        <w:bottom w:val="none" w:sz="0" w:space="0" w:color="auto"/>
        <w:right w:val="none" w:sz="0" w:space="0" w:color="auto"/>
      </w:divBdr>
    </w:div>
    <w:div w:id="986279225">
      <w:bodyDiv w:val="1"/>
      <w:marLeft w:val="0"/>
      <w:marRight w:val="0"/>
      <w:marTop w:val="0"/>
      <w:marBottom w:val="0"/>
      <w:divBdr>
        <w:top w:val="none" w:sz="0" w:space="0" w:color="auto"/>
        <w:left w:val="none" w:sz="0" w:space="0" w:color="auto"/>
        <w:bottom w:val="none" w:sz="0" w:space="0" w:color="auto"/>
        <w:right w:val="none" w:sz="0" w:space="0" w:color="auto"/>
      </w:divBdr>
    </w:div>
    <w:div w:id="1034161456">
      <w:bodyDiv w:val="1"/>
      <w:marLeft w:val="0"/>
      <w:marRight w:val="0"/>
      <w:marTop w:val="0"/>
      <w:marBottom w:val="0"/>
      <w:divBdr>
        <w:top w:val="none" w:sz="0" w:space="0" w:color="auto"/>
        <w:left w:val="none" w:sz="0" w:space="0" w:color="auto"/>
        <w:bottom w:val="none" w:sz="0" w:space="0" w:color="auto"/>
        <w:right w:val="none" w:sz="0" w:space="0" w:color="auto"/>
      </w:divBdr>
      <w:divsChild>
        <w:div w:id="1835026302">
          <w:marLeft w:val="360"/>
          <w:marRight w:val="0"/>
          <w:marTop w:val="120"/>
          <w:marBottom w:val="0"/>
          <w:divBdr>
            <w:top w:val="none" w:sz="0" w:space="0" w:color="auto"/>
            <w:left w:val="none" w:sz="0" w:space="0" w:color="auto"/>
            <w:bottom w:val="none" w:sz="0" w:space="0" w:color="auto"/>
            <w:right w:val="none" w:sz="0" w:space="0" w:color="auto"/>
          </w:divBdr>
        </w:div>
      </w:divsChild>
    </w:div>
    <w:div w:id="1041395437">
      <w:bodyDiv w:val="1"/>
      <w:marLeft w:val="0"/>
      <w:marRight w:val="0"/>
      <w:marTop w:val="0"/>
      <w:marBottom w:val="0"/>
      <w:divBdr>
        <w:top w:val="none" w:sz="0" w:space="0" w:color="auto"/>
        <w:left w:val="none" w:sz="0" w:space="0" w:color="auto"/>
        <w:bottom w:val="none" w:sz="0" w:space="0" w:color="auto"/>
        <w:right w:val="none" w:sz="0" w:space="0" w:color="auto"/>
      </w:divBdr>
    </w:div>
    <w:div w:id="1049719634">
      <w:bodyDiv w:val="1"/>
      <w:marLeft w:val="0"/>
      <w:marRight w:val="0"/>
      <w:marTop w:val="0"/>
      <w:marBottom w:val="0"/>
      <w:divBdr>
        <w:top w:val="none" w:sz="0" w:space="0" w:color="auto"/>
        <w:left w:val="none" w:sz="0" w:space="0" w:color="auto"/>
        <w:bottom w:val="none" w:sz="0" w:space="0" w:color="auto"/>
        <w:right w:val="none" w:sz="0" w:space="0" w:color="auto"/>
      </w:divBdr>
      <w:divsChild>
        <w:div w:id="67967356">
          <w:marLeft w:val="0"/>
          <w:marRight w:val="0"/>
          <w:marTop w:val="0"/>
          <w:marBottom w:val="0"/>
          <w:divBdr>
            <w:top w:val="single" w:sz="2" w:space="0" w:color="auto"/>
            <w:left w:val="single" w:sz="2" w:space="0" w:color="auto"/>
            <w:bottom w:val="single" w:sz="2" w:space="0" w:color="auto"/>
            <w:right w:val="single" w:sz="2" w:space="0" w:color="auto"/>
          </w:divBdr>
        </w:div>
      </w:divsChild>
    </w:div>
    <w:div w:id="1053651726">
      <w:bodyDiv w:val="1"/>
      <w:marLeft w:val="0"/>
      <w:marRight w:val="0"/>
      <w:marTop w:val="0"/>
      <w:marBottom w:val="0"/>
      <w:divBdr>
        <w:top w:val="none" w:sz="0" w:space="0" w:color="auto"/>
        <w:left w:val="none" w:sz="0" w:space="0" w:color="auto"/>
        <w:bottom w:val="none" w:sz="0" w:space="0" w:color="auto"/>
        <w:right w:val="none" w:sz="0" w:space="0" w:color="auto"/>
      </w:divBdr>
    </w:div>
    <w:div w:id="1068771646">
      <w:bodyDiv w:val="1"/>
      <w:marLeft w:val="0"/>
      <w:marRight w:val="0"/>
      <w:marTop w:val="0"/>
      <w:marBottom w:val="0"/>
      <w:divBdr>
        <w:top w:val="none" w:sz="0" w:space="0" w:color="auto"/>
        <w:left w:val="none" w:sz="0" w:space="0" w:color="auto"/>
        <w:bottom w:val="none" w:sz="0" w:space="0" w:color="auto"/>
        <w:right w:val="none" w:sz="0" w:space="0" w:color="auto"/>
      </w:divBdr>
    </w:div>
    <w:div w:id="1079672333">
      <w:bodyDiv w:val="1"/>
      <w:marLeft w:val="0"/>
      <w:marRight w:val="0"/>
      <w:marTop w:val="0"/>
      <w:marBottom w:val="0"/>
      <w:divBdr>
        <w:top w:val="none" w:sz="0" w:space="0" w:color="auto"/>
        <w:left w:val="none" w:sz="0" w:space="0" w:color="auto"/>
        <w:bottom w:val="none" w:sz="0" w:space="0" w:color="auto"/>
        <w:right w:val="none" w:sz="0" w:space="0" w:color="auto"/>
      </w:divBdr>
    </w:div>
    <w:div w:id="1100183731">
      <w:bodyDiv w:val="1"/>
      <w:marLeft w:val="0"/>
      <w:marRight w:val="0"/>
      <w:marTop w:val="0"/>
      <w:marBottom w:val="0"/>
      <w:divBdr>
        <w:top w:val="none" w:sz="0" w:space="0" w:color="auto"/>
        <w:left w:val="none" w:sz="0" w:space="0" w:color="auto"/>
        <w:bottom w:val="none" w:sz="0" w:space="0" w:color="auto"/>
        <w:right w:val="none" w:sz="0" w:space="0" w:color="auto"/>
      </w:divBdr>
    </w:div>
    <w:div w:id="1138692200">
      <w:bodyDiv w:val="1"/>
      <w:marLeft w:val="0"/>
      <w:marRight w:val="0"/>
      <w:marTop w:val="0"/>
      <w:marBottom w:val="0"/>
      <w:divBdr>
        <w:top w:val="none" w:sz="0" w:space="0" w:color="auto"/>
        <w:left w:val="none" w:sz="0" w:space="0" w:color="auto"/>
        <w:bottom w:val="none" w:sz="0" w:space="0" w:color="auto"/>
        <w:right w:val="none" w:sz="0" w:space="0" w:color="auto"/>
      </w:divBdr>
      <w:divsChild>
        <w:div w:id="607087222">
          <w:marLeft w:val="360"/>
          <w:marRight w:val="0"/>
          <w:marTop w:val="120"/>
          <w:marBottom w:val="0"/>
          <w:divBdr>
            <w:top w:val="none" w:sz="0" w:space="0" w:color="auto"/>
            <w:left w:val="none" w:sz="0" w:space="0" w:color="auto"/>
            <w:bottom w:val="none" w:sz="0" w:space="0" w:color="auto"/>
            <w:right w:val="none" w:sz="0" w:space="0" w:color="auto"/>
          </w:divBdr>
        </w:div>
        <w:div w:id="1379354256">
          <w:marLeft w:val="360"/>
          <w:marRight w:val="0"/>
          <w:marTop w:val="120"/>
          <w:marBottom w:val="0"/>
          <w:divBdr>
            <w:top w:val="none" w:sz="0" w:space="0" w:color="auto"/>
            <w:left w:val="none" w:sz="0" w:space="0" w:color="auto"/>
            <w:bottom w:val="none" w:sz="0" w:space="0" w:color="auto"/>
            <w:right w:val="none" w:sz="0" w:space="0" w:color="auto"/>
          </w:divBdr>
        </w:div>
        <w:div w:id="782193011">
          <w:marLeft w:val="360"/>
          <w:marRight w:val="0"/>
          <w:marTop w:val="120"/>
          <w:marBottom w:val="0"/>
          <w:divBdr>
            <w:top w:val="none" w:sz="0" w:space="0" w:color="auto"/>
            <w:left w:val="none" w:sz="0" w:space="0" w:color="auto"/>
            <w:bottom w:val="none" w:sz="0" w:space="0" w:color="auto"/>
            <w:right w:val="none" w:sz="0" w:space="0" w:color="auto"/>
          </w:divBdr>
        </w:div>
        <w:div w:id="1945534061">
          <w:marLeft w:val="1080"/>
          <w:marRight w:val="0"/>
          <w:marTop w:val="120"/>
          <w:marBottom w:val="0"/>
          <w:divBdr>
            <w:top w:val="none" w:sz="0" w:space="0" w:color="auto"/>
            <w:left w:val="none" w:sz="0" w:space="0" w:color="auto"/>
            <w:bottom w:val="none" w:sz="0" w:space="0" w:color="auto"/>
            <w:right w:val="none" w:sz="0" w:space="0" w:color="auto"/>
          </w:divBdr>
        </w:div>
      </w:divsChild>
    </w:div>
    <w:div w:id="1147671405">
      <w:bodyDiv w:val="1"/>
      <w:marLeft w:val="0"/>
      <w:marRight w:val="0"/>
      <w:marTop w:val="0"/>
      <w:marBottom w:val="0"/>
      <w:divBdr>
        <w:top w:val="none" w:sz="0" w:space="0" w:color="auto"/>
        <w:left w:val="none" w:sz="0" w:space="0" w:color="auto"/>
        <w:bottom w:val="none" w:sz="0" w:space="0" w:color="auto"/>
        <w:right w:val="none" w:sz="0" w:space="0" w:color="auto"/>
      </w:divBdr>
      <w:divsChild>
        <w:div w:id="780955544">
          <w:marLeft w:val="0"/>
          <w:marRight w:val="0"/>
          <w:marTop w:val="0"/>
          <w:marBottom w:val="0"/>
          <w:divBdr>
            <w:top w:val="none" w:sz="0" w:space="0" w:color="auto"/>
            <w:left w:val="none" w:sz="0" w:space="0" w:color="auto"/>
            <w:bottom w:val="none" w:sz="0" w:space="0" w:color="auto"/>
            <w:right w:val="none" w:sz="0" w:space="0" w:color="auto"/>
          </w:divBdr>
          <w:divsChild>
            <w:div w:id="1125151443">
              <w:marLeft w:val="0"/>
              <w:marRight w:val="0"/>
              <w:marTop w:val="0"/>
              <w:marBottom w:val="0"/>
              <w:divBdr>
                <w:top w:val="none" w:sz="0" w:space="0" w:color="auto"/>
                <w:left w:val="none" w:sz="0" w:space="0" w:color="auto"/>
                <w:bottom w:val="none" w:sz="0" w:space="0" w:color="auto"/>
                <w:right w:val="none" w:sz="0" w:space="0" w:color="auto"/>
              </w:divBdr>
              <w:divsChild>
                <w:div w:id="5345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6604">
      <w:bodyDiv w:val="1"/>
      <w:marLeft w:val="0"/>
      <w:marRight w:val="0"/>
      <w:marTop w:val="0"/>
      <w:marBottom w:val="0"/>
      <w:divBdr>
        <w:top w:val="none" w:sz="0" w:space="0" w:color="auto"/>
        <w:left w:val="none" w:sz="0" w:space="0" w:color="auto"/>
        <w:bottom w:val="none" w:sz="0" w:space="0" w:color="auto"/>
        <w:right w:val="none" w:sz="0" w:space="0" w:color="auto"/>
      </w:divBdr>
      <w:divsChild>
        <w:div w:id="1651668051">
          <w:marLeft w:val="1080"/>
          <w:marRight w:val="0"/>
          <w:marTop w:val="120"/>
          <w:marBottom w:val="0"/>
          <w:divBdr>
            <w:top w:val="none" w:sz="0" w:space="0" w:color="auto"/>
            <w:left w:val="none" w:sz="0" w:space="0" w:color="auto"/>
            <w:bottom w:val="none" w:sz="0" w:space="0" w:color="auto"/>
            <w:right w:val="none" w:sz="0" w:space="0" w:color="auto"/>
          </w:divBdr>
        </w:div>
      </w:divsChild>
    </w:div>
    <w:div w:id="1180125393">
      <w:bodyDiv w:val="1"/>
      <w:marLeft w:val="0"/>
      <w:marRight w:val="0"/>
      <w:marTop w:val="0"/>
      <w:marBottom w:val="0"/>
      <w:divBdr>
        <w:top w:val="none" w:sz="0" w:space="0" w:color="auto"/>
        <w:left w:val="none" w:sz="0" w:space="0" w:color="auto"/>
        <w:bottom w:val="none" w:sz="0" w:space="0" w:color="auto"/>
        <w:right w:val="none" w:sz="0" w:space="0" w:color="auto"/>
      </w:divBdr>
    </w:div>
    <w:div w:id="1194884289">
      <w:bodyDiv w:val="1"/>
      <w:marLeft w:val="0"/>
      <w:marRight w:val="0"/>
      <w:marTop w:val="0"/>
      <w:marBottom w:val="0"/>
      <w:divBdr>
        <w:top w:val="none" w:sz="0" w:space="0" w:color="auto"/>
        <w:left w:val="none" w:sz="0" w:space="0" w:color="auto"/>
        <w:bottom w:val="none" w:sz="0" w:space="0" w:color="auto"/>
        <w:right w:val="none" w:sz="0" w:space="0" w:color="auto"/>
      </w:divBdr>
    </w:div>
    <w:div w:id="1204906039">
      <w:bodyDiv w:val="1"/>
      <w:marLeft w:val="0"/>
      <w:marRight w:val="0"/>
      <w:marTop w:val="0"/>
      <w:marBottom w:val="0"/>
      <w:divBdr>
        <w:top w:val="none" w:sz="0" w:space="0" w:color="auto"/>
        <w:left w:val="none" w:sz="0" w:space="0" w:color="auto"/>
        <w:bottom w:val="none" w:sz="0" w:space="0" w:color="auto"/>
        <w:right w:val="none" w:sz="0" w:space="0" w:color="auto"/>
      </w:divBdr>
    </w:div>
    <w:div w:id="1218276070">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61181434">
      <w:bodyDiv w:val="1"/>
      <w:marLeft w:val="0"/>
      <w:marRight w:val="0"/>
      <w:marTop w:val="0"/>
      <w:marBottom w:val="0"/>
      <w:divBdr>
        <w:top w:val="none" w:sz="0" w:space="0" w:color="auto"/>
        <w:left w:val="none" w:sz="0" w:space="0" w:color="auto"/>
        <w:bottom w:val="none" w:sz="0" w:space="0" w:color="auto"/>
        <w:right w:val="none" w:sz="0" w:space="0" w:color="auto"/>
      </w:divBdr>
      <w:divsChild>
        <w:div w:id="153760366">
          <w:marLeft w:val="0"/>
          <w:marRight w:val="0"/>
          <w:marTop w:val="0"/>
          <w:marBottom w:val="0"/>
          <w:divBdr>
            <w:top w:val="single" w:sz="2" w:space="0" w:color="auto"/>
            <w:left w:val="single" w:sz="2" w:space="0" w:color="auto"/>
            <w:bottom w:val="single" w:sz="2" w:space="0" w:color="auto"/>
            <w:right w:val="single" w:sz="2" w:space="0" w:color="auto"/>
          </w:divBdr>
          <w:divsChild>
            <w:div w:id="1488210355">
              <w:marLeft w:val="0"/>
              <w:marRight w:val="0"/>
              <w:marTop w:val="0"/>
              <w:marBottom w:val="0"/>
              <w:divBdr>
                <w:top w:val="single" w:sz="2" w:space="0" w:color="auto"/>
                <w:left w:val="single" w:sz="2" w:space="0" w:color="auto"/>
                <w:bottom w:val="single" w:sz="2" w:space="31" w:color="auto"/>
                <w:right w:val="single" w:sz="2" w:space="0" w:color="auto"/>
              </w:divBdr>
              <w:divsChild>
                <w:div w:id="866718036">
                  <w:marLeft w:val="0"/>
                  <w:marRight w:val="0"/>
                  <w:marTop w:val="0"/>
                  <w:marBottom w:val="0"/>
                  <w:divBdr>
                    <w:top w:val="single" w:sz="2" w:space="0" w:color="auto"/>
                    <w:left w:val="single" w:sz="2" w:space="0" w:color="auto"/>
                    <w:bottom w:val="single" w:sz="2" w:space="0" w:color="auto"/>
                    <w:right w:val="single" w:sz="2" w:space="0" w:color="auto"/>
                  </w:divBdr>
                  <w:divsChild>
                    <w:div w:id="1212765325">
                      <w:marLeft w:val="0"/>
                      <w:marRight w:val="0"/>
                      <w:marTop w:val="0"/>
                      <w:marBottom w:val="0"/>
                      <w:divBdr>
                        <w:top w:val="single" w:sz="6" w:space="0" w:color="auto"/>
                        <w:left w:val="single" w:sz="6" w:space="0" w:color="auto"/>
                        <w:bottom w:val="single" w:sz="6" w:space="0" w:color="auto"/>
                        <w:right w:val="single" w:sz="6" w:space="0" w:color="auto"/>
                      </w:divBdr>
                      <w:divsChild>
                        <w:div w:id="1593271188">
                          <w:marLeft w:val="0"/>
                          <w:marRight w:val="0"/>
                          <w:marTop w:val="0"/>
                          <w:marBottom w:val="0"/>
                          <w:divBdr>
                            <w:top w:val="single" w:sz="2" w:space="0" w:color="auto"/>
                            <w:left w:val="single" w:sz="2" w:space="0" w:color="auto"/>
                            <w:bottom w:val="single" w:sz="2" w:space="0" w:color="auto"/>
                            <w:right w:val="single" w:sz="2" w:space="0" w:color="auto"/>
                          </w:divBdr>
                          <w:divsChild>
                            <w:div w:id="19556001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75552186">
      <w:bodyDiv w:val="1"/>
      <w:marLeft w:val="0"/>
      <w:marRight w:val="0"/>
      <w:marTop w:val="0"/>
      <w:marBottom w:val="0"/>
      <w:divBdr>
        <w:top w:val="none" w:sz="0" w:space="0" w:color="auto"/>
        <w:left w:val="none" w:sz="0" w:space="0" w:color="auto"/>
        <w:bottom w:val="none" w:sz="0" w:space="0" w:color="auto"/>
        <w:right w:val="none" w:sz="0" w:space="0" w:color="auto"/>
      </w:divBdr>
      <w:divsChild>
        <w:div w:id="272396417">
          <w:marLeft w:val="1080"/>
          <w:marRight w:val="0"/>
          <w:marTop w:val="120"/>
          <w:marBottom w:val="0"/>
          <w:divBdr>
            <w:top w:val="none" w:sz="0" w:space="0" w:color="auto"/>
            <w:left w:val="none" w:sz="0" w:space="0" w:color="auto"/>
            <w:bottom w:val="none" w:sz="0" w:space="0" w:color="auto"/>
            <w:right w:val="none" w:sz="0" w:space="0" w:color="auto"/>
          </w:divBdr>
        </w:div>
        <w:div w:id="414908434">
          <w:marLeft w:val="1080"/>
          <w:marRight w:val="0"/>
          <w:marTop w:val="120"/>
          <w:marBottom w:val="0"/>
          <w:divBdr>
            <w:top w:val="none" w:sz="0" w:space="0" w:color="auto"/>
            <w:left w:val="none" w:sz="0" w:space="0" w:color="auto"/>
            <w:bottom w:val="none" w:sz="0" w:space="0" w:color="auto"/>
            <w:right w:val="none" w:sz="0" w:space="0" w:color="auto"/>
          </w:divBdr>
        </w:div>
        <w:div w:id="1151561284">
          <w:marLeft w:val="1080"/>
          <w:marRight w:val="0"/>
          <w:marTop w:val="120"/>
          <w:marBottom w:val="0"/>
          <w:divBdr>
            <w:top w:val="none" w:sz="0" w:space="0" w:color="auto"/>
            <w:left w:val="none" w:sz="0" w:space="0" w:color="auto"/>
            <w:bottom w:val="none" w:sz="0" w:space="0" w:color="auto"/>
            <w:right w:val="none" w:sz="0" w:space="0" w:color="auto"/>
          </w:divBdr>
        </w:div>
      </w:divsChild>
    </w:div>
    <w:div w:id="1284774108">
      <w:bodyDiv w:val="1"/>
      <w:marLeft w:val="0"/>
      <w:marRight w:val="0"/>
      <w:marTop w:val="0"/>
      <w:marBottom w:val="0"/>
      <w:divBdr>
        <w:top w:val="none" w:sz="0" w:space="0" w:color="auto"/>
        <w:left w:val="none" w:sz="0" w:space="0" w:color="auto"/>
        <w:bottom w:val="none" w:sz="0" w:space="0" w:color="auto"/>
        <w:right w:val="none" w:sz="0" w:space="0" w:color="auto"/>
      </w:divBdr>
      <w:divsChild>
        <w:div w:id="580335331">
          <w:marLeft w:val="360"/>
          <w:marRight w:val="0"/>
          <w:marTop w:val="120"/>
          <w:marBottom w:val="0"/>
          <w:divBdr>
            <w:top w:val="none" w:sz="0" w:space="0" w:color="auto"/>
            <w:left w:val="none" w:sz="0" w:space="0" w:color="auto"/>
            <w:bottom w:val="none" w:sz="0" w:space="0" w:color="auto"/>
            <w:right w:val="none" w:sz="0" w:space="0" w:color="auto"/>
          </w:divBdr>
        </w:div>
      </w:divsChild>
    </w:div>
    <w:div w:id="1286887232">
      <w:bodyDiv w:val="1"/>
      <w:marLeft w:val="0"/>
      <w:marRight w:val="0"/>
      <w:marTop w:val="0"/>
      <w:marBottom w:val="0"/>
      <w:divBdr>
        <w:top w:val="none" w:sz="0" w:space="0" w:color="auto"/>
        <w:left w:val="none" w:sz="0" w:space="0" w:color="auto"/>
        <w:bottom w:val="none" w:sz="0" w:space="0" w:color="auto"/>
        <w:right w:val="none" w:sz="0" w:space="0" w:color="auto"/>
      </w:divBdr>
    </w:div>
    <w:div w:id="1337880373">
      <w:bodyDiv w:val="1"/>
      <w:marLeft w:val="0"/>
      <w:marRight w:val="0"/>
      <w:marTop w:val="0"/>
      <w:marBottom w:val="0"/>
      <w:divBdr>
        <w:top w:val="none" w:sz="0" w:space="0" w:color="auto"/>
        <w:left w:val="none" w:sz="0" w:space="0" w:color="auto"/>
        <w:bottom w:val="none" w:sz="0" w:space="0" w:color="auto"/>
        <w:right w:val="none" w:sz="0" w:space="0" w:color="auto"/>
      </w:divBdr>
    </w:div>
    <w:div w:id="1347058484">
      <w:bodyDiv w:val="1"/>
      <w:marLeft w:val="0"/>
      <w:marRight w:val="0"/>
      <w:marTop w:val="0"/>
      <w:marBottom w:val="0"/>
      <w:divBdr>
        <w:top w:val="none" w:sz="0" w:space="0" w:color="auto"/>
        <w:left w:val="none" w:sz="0" w:space="0" w:color="auto"/>
        <w:bottom w:val="none" w:sz="0" w:space="0" w:color="auto"/>
        <w:right w:val="none" w:sz="0" w:space="0" w:color="auto"/>
      </w:divBdr>
    </w:div>
    <w:div w:id="1354376667">
      <w:bodyDiv w:val="1"/>
      <w:marLeft w:val="0"/>
      <w:marRight w:val="0"/>
      <w:marTop w:val="0"/>
      <w:marBottom w:val="0"/>
      <w:divBdr>
        <w:top w:val="none" w:sz="0" w:space="0" w:color="auto"/>
        <w:left w:val="none" w:sz="0" w:space="0" w:color="auto"/>
        <w:bottom w:val="none" w:sz="0" w:space="0" w:color="auto"/>
        <w:right w:val="none" w:sz="0" w:space="0" w:color="auto"/>
      </w:divBdr>
    </w:div>
    <w:div w:id="1405180657">
      <w:bodyDiv w:val="1"/>
      <w:marLeft w:val="0"/>
      <w:marRight w:val="0"/>
      <w:marTop w:val="0"/>
      <w:marBottom w:val="0"/>
      <w:divBdr>
        <w:top w:val="none" w:sz="0" w:space="0" w:color="auto"/>
        <w:left w:val="none" w:sz="0" w:space="0" w:color="auto"/>
        <w:bottom w:val="none" w:sz="0" w:space="0" w:color="auto"/>
        <w:right w:val="none" w:sz="0" w:space="0" w:color="auto"/>
      </w:divBdr>
    </w:div>
    <w:div w:id="1417045954">
      <w:bodyDiv w:val="1"/>
      <w:marLeft w:val="0"/>
      <w:marRight w:val="0"/>
      <w:marTop w:val="0"/>
      <w:marBottom w:val="0"/>
      <w:divBdr>
        <w:top w:val="none" w:sz="0" w:space="0" w:color="auto"/>
        <w:left w:val="none" w:sz="0" w:space="0" w:color="auto"/>
        <w:bottom w:val="none" w:sz="0" w:space="0" w:color="auto"/>
        <w:right w:val="none" w:sz="0" w:space="0" w:color="auto"/>
      </w:divBdr>
    </w:div>
    <w:div w:id="1424491907">
      <w:bodyDiv w:val="1"/>
      <w:marLeft w:val="0"/>
      <w:marRight w:val="0"/>
      <w:marTop w:val="0"/>
      <w:marBottom w:val="0"/>
      <w:divBdr>
        <w:top w:val="none" w:sz="0" w:space="0" w:color="auto"/>
        <w:left w:val="none" w:sz="0" w:space="0" w:color="auto"/>
        <w:bottom w:val="none" w:sz="0" w:space="0" w:color="auto"/>
        <w:right w:val="none" w:sz="0" w:space="0" w:color="auto"/>
      </w:divBdr>
    </w:div>
    <w:div w:id="1441072356">
      <w:bodyDiv w:val="1"/>
      <w:marLeft w:val="0"/>
      <w:marRight w:val="0"/>
      <w:marTop w:val="0"/>
      <w:marBottom w:val="0"/>
      <w:divBdr>
        <w:top w:val="none" w:sz="0" w:space="0" w:color="auto"/>
        <w:left w:val="none" w:sz="0" w:space="0" w:color="auto"/>
        <w:bottom w:val="none" w:sz="0" w:space="0" w:color="auto"/>
        <w:right w:val="none" w:sz="0" w:space="0" w:color="auto"/>
      </w:divBdr>
    </w:div>
    <w:div w:id="1444422077">
      <w:bodyDiv w:val="1"/>
      <w:marLeft w:val="0"/>
      <w:marRight w:val="0"/>
      <w:marTop w:val="0"/>
      <w:marBottom w:val="0"/>
      <w:divBdr>
        <w:top w:val="none" w:sz="0" w:space="0" w:color="auto"/>
        <w:left w:val="none" w:sz="0" w:space="0" w:color="auto"/>
        <w:bottom w:val="none" w:sz="0" w:space="0" w:color="auto"/>
        <w:right w:val="none" w:sz="0" w:space="0" w:color="auto"/>
      </w:divBdr>
    </w:div>
    <w:div w:id="1467550826">
      <w:bodyDiv w:val="1"/>
      <w:marLeft w:val="0"/>
      <w:marRight w:val="0"/>
      <w:marTop w:val="0"/>
      <w:marBottom w:val="0"/>
      <w:divBdr>
        <w:top w:val="none" w:sz="0" w:space="0" w:color="auto"/>
        <w:left w:val="none" w:sz="0" w:space="0" w:color="auto"/>
        <w:bottom w:val="none" w:sz="0" w:space="0" w:color="auto"/>
        <w:right w:val="none" w:sz="0" w:space="0" w:color="auto"/>
      </w:divBdr>
      <w:divsChild>
        <w:div w:id="1616862227">
          <w:marLeft w:val="0"/>
          <w:marRight w:val="0"/>
          <w:marTop w:val="0"/>
          <w:marBottom w:val="0"/>
          <w:divBdr>
            <w:top w:val="none" w:sz="0" w:space="0" w:color="auto"/>
            <w:left w:val="none" w:sz="0" w:space="0" w:color="auto"/>
            <w:bottom w:val="none" w:sz="0" w:space="0" w:color="auto"/>
            <w:right w:val="none" w:sz="0" w:space="0" w:color="auto"/>
          </w:divBdr>
          <w:divsChild>
            <w:div w:id="691106633">
              <w:marLeft w:val="0"/>
              <w:marRight w:val="0"/>
              <w:marTop w:val="0"/>
              <w:marBottom w:val="0"/>
              <w:divBdr>
                <w:top w:val="none" w:sz="0" w:space="0" w:color="auto"/>
                <w:left w:val="none" w:sz="0" w:space="0" w:color="auto"/>
                <w:bottom w:val="none" w:sz="0" w:space="0" w:color="auto"/>
                <w:right w:val="none" w:sz="0" w:space="0" w:color="auto"/>
              </w:divBdr>
              <w:divsChild>
                <w:div w:id="19646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81133">
      <w:bodyDiv w:val="1"/>
      <w:marLeft w:val="0"/>
      <w:marRight w:val="0"/>
      <w:marTop w:val="0"/>
      <w:marBottom w:val="0"/>
      <w:divBdr>
        <w:top w:val="none" w:sz="0" w:space="0" w:color="auto"/>
        <w:left w:val="none" w:sz="0" w:space="0" w:color="auto"/>
        <w:bottom w:val="none" w:sz="0" w:space="0" w:color="auto"/>
        <w:right w:val="none" w:sz="0" w:space="0" w:color="auto"/>
      </w:divBdr>
      <w:divsChild>
        <w:div w:id="433212847">
          <w:marLeft w:val="360"/>
          <w:marRight w:val="0"/>
          <w:marTop w:val="120"/>
          <w:marBottom w:val="0"/>
          <w:divBdr>
            <w:top w:val="none" w:sz="0" w:space="0" w:color="auto"/>
            <w:left w:val="none" w:sz="0" w:space="0" w:color="auto"/>
            <w:bottom w:val="none" w:sz="0" w:space="0" w:color="auto"/>
            <w:right w:val="none" w:sz="0" w:space="0" w:color="auto"/>
          </w:divBdr>
        </w:div>
        <w:div w:id="1040395500">
          <w:marLeft w:val="360"/>
          <w:marRight w:val="0"/>
          <w:marTop w:val="120"/>
          <w:marBottom w:val="0"/>
          <w:divBdr>
            <w:top w:val="none" w:sz="0" w:space="0" w:color="auto"/>
            <w:left w:val="none" w:sz="0" w:space="0" w:color="auto"/>
            <w:bottom w:val="none" w:sz="0" w:space="0" w:color="auto"/>
            <w:right w:val="none" w:sz="0" w:space="0" w:color="auto"/>
          </w:divBdr>
        </w:div>
        <w:div w:id="1867062180">
          <w:marLeft w:val="1080"/>
          <w:marRight w:val="0"/>
          <w:marTop w:val="120"/>
          <w:marBottom w:val="0"/>
          <w:divBdr>
            <w:top w:val="none" w:sz="0" w:space="0" w:color="auto"/>
            <w:left w:val="none" w:sz="0" w:space="0" w:color="auto"/>
            <w:bottom w:val="none" w:sz="0" w:space="0" w:color="auto"/>
            <w:right w:val="none" w:sz="0" w:space="0" w:color="auto"/>
          </w:divBdr>
        </w:div>
        <w:div w:id="1244798627">
          <w:marLeft w:val="360"/>
          <w:marRight w:val="0"/>
          <w:marTop w:val="120"/>
          <w:marBottom w:val="0"/>
          <w:divBdr>
            <w:top w:val="none" w:sz="0" w:space="0" w:color="auto"/>
            <w:left w:val="none" w:sz="0" w:space="0" w:color="auto"/>
            <w:bottom w:val="none" w:sz="0" w:space="0" w:color="auto"/>
            <w:right w:val="none" w:sz="0" w:space="0" w:color="auto"/>
          </w:divBdr>
        </w:div>
      </w:divsChild>
    </w:div>
    <w:div w:id="1496990900">
      <w:bodyDiv w:val="1"/>
      <w:marLeft w:val="0"/>
      <w:marRight w:val="0"/>
      <w:marTop w:val="0"/>
      <w:marBottom w:val="0"/>
      <w:divBdr>
        <w:top w:val="none" w:sz="0" w:space="0" w:color="auto"/>
        <w:left w:val="none" w:sz="0" w:space="0" w:color="auto"/>
        <w:bottom w:val="none" w:sz="0" w:space="0" w:color="auto"/>
        <w:right w:val="none" w:sz="0" w:space="0" w:color="auto"/>
      </w:divBdr>
    </w:div>
    <w:div w:id="1522087546">
      <w:bodyDiv w:val="1"/>
      <w:marLeft w:val="0"/>
      <w:marRight w:val="0"/>
      <w:marTop w:val="0"/>
      <w:marBottom w:val="0"/>
      <w:divBdr>
        <w:top w:val="none" w:sz="0" w:space="0" w:color="auto"/>
        <w:left w:val="none" w:sz="0" w:space="0" w:color="auto"/>
        <w:bottom w:val="none" w:sz="0" w:space="0" w:color="auto"/>
        <w:right w:val="none" w:sz="0" w:space="0" w:color="auto"/>
      </w:divBdr>
      <w:divsChild>
        <w:div w:id="1682001914">
          <w:marLeft w:val="0"/>
          <w:marRight w:val="0"/>
          <w:marTop w:val="0"/>
          <w:marBottom w:val="0"/>
          <w:divBdr>
            <w:top w:val="none" w:sz="0" w:space="0" w:color="auto"/>
            <w:left w:val="none" w:sz="0" w:space="0" w:color="auto"/>
            <w:bottom w:val="none" w:sz="0" w:space="0" w:color="auto"/>
            <w:right w:val="none" w:sz="0" w:space="0" w:color="auto"/>
          </w:divBdr>
          <w:divsChild>
            <w:div w:id="1844274659">
              <w:marLeft w:val="0"/>
              <w:marRight w:val="0"/>
              <w:marTop w:val="0"/>
              <w:marBottom w:val="0"/>
              <w:divBdr>
                <w:top w:val="none" w:sz="0" w:space="0" w:color="auto"/>
                <w:left w:val="none" w:sz="0" w:space="0" w:color="auto"/>
                <w:bottom w:val="none" w:sz="0" w:space="0" w:color="auto"/>
                <w:right w:val="none" w:sz="0" w:space="0" w:color="auto"/>
              </w:divBdr>
              <w:divsChild>
                <w:div w:id="780801232">
                  <w:marLeft w:val="0"/>
                  <w:marRight w:val="0"/>
                  <w:marTop w:val="0"/>
                  <w:marBottom w:val="0"/>
                  <w:divBdr>
                    <w:top w:val="none" w:sz="0" w:space="0" w:color="auto"/>
                    <w:left w:val="none" w:sz="0" w:space="0" w:color="auto"/>
                    <w:bottom w:val="none" w:sz="0" w:space="0" w:color="auto"/>
                    <w:right w:val="none" w:sz="0" w:space="0" w:color="auto"/>
                  </w:divBdr>
                  <w:divsChild>
                    <w:div w:id="3394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93284">
      <w:bodyDiv w:val="1"/>
      <w:marLeft w:val="0"/>
      <w:marRight w:val="0"/>
      <w:marTop w:val="0"/>
      <w:marBottom w:val="0"/>
      <w:divBdr>
        <w:top w:val="none" w:sz="0" w:space="0" w:color="auto"/>
        <w:left w:val="none" w:sz="0" w:space="0" w:color="auto"/>
        <w:bottom w:val="none" w:sz="0" w:space="0" w:color="auto"/>
        <w:right w:val="none" w:sz="0" w:space="0" w:color="auto"/>
      </w:divBdr>
    </w:div>
    <w:div w:id="1541239024">
      <w:bodyDiv w:val="1"/>
      <w:marLeft w:val="0"/>
      <w:marRight w:val="0"/>
      <w:marTop w:val="0"/>
      <w:marBottom w:val="0"/>
      <w:divBdr>
        <w:top w:val="none" w:sz="0" w:space="0" w:color="auto"/>
        <w:left w:val="none" w:sz="0" w:space="0" w:color="auto"/>
        <w:bottom w:val="none" w:sz="0" w:space="0" w:color="auto"/>
        <w:right w:val="none" w:sz="0" w:space="0" w:color="auto"/>
      </w:divBdr>
      <w:divsChild>
        <w:div w:id="1404524882">
          <w:marLeft w:val="360"/>
          <w:marRight w:val="0"/>
          <w:marTop w:val="120"/>
          <w:marBottom w:val="0"/>
          <w:divBdr>
            <w:top w:val="none" w:sz="0" w:space="0" w:color="auto"/>
            <w:left w:val="none" w:sz="0" w:space="0" w:color="auto"/>
            <w:bottom w:val="none" w:sz="0" w:space="0" w:color="auto"/>
            <w:right w:val="none" w:sz="0" w:space="0" w:color="auto"/>
          </w:divBdr>
        </w:div>
        <w:div w:id="297227436">
          <w:marLeft w:val="1080"/>
          <w:marRight w:val="0"/>
          <w:marTop w:val="120"/>
          <w:marBottom w:val="0"/>
          <w:divBdr>
            <w:top w:val="none" w:sz="0" w:space="0" w:color="auto"/>
            <w:left w:val="none" w:sz="0" w:space="0" w:color="auto"/>
            <w:bottom w:val="none" w:sz="0" w:space="0" w:color="auto"/>
            <w:right w:val="none" w:sz="0" w:space="0" w:color="auto"/>
          </w:divBdr>
        </w:div>
      </w:divsChild>
    </w:div>
    <w:div w:id="1545368550">
      <w:bodyDiv w:val="1"/>
      <w:marLeft w:val="0"/>
      <w:marRight w:val="0"/>
      <w:marTop w:val="0"/>
      <w:marBottom w:val="0"/>
      <w:divBdr>
        <w:top w:val="none" w:sz="0" w:space="0" w:color="auto"/>
        <w:left w:val="none" w:sz="0" w:space="0" w:color="auto"/>
        <w:bottom w:val="none" w:sz="0" w:space="0" w:color="auto"/>
        <w:right w:val="none" w:sz="0" w:space="0" w:color="auto"/>
      </w:divBdr>
    </w:div>
    <w:div w:id="1587572887">
      <w:bodyDiv w:val="1"/>
      <w:marLeft w:val="0"/>
      <w:marRight w:val="0"/>
      <w:marTop w:val="0"/>
      <w:marBottom w:val="0"/>
      <w:divBdr>
        <w:top w:val="none" w:sz="0" w:space="0" w:color="auto"/>
        <w:left w:val="none" w:sz="0" w:space="0" w:color="auto"/>
        <w:bottom w:val="none" w:sz="0" w:space="0" w:color="auto"/>
        <w:right w:val="none" w:sz="0" w:space="0" w:color="auto"/>
      </w:divBdr>
      <w:divsChild>
        <w:div w:id="94176578">
          <w:marLeft w:val="360"/>
          <w:marRight w:val="0"/>
          <w:marTop w:val="120"/>
          <w:marBottom w:val="0"/>
          <w:divBdr>
            <w:top w:val="none" w:sz="0" w:space="0" w:color="auto"/>
            <w:left w:val="none" w:sz="0" w:space="0" w:color="auto"/>
            <w:bottom w:val="none" w:sz="0" w:space="0" w:color="auto"/>
            <w:right w:val="none" w:sz="0" w:space="0" w:color="auto"/>
          </w:divBdr>
        </w:div>
        <w:div w:id="998461216">
          <w:marLeft w:val="1080"/>
          <w:marRight w:val="0"/>
          <w:marTop w:val="120"/>
          <w:marBottom w:val="0"/>
          <w:divBdr>
            <w:top w:val="none" w:sz="0" w:space="0" w:color="auto"/>
            <w:left w:val="none" w:sz="0" w:space="0" w:color="auto"/>
            <w:bottom w:val="none" w:sz="0" w:space="0" w:color="auto"/>
            <w:right w:val="none" w:sz="0" w:space="0" w:color="auto"/>
          </w:divBdr>
        </w:div>
        <w:div w:id="167185595">
          <w:marLeft w:val="360"/>
          <w:marRight w:val="0"/>
          <w:marTop w:val="120"/>
          <w:marBottom w:val="0"/>
          <w:divBdr>
            <w:top w:val="none" w:sz="0" w:space="0" w:color="auto"/>
            <w:left w:val="none" w:sz="0" w:space="0" w:color="auto"/>
            <w:bottom w:val="none" w:sz="0" w:space="0" w:color="auto"/>
            <w:right w:val="none" w:sz="0" w:space="0" w:color="auto"/>
          </w:divBdr>
        </w:div>
        <w:div w:id="1748726740">
          <w:marLeft w:val="1080"/>
          <w:marRight w:val="0"/>
          <w:marTop w:val="120"/>
          <w:marBottom w:val="0"/>
          <w:divBdr>
            <w:top w:val="none" w:sz="0" w:space="0" w:color="auto"/>
            <w:left w:val="none" w:sz="0" w:space="0" w:color="auto"/>
            <w:bottom w:val="none" w:sz="0" w:space="0" w:color="auto"/>
            <w:right w:val="none" w:sz="0" w:space="0" w:color="auto"/>
          </w:divBdr>
        </w:div>
        <w:div w:id="1191529364">
          <w:marLeft w:val="360"/>
          <w:marRight w:val="0"/>
          <w:marTop w:val="120"/>
          <w:marBottom w:val="0"/>
          <w:divBdr>
            <w:top w:val="none" w:sz="0" w:space="0" w:color="auto"/>
            <w:left w:val="none" w:sz="0" w:space="0" w:color="auto"/>
            <w:bottom w:val="none" w:sz="0" w:space="0" w:color="auto"/>
            <w:right w:val="none" w:sz="0" w:space="0" w:color="auto"/>
          </w:divBdr>
        </w:div>
        <w:div w:id="1313949910">
          <w:marLeft w:val="1080"/>
          <w:marRight w:val="0"/>
          <w:marTop w:val="120"/>
          <w:marBottom w:val="0"/>
          <w:divBdr>
            <w:top w:val="none" w:sz="0" w:space="0" w:color="auto"/>
            <w:left w:val="none" w:sz="0" w:space="0" w:color="auto"/>
            <w:bottom w:val="none" w:sz="0" w:space="0" w:color="auto"/>
            <w:right w:val="none" w:sz="0" w:space="0" w:color="auto"/>
          </w:divBdr>
        </w:div>
        <w:div w:id="1726836156">
          <w:marLeft w:val="1080"/>
          <w:marRight w:val="0"/>
          <w:marTop w:val="120"/>
          <w:marBottom w:val="0"/>
          <w:divBdr>
            <w:top w:val="none" w:sz="0" w:space="0" w:color="auto"/>
            <w:left w:val="none" w:sz="0" w:space="0" w:color="auto"/>
            <w:bottom w:val="none" w:sz="0" w:space="0" w:color="auto"/>
            <w:right w:val="none" w:sz="0" w:space="0" w:color="auto"/>
          </w:divBdr>
        </w:div>
        <w:div w:id="441656823">
          <w:marLeft w:val="1080"/>
          <w:marRight w:val="0"/>
          <w:marTop w:val="120"/>
          <w:marBottom w:val="0"/>
          <w:divBdr>
            <w:top w:val="none" w:sz="0" w:space="0" w:color="auto"/>
            <w:left w:val="none" w:sz="0" w:space="0" w:color="auto"/>
            <w:bottom w:val="none" w:sz="0" w:space="0" w:color="auto"/>
            <w:right w:val="none" w:sz="0" w:space="0" w:color="auto"/>
          </w:divBdr>
        </w:div>
        <w:div w:id="1278297089">
          <w:marLeft w:val="360"/>
          <w:marRight w:val="0"/>
          <w:marTop w:val="120"/>
          <w:marBottom w:val="0"/>
          <w:divBdr>
            <w:top w:val="none" w:sz="0" w:space="0" w:color="auto"/>
            <w:left w:val="none" w:sz="0" w:space="0" w:color="auto"/>
            <w:bottom w:val="none" w:sz="0" w:space="0" w:color="auto"/>
            <w:right w:val="none" w:sz="0" w:space="0" w:color="auto"/>
          </w:divBdr>
        </w:div>
        <w:div w:id="2059237156">
          <w:marLeft w:val="1080"/>
          <w:marRight w:val="0"/>
          <w:marTop w:val="120"/>
          <w:marBottom w:val="0"/>
          <w:divBdr>
            <w:top w:val="none" w:sz="0" w:space="0" w:color="auto"/>
            <w:left w:val="none" w:sz="0" w:space="0" w:color="auto"/>
            <w:bottom w:val="none" w:sz="0" w:space="0" w:color="auto"/>
            <w:right w:val="none" w:sz="0" w:space="0" w:color="auto"/>
          </w:divBdr>
        </w:div>
      </w:divsChild>
    </w:div>
    <w:div w:id="1606573278">
      <w:bodyDiv w:val="1"/>
      <w:marLeft w:val="0"/>
      <w:marRight w:val="0"/>
      <w:marTop w:val="0"/>
      <w:marBottom w:val="0"/>
      <w:divBdr>
        <w:top w:val="none" w:sz="0" w:space="0" w:color="auto"/>
        <w:left w:val="none" w:sz="0" w:space="0" w:color="auto"/>
        <w:bottom w:val="none" w:sz="0" w:space="0" w:color="auto"/>
        <w:right w:val="none" w:sz="0" w:space="0" w:color="auto"/>
      </w:divBdr>
      <w:divsChild>
        <w:div w:id="1963807819">
          <w:marLeft w:val="360"/>
          <w:marRight w:val="0"/>
          <w:marTop w:val="120"/>
          <w:marBottom w:val="0"/>
          <w:divBdr>
            <w:top w:val="none" w:sz="0" w:space="0" w:color="auto"/>
            <w:left w:val="none" w:sz="0" w:space="0" w:color="auto"/>
            <w:bottom w:val="none" w:sz="0" w:space="0" w:color="auto"/>
            <w:right w:val="none" w:sz="0" w:space="0" w:color="auto"/>
          </w:divBdr>
        </w:div>
        <w:div w:id="802498923">
          <w:marLeft w:val="1080"/>
          <w:marRight w:val="0"/>
          <w:marTop w:val="120"/>
          <w:marBottom w:val="0"/>
          <w:divBdr>
            <w:top w:val="none" w:sz="0" w:space="0" w:color="auto"/>
            <w:left w:val="none" w:sz="0" w:space="0" w:color="auto"/>
            <w:bottom w:val="none" w:sz="0" w:space="0" w:color="auto"/>
            <w:right w:val="none" w:sz="0" w:space="0" w:color="auto"/>
          </w:divBdr>
        </w:div>
        <w:div w:id="2011133111">
          <w:marLeft w:val="1080"/>
          <w:marRight w:val="0"/>
          <w:marTop w:val="120"/>
          <w:marBottom w:val="0"/>
          <w:divBdr>
            <w:top w:val="none" w:sz="0" w:space="0" w:color="auto"/>
            <w:left w:val="none" w:sz="0" w:space="0" w:color="auto"/>
            <w:bottom w:val="none" w:sz="0" w:space="0" w:color="auto"/>
            <w:right w:val="none" w:sz="0" w:space="0" w:color="auto"/>
          </w:divBdr>
        </w:div>
        <w:div w:id="2130081669">
          <w:marLeft w:val="1080"/>
          <w:marRight w:val="0"/>
          <w:marTop w:val="120"/>
          <w:marBottom w:val="0"/>
          <w:divBdr>
            <w:top w:val="none" w:sz="0" w:space="0" w:color="auto"/>
            <w:left w:val="none" w:sz="0" w:space="0" w:color="auto"/>
            <w:bottom w:val="none" w:sz="0" w:space="0" w:color="auto"/>
            <w:right w:val="none" w:sz="0" w:space="0" w:color="auto"/>
          </w:divBdr>
        </w:div>
      </w:divsChild>
    </w:div>
    <w:div w:id="1606688815">
      <w:bodyDiv w:val="1"/>
      <w:marLeft w:val="0"/>
      <w:marRight w:val="0"/>
      <w:marTop w:val="0"/>
      <w:marBottom w:val="0"/>
      <w:divBdr>
        <w:top w:val="none" w:sz="0" w:space="0" w:color="auto"/>
        <w:left w:val="none" w:sz="0" w:space="0" w:color="auto"/>
        <w:bottom w:val="none" w:sz="0" w:space="0" w:color="auto"/>
        <w:right w:val="none" w:sz="0" w:space="0" w:color="auto"/>
      </w:divBdr>
    </w:div>
    <w:div w:id="1625766214">
      <w:bodyDiv w:val="1"/>
      <w:marLeft w:val="0"/>
      <w:marRight w:val="0"/>
      <w:marTop w:val="0"/>
      <w:marBottom w:val="0"/>
      <w:divBdr>
        <w:top w:val="none" w:sz="0" w:space="0" w:color="auto"/>
        <w:left w:val="none" w:sz="0" w:space="0" w:color="auto"/>
        <w:bottom w:val="none" w:sz="0" w:space="0" w:color="auto"/>
        <w:right w:val="none" w:sz="0" w:space="0" w:color="auto"/>
      </w:divBdr>
    </w:div>
    <w:div w:id="1644121444">
      <w:bodyDiv w:val="1"/>
      <w:marLeft w:val="0"/>
      <w:marRight w:val="0"/>
      <w:marTop w:val="0"/>
      <w:marBottom w:val="0"/>
      <w:divBdr>
        <w:top w:val="none" w:sz="0" w:space="0" w:color="auto"/>
        <w:left w:val="none" w:sz="0" w:space="0" w:color="auto"/>
        <w:bottom w:val="none" w:sz="0" w:space="0" w:color="auto"/>
        <w:right w:val="none" w:sz="0" w:space="0" w:color="auto"/>
      </w:divBdr>
      <w:divsChild>
        <w:div w:id="399324940">
          <w:marLeft w:val="1080"/>
          <w:marRight w:val="0"/>
          <w:marTop w:val="120"/>
          <w:marBottom w:val="0"/>
          <w:divBdr>
            <w:top w:val="none" w:sz="0" w:space="0" w:color="auto"/>
            <w:left w:val="none" w:sz="0" w:space="0" w:color="auto"/>
            <w:bottom w:val="none" w:sz="0" w:space="0" w:color="auto"/>
            <w:right w:val="none" w:sz="0" w:space="0" w:color="auto"/>
          </w:divBdr>
        </w:div>
      </w:divsChild>
    </w:div>
    <w:div w:id="1660959197">
      <w:bodyDiv w:val="1"/>
      <w:marLeft w:val="0"/>
      <w:marRight w:val="0"/>
      <w:marTop w:val="0"/>
      <w:marBottom w:val="0"/>
      <w:divBdr>
        <w:top w:val="none" w:sz="0" w:space="0" w:color="auto"/>
        <w:left w:val="none" w:sz="0" w:space="0" w:color="auto"/>
        <w:bottom w:val="none" w:sz="0" w:space="0" w:color="auto"/>
        <w:right w:val="none" w:sz="0" w:space="0" w:color="auto"/>
      </w:divBdr>
    </w:div>
    <w:div w:id="1698388599">
      <w:bodyDiv w:val="1"/>
      <w:marLeft w:val="0"/>
      <w:marRight w:val="0"/>
      <w:marTop w:val="0"/>
      <w:marBottom w:val="0"/>
      <w:divBdr>
        <w:top w:val="none" w:sz="0" w:space="0" w:color="auto"/>
        <w:left w:val="none" w:sz="0" w:space="0" w:color="auto"/>
        <w:bottom w:val="none" w:sz="0" w:space="0" w:color="auto"/>
        <w:right w:val="none" w:sz="0" w:space="0" w:color="auto"/>
      </w:divBdr>
    </w:div>
    <w:div w:id="1723603428">
      <w:bodyDiv w:val="1"/>
      <w:marLeft w:val="0"/>
      <w:marRight w:val="0"/>
      <w:marTop w:val="0"/>
      <w:marBottom w:val="0"/>
      <w:divBdr>
        <w:top w:val="none" w:sz="0" w:space="0" w:color="auto"/>
        <w:left w:val="none" w:sz="0" w:space="0" w:color="auto"/>
        <w:bottom w:val="none" w:sz="0" w:space="0" w:color="auto"/>
        <w:right w:val="none" w:sz="0" w:space="0" w:color="auto"/>
      </w:divBdr>
    </w:div>
    <w:div w:id="1725788274">
      <w:bodyDiv w:val="1"/>
      <w:marLeft w:val="0"/>
      <w:marRight w:val="0"/>
      <w:marTop w:val="0"/>
      <w:marBottom w:val="0"/>
      <w:divBdr>
        <w:top w:val="none" w:sz="0" w:space="0" w:color="auto"/>
        <w:left w:val="none" w:sz="0" w:space="0" w:color="auto"/>
        <w:bottom w:val="none" w:sz="0" w:space="0" w:color="auto"/>
        <w:right w:val="none" w:sz="0" w:space="0" w:color="auto"/>
      </w:divBdr>
    </w:div>
    <w:div w:id="1732531917">
      <w:bodyDiv w:val="1"/>
      <w:marLeft w:val="0"/>
      <w:marRight w:val="0"/>
      <w:marTop w:val="0"/>
      <w:marBottom w:val="0"/>
      <w:divBdr>
        <w:top w:val="none" w:sz="0" w:space="0" w:color="auto"/>
        <w:left w:val="none" w:sz="0" w:space="0" w:color="auto"/>
        <w:bottom w:val="none" w:sz="0" w:space="0" w:color="auto"/>
        <w:right w:val="none" w:sz="0" w:space="0" w:color="auto"/>
      </w:divBdr>
    </w:div>
    <w:div w:id="1733624026">
      <w:bodyDiv w:val="1"/>
      <w:marLeft w:val="0"/>
      <w:marRight w:val="0"/>
      <w:marTop w:val="0"/>
      <w:marBottom w:val="0"/>
      <w:divBdr>
        <w:top w:val="none" w:sz="0" w:space="0" w:color="auto"/>
        <w:left w:val="none" w:sz="0" w:space="0" w:color="auto"/>
        <w:bottom w:val="none" w:sz="0" w:space="0" w:color="auto"/>
        <w:right w:val="none" w:sz="0" w:space="0" w:color="auto"/>
      </w:divBdr>
    </w:div>
    <w:div w:id="1734963039">
      <w:bodyDiv w:val="1"/>
      <w:marLeft w:val="0"/>
      <w:marRight w:val="0"/>
      <w:marTop w:val="0"/>
      <w:marBottom w:val="0"/>
      <w:divBdr>
        <w:top w:val="none" w:sz="0" w:space="0" w:color="auto"/>
        <w:left w:val="none" w:sz="0" w:space="0" w:color="auto"/>
        <w:bottom w:val="none" w:sz="0" w:space="0" w:color="auto"/>
        <w:right w:val="none" w:sz="0" w:space="0" w:color="auto"/>
      </w:divBdr>
    </w:div>
    <w:div w:id="1735658097">
      <w:bodyDiv w:val="1"/>
      <w:marLeft w:val="0"/>
      <w:marRight w:val="0"/>
      <w:marTop w:val="0"/>
      <w:marBottom w:val="0"/>
      <w:divBdr>
        <w:top w:val="none" w:sz="0" w:space="0" w:color="auto"/>
        <w:left w:val="none" w:sz="0" w:space="0" w:color="auto"/>
        <w:bottom w:val="none" w:sz="0" w:space="0" w:color="auto"/>
        <w:right w:val="none" w:sz="0" w:space="0" w:color="auto"/>
      </w:divBdr>
    </w:div>
    <w:div w:id="1747915658">
      <w:bodyDiv w:val="1"/>
      <w:marLeft w:val="0"/>
      <w:marRight w:val="0"/>
      <w:marTop w:val="0"/>
      <w:marBottom w:val="0"/>
      <w:divBdr>
        <w:top w:val="none" w:sz="0" w:space="0" w:color="auto"/>
        <w:left w:val="none" w:sz="0" w:space="0" w:color="auto"/>
        <w:bottom w:val="none" w:sz="0" w:space="0" w:color="auto"/>
        <w:right w:val="none" w:sz="0" w:space="0" w:color="auto"/>
      </w:divBdr>
    </w:div>
    <w:div w:id="1755861754">
      <w:bodyDiv w:val="1"/>
      <w:marLeft w:val="0"/>
      <w:marRight w:val="0"/>
      <w:marTop w:val="0"/>
      <w:marBottom w:val="0"/>
      <w:divBdr>
        <w:top w:val="none" w:sz="0" w:space="0" w:color="auto"/>
        <w:left w:val="none" w:sz="0" w:space="0" w:color="auto"/>
        <w:bottom w:val="none" w:sz="0" w:space="0" w:color="auto"/>
        <w:right w:val="none" w:sz="0" w:space="0" w:color="auto"/>
      </w:divBdr>
    </w:div>
    <w:div w:id="1765956683">
      <w:bodyDiv w:val="1"/>
      <w:marLeft w:val="0"/>
      <w:marRight w:val="0"/>
      <w:marTop w:val="0"/>
      <w:marBottom w:val="0"/>
      <w:divBdr>
        <w:top w:val="none" w:sz="0" w:space="0" w:color="auto"/>
        <w:left w:val="none" w:sz="0" w:space="0" w:color="auto"/>
        <w:bottom w:val="none" w:sz="0" w:space="0" w:color="auto"/>
        <w:right w:val="none" w:sz="0" w:space="0" w:color="auto"/>
      </w:divBdr>
    </w:div>
    <w:div w:id="1769694171">
      <w:bodyDiv w:val="1"/>
      <w:marLeft w:val="0"/>
      <w:marRight w:val="0"/>
      <w:marTop w:val="0"/>
      <w:marBottom w:val="0"/>
      <w:divBdr>
        <w:top w:val="none" w:sz="0" w:space="0" w:color="auto"/>
        <w:left w:val="none" w:sz="0" w:space="0" w:color="auto"/>
        <w:bottom w:val="none" w:sz="0" w:space="0" w:color="auto"/>
        <w:right w:val="none" w:sz="0" w:space="0" w:color="auto"/>
      </w:divBdr>
      <w:divsChild>
        <w:div w:id="1545872079">
          <w:marLeft w:val="1080"/>
          <w:marRight w:val="0"/>
          <w:marTop w:val="120"/>
          <w:marBottom w:val="0"/>
          <w:divBdr>
            <w:top w:val="none" w:sz="0" w:space="0" w:color="auto"/>
            <w:left w:val="none" w:sz="0" w:space="0" w:color="auto"/>
            <w:bottom w:val="none" w:sz="0" w:space="0" w:color="auto"/>
            <w:right w:val="none" w:sz="0" w:space="0" w:color="auto"/>
          </w:divBdr>
        </w:div>
      </w:divsChild>
    </w:div>
    <w:div w:id="1774859632">
      <w:bodyDiv w:val="1"/>
      <w:marLeft w:val="0"/>
      <w:marRight w:val="0"/>
      <w:marTop w:val="0"/>
      <w:marBottom w:val="0"/>
      <w:divBdr>
        <w:top w:val="none" w:sz="0" w:space="0" w:color="auto"/>
        <w:left w:val="none" w:sz="0" w:space="0" w:color="auto"/>
        <w:bottom w:val="none" w:sz="0" w:space="0" w:color="auto"/>
        <w:right w:val="none" w:sz="0" w:space="0" w:color="auto"/>
      </w:divBdr>
    </w:div>
    <w:div w:id="1787652491">
      <w:bodyDiv w:val="1"/>
      <w:marLeft w:val="0"/>
      <w:marRight w:val="0"/>
      <w:marTop w:val="0"/>
      <w:marBottom w:val="0"/>
      <w:divBdr>
        <w:top w:val="none" w:sz="0" w:space="0" w:color="auto"/>
        <w:left w:val="none" w:sz="0" w:space="0" w:color="auto"/>
        <w:bottom w:val="none" w:sz="0" w:space="0" w:color="auto"/>
        <w:right w:val="none" w:sz="0" w:space="0" w:color="auto"/>
      </w:divBdr>
    </w:div>
    <w:div w:id="1789354500">
      <w:bodyDiv w:val="1"/>
      <w:marLeft w:val="0"/>
      <w:marRight w:val="0"/>
      <w:marTop w:val="0"/>
      <w:marBottom w:val="0"/>
      <w:divBdr>
        <w:top w:val="none" w:sz="0" w:space="0" w:color="auto"/>
        <w:left w:val="none" w:sz="0" w:space="0" w:color="auto"/>
        <w:bottom w:val="none" w:sz="0" w:space="0" w:color="auto"/>
        <w:right w:val="none" w:sz="0" w:space="0" w:color="auto"/>
      </w:divBdr>
      <w:divsChild>
        <w:div w:id="169563865">
          <w:marLeft w:val="0"/>
          <w:marRight w:val="0"/>
          <w:marTop w:val="0"/>
          <w:marBottom w:val="0"/>
          <w:divBdr>
            <w:top w:val="single" w:sz="2" w:space="0" w:color="auto"/>
            <w:left w:val="single" w:sz="2" w:space="0" w:color="auto"/>
            <w:bottom w:val="single" w:sz="2" w:space="0" w:color="auto"/>
            <w:right w:val="single" w:sz="2" w:space="0" w:color="auto"/>
          </w:divBdr>
          <w:divsChild>
            <w:div w:id="1878807778">
              <w:marLeft w:val="0"/>
              <w:marRight w:val="0"/>
              <w:marTop w:val="0"/>
              <w:marBottom w:val="0"/>
              <w:divBdr>
                <w:top w:val="single" w:sz="2" w:space="0" w:color="auto"/>
                <w:left w:val="single" w:sz="2" w:space="0" w:color="auto"/>
                <w:bottom w:val="single" w:sz="2" w:space="31" w:color="auto"/>
                <w:right w:val="single" w:sz="2" w:space="0" w:color="auto"/>
              </w:divBdr>
              <w:divsChild>
                <w:div w:id="1552617399">
                  <w:marLeft w:val="0"/>
                  <w:marRight w:val="0"/>
                  <w:marTop w:val="0"/>
                  <w:marBottom w:val="0"/>
                  <w:divBdr>
                    <w:top w:val="single" w:sz="2" w:space="0" w:color="auto"/>
                    <w:left w:val="single" w:sz="2" w:space="0" w:color="auto"/>
                    <w:bottom w:val="single" w:sz="2" w:space="0" w:color="auto"/>
                    <w:right w:val="single" w:sz="2" w:space="0" w:color="auto"/>
                  </w:divBdr>
                  <w:divsChild>
                    <w:div w:id="150105218">
                      <w:marLeft w:val="0"/>
                      <w:marRight w:val="0"/>
                      <w:marTop w:val="0"/>
                      <w:marBottom w:val="0"/>
                      <w:divBdr>
                        <w:top w:val="single" w:sz="6" w:space="0" w:color="auto"/>
                        <w:left w:val="single" w:sz="6" w:space="0" w:color="auto"/>
                        <w:bottom w:val="single" w:sz="6" w:space="0" w:color="auto"/>
                        <w:right w:val="single" w:sz="6" w:space="0" w:color="auto"/>
                      </w:divBdr>
                      <w:divsChild>
                        <w:div w:id="80563659">
                          <w:marLeft w:val="0"/>
                          <w:marRight w:val="0"/>
                          <w:marTop w:val="0"/>
                          <w:marBottom w:val="0"/>
                          <w:divBdr>
                            <w:top w:val="single" w:sz="2" w:space="0" w:color="auto"/>
                            <w:left w:val="single" w:sz="2" w:space="0" w:color="auto"/>
                            <w:bottom w:val="single" w:sz="2" w:space="0" w:color="auto"/>
                            <w:right w:val="single" w:sz="2" w:space="0" w:color="auto"/>
                          </w:divBdr>
                          <w:divsChild>
                            <w:div w:id="11837819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00878550">
      <w:bodyDiv w:val="1"/>
      <w:marLeft w:val="0"/>
      <w:marRight w:val="0"/>
      <w:marTop w:val="0"/>
      <w:marBottom w:val="0"/>
      <w:divBdr>
        <w:top w:val="none" w:sz="0" w:space="0" w:color="auto"/>
        <w:left w:val="none" w:sz="0" w:space="0" w:color="auto"/>
        <w:bottom w:val="none" w:sz="0" w:space="0" w:color="auto"/>
        <w:right w:val="none" w:sz="0" w:space="0" w:color="auto"/>
      </w:divBdr>
    </w:div>
    <w:div w:id="1817062150">
      <w:bodyDiv w:val="1"/>
      <w:marLeft w:val="0"/>
      <w:marRight w:val="0"/>
      <w:marTop w:val="0"/>
      <w:marBottom w:val="0"/>
      <w:divBdr>
        <w:top w:val="none" w:sz="0" w:space="0" w:color="auto"/>
        <w:left w:val="none" w:sz="0" w:space="0" w:color="auto"/>
        <w:bottom w:val="none" w:sz="0" w:space="0" w:color="auto"/>
        <w:right w:val="none" w:sz="0" w:space="0" w:color="auto"/>
      </w:divBdr>
      <w:divsChild>
        <w:div w:id="680014824">
          <w:marLeft w:val="0"/>
          <w:marRight w:val="0"/>
          <w:marTop w:val="0"/>
          <w:marBottom w:val="0"/>
          <w:divBdr>
            <w:top w:val="single" w:sz="2" w:space="0" w:color="auto"/>
            <w:left w:val="single" w:sz="2" w:space="0" w:color="auto"/>
            <w:bottom w:val="single" w:sz="2" w:space="0" w:color="auto"/>
            <w:right w:val="single" w:sz="2" w:space="0" w:color="auto"/>
          </w:divBdr>
          <w:divsChild>
            <w:div w:id="1486777096">
              <w:marLeft w:val="0"/>
              <w:marRight w:val="0"/>
              <w:marTop w:val="0"/>
              <w:marBottom w:val="0"/>
              <w:divBdr>
                <w:top w:val="single" w:sz="2" w:space="0" w:color="auto"/>
                <w:left w:val="single" w:sz="2" w:space="0" w:color="auto"/>
                <w:bottom w:val="single" w:sz="2" w:space="31" w:color="auto"/>
                <w:right w:val="single" w:sz="2" w:space="0" w:color="auto"/>
              </w:divBdr>
              <w:divsChild>
                <w:div w:id="792820750">
                  <w:marLeft w:val="0"/>
                  <w:marRight w:val="0"/>
                  <w:marTop w:val="0"/>
                  <w:marBottom w:val="0"/>
                  <w:divBdr>
                    <w:top w:val="single" w:sz="2" w:space="0" w:color="auto"/>
                    <w:left w:val="single" w:sz="2" w:space="0" w:color="auto"/>
                    <w:bottom w:val="single" w:sz="2" w:space="0" w:color="auto"/>
                    <w:right w:val="single" w:sz="2" w:space="0" w:color="auto"/>
                  </w:divBdr>
                  <w:divsChild>
                    <w:div w:id="942298539">
                      <w:marLeft w:val="0"/>
                      <w:marRight w:val="0"/>
                      <w:marTop w:val="0"/>
                      <w:marBottom w:val="0"/>
                      <w:divBdr>
                        <w:top w:val="single" w:sz="6" w:space="0" w:color="auto"/>
                        <w:left w:val="single" w:sz="6" w:space="0" w:color="auto"/>
                        <w:bottom w:val="single" w:sz="6" w:space="0" w:color="auto"/>
                        <w:right w:val="single" w:sz="6" w:space="0" w:color="auto"/>
                      </w:divBdr>
                      <w:divsChild>
                        <w:div w:id="42415232">
                          <w:marLeft w:val="0"/>
                          <w:marRight w:val="0"/>
                          <w:marTop w:val="0"/>
                          <w:marBottom w:val="0"/>
                          <w:divBdr>
                            <w:top w:val="single" w:sz="2" w:space="0" w:color="auto"/>
                            <w:left w:val="single" w:sz="2" w:space="0" w:color="auto"/>
                            <w:bottom w:val="single" w:sz="2" w:space="0" w:color="auto"/>
                            <w:right w:val="single" w:sz="2" w:space="0" w:color="auto"/>
                          </w:divBdr>
                          <w:divsChild>
                            <w:div w:id="1712920852">
                              <w:marLeft w:val="0"/>
                              <w:marRight w:val="0"/>
                              <w:marTop w:val="0"/>
                              <w:marBottom w:val="0"/>
                              <w:divBdr>
                                <w:top w:val="single" w:sz="2" w:space="0" w:color="auto"/>
                                <w:left w:val="single" w:sz="2" w:space="0" w:color="auto"/>
                                <w:bottom w:val="single" w:sz="2" w:space="0" w:color="auto"/>
                                <w:right w:val="single" w:sz="2" w:space="0" w:color="auto"/>
                              </w:divBdr>
                            </w:div>
                            <w:div w:id="371151476">
                              <w:marLeft w:val="0"/>
                              <w:marRight w:val="0"/>
                              <w:marTop w:val="0"/>
                              <w:marBottom w:val="0"/>
                              <w:divBdr>
                                <w:top w:val="single" w:sz="2" w:space="0" w:color="auto"/>
                                <w:left w:val="single" w:sz="2" w:space="0" w:color="auto"/>
                                <w:bottom w:val="single" w:sz="2" w:space="0" w:color="auto"/>
                                <w:right w:val="single" w:sz="2" w:space="0" w:color="auto"/>
                              </w:divBdr>
                            </w:div>
                            <w:div w:id="15171092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40340734">
      <w:bodyDiv w:val="1"/>
      <w:marLeft w:val="0"/>
      <w:marRight w:val="0"/>
      <w:marTop w:val="0"/>
      <w:marBottom w:val="0"/>
      <w:divBdr>
        <w:top w:val="none" w:sz="0" w:space="0" w:color="auto"/>
        <w:left w:val="none" w:sz="0" w:space="0" w:color="auto"/>
        <w:bottom w:val="none" w:sz="0" w:space="0" w:color="auto"/>
        <w:right w:val="none" w:sz="0" w:space="0" w:color="auto"/>
      </w:divBdr>
      <w:divsChild>
        <w:div w:id="1332180067">
          <w:marLeft w:val="360"/>
          <w:marRight w:val="0"/>
          <w:marTop w:val="120"/>
          <w:marBottom w:val="0"/>
          <w:divBdr>
            <w:top w:val="none" w:sz="0" w:space="0" w:color="auto"/>
            <w:left w:val="none" w:sz="0" w:space="0" w:color="auto"/>
            <w:bottom w:val="none" w:sz="0" w:space="0" w:color="auto"/>
            <w:right w:val="none" w:sz="0" w:space="0" w:color="auto"/>
          </w:divBdr>
        </w:div>
        <w:div w:id="1522737643">
          <w:marLeft w:val="360"/>
          <w:marRight w:val="0"/>
          <w:marTop w:val="120"/>
          <w:marBottom w:val="0"/>
          <w:divBdr>
            <w:top w:val="none" w:sz="0" w:space="0" w:color="auto"/>
            <w:left w:val="none" w:sz="0" w:space="0" w:color="auto"/>
            <w:bottom w:val="none" w:sz="0" w:space="0" w:color="auto"/>
            <w:right w:val="none" w:sz="0" w:space="0" w:color="auto"/>
          </w:divBdr>
        </w:div>
        <w:div w:id="1178931092">
          <w:marLeft w:val="360"/>
          <w:marRight w:val="0"/>
          <w:marTop w:val="120"/>
          <w:marBottom w:val="0"/>
          <w:divBdr>
            <w:top w:val="none" w:sz="0" w:space="0" w:color="auto"/>
            <w:left w:val="none" w:sz="0" w:space="0" w:color="auto"/>
            <w:bottom w:val="none" w:sz="0" w:space="0" w:color="auto"/>
            <w:right w:val="none" w:sz="0" w:space="0" w:color="auto"/>
          </w:divBdr>
        </w:div>
        <w:div w:id="1483036304">
          <w:marLeft w:val="1080"/>
          <w:marRight w:val="0"/>
          <w:marTop w:val="120"/>
          <w:marBottom w:val="0"/>
          <w:divBdr>
            <w:top w:val="none" w:sz="0" w:space="0" w:color="auto"/>
            <w:left w:val="none" w:sz="0" w:space="0" w:color="auto"/>
            <w:bottom w:val="none" w:sz="0" w:space="0" w:color="auto"/>
            <w:right w:val="none" w:sz="0" w:space="0" w:color="auto"/>
          </w:divBdr>
        </w:div>
      </w:divsChild>
    </w:div>
    <w:div w:id="1873027937">
      <w:bodyDiv w:val="1"/>
      <w:marLeft w:val="0"/>
      <w:marRight w:val="0"/>
      <w:marTop w:val="0"/>
      <w:marBottom w:val="0"/>
      <w:divBdr>
        <w:top w:val="none" w:sz="0" w:space="0" w:color="auto"/>
        <w:left w:val="none" w:sz="0" w:space="0" w:color="auto"/>
        <w:bottom w:val="none" w:sz="0" w:space="0" w:color="auto"/>
        <w:right w:val="none" w:sz="0" w:space="0" w:color="auto"/>
      </w:divBdr>
    </w:div>
    <w:div w:id="1884174821">
      <w:bodyDiv w:val="1"/>
      <w:marLeft w:val="0"/>
      <w:marRight w:val="0"/>
      <w:marTop w:val="0"/>
      <w:marBottom w:val="0"/>
      <w:divBdr>
        <w:top w:val="none" w:sz="0" w:space="0" w:color="auto"/>
        <w:left w:val="none" w:sz="0" w:space="0" w:color="auto"/>
        <w:bottom w:val="none" w:sz="0" w:space="0" w:color="auto"/>
        <w:right w:val="none" w:sz="0" w:space="0" w:color="auto"/>
      </w:divBdr>
    </w:div>
    <w:div w:id="1902476960">
      <w:bodyDiv w:val="1"/>
      <w:marLeft w:val="0"/>
      <w:marRight w:val="0"/>
      <w:marTop w:val="0"/>
      <w:marBottom w:val="0"/>
      <w:divBdr>
        <w:top w:val="none" w:sz="0" w:space="0" w:color="auto"/>
        <w:left w:val="none" w:sz="0" w:space="0" w:color="auto"/>
        <w:bottom w:val="none" w:sz="0" w:space="0" w:color="auto"/>
        <w:right w:val="none" w:sz="0" w:space="0" w:color="auto"/>
      </w:divBdr>
      <w:divsChild>
        <w:div w:id="77605223">
          <w:marLeft w:val="0"/>
          <w:marRight w:val="0"/>
          <w:marTop w:val="400"/>
          <w:marBottom w:val="400"/>
          <w:divBdr>
            <w:top w:val="none" w:sz="0" w:space="0" w:color="auto"/>
            <w:left w:val="none" w:sz="0" w:space="0" w:color="auto"/>
            <w:bottom w:val="none" w:sz="0" w:space="0" w:color="auto"/>
            <w:right w:val="none" w:sz="0" w:space="0" w:color="auto"/>
          </w:divBdr>
        </w:div>
        <w:div w:id="1578978235">
          <w:marLeft w:val="0"/>
          <w:marRight w:val="0"/>
          <w:marTop w:val="400"/>
          <w:marBottom w:val="400"/>
          <w:divBdr>
            <w:top w:val="none" w:sz="0" w:space="0" w:color="auto"/>
            <w:left w:val="none" w:sz="0" w:space="0" w:color="auto"/>
            <w:bottom w:val="none" w:sz="0" w:space="0" w:color="auto"/>
            <w:right w:val="none" w:sz="0" w:space="0" w:color="auto"/>
          </w:divBdr>
        </w:div>
      </w:divsChild>
    </w:div>
    <w:div w:id="1920795981">
      <w:bodyDiv w:val="1"/>
      <w:marLeft w:val="0"/>
      <w:marRight w:val="0"/>
      <w:marTop w:val="0"/>
      <w:marBottom w:val="0"/>
      <w:divBdr>
        <w:top w:val="none" w:sz="0" w:space="0" w:color="auto"/>
        <w:left w:val="none" w:sz="0" w:space="0" w:color="auto"/>
        <w:bottom w:val="none" w:sz="0" w:space="0" w:color="auto"/>
        <w:right w:val="none" w:sz="0" w:space="0" w:color="auto"/>
      </w:divBdr>
    </w:div>
    <w:div w:id="1922372776">
      <w:bodyDiv w:val="1"/>
      <w:marLeft w:val="0"/>
      <w:marRight w:val="0"/>
      <w:marTop w:val="0"/>
      <w:marBottom w:val="0"/>
      <w:divBdr>
        <w:top w:val="none" w:sz="0" w:space="0" w:color="auto"/>
        <w:left w:val="none" w:sz="0" w:space="0" w:color="auto"/>
        <w:bottom w:val="none" w:sz="0" w:space="0" w:color="auto"/>
        <w:right w:val="none" w:sz="0" w:space="0" w:color="auto"/>
      </w:divBdr>
    </w:div>
    <w:div w:id="1938101033">
      <w:bodyDiv w:val="1"/>
      <w:marLeft w:val="0"/>
      <w:marRight w:val="0"/>
      <w:marTop w:val="0"/>
      <w:marBottom w:val="0"/>
      <w:divBdr>
        <w:top w:val="none" w:sz="0" w:space="0" w:color="auto"/>
        <w:left w:val="none" w:sz="0" w:space="0" w:color="auto"/>
        <w:bottom w:val="none" w:sz="0" w:space="0" w:color="auto"/>
        <w:right w:val="none" w:sz="0" w:space="0" w:color="auto"/>
      </w:divBdr>
    </w:div>
    <w:div w:id="1969049837">
      <w:bodyDiv w:val="1"/>
      <w:marLeft w:val="0"/>
      <w:marRight w:val="0"/>
      <w:marTop w:val="0"/>
      <w:marBottom w:val="0"/>
      <w:divBdr>
        <w:top w:val="none" w:sz="0" w:space="0" w:color="auto"/>
        <w:left w:val="none" w:sz="0" w:space="0" w:color="auto"/>
        <w:bottom w:val="none" w:sz="0" w:space="0" w:color="auto"/>
        <w:right w:val="none" w:sz="0" w:space="0" w:color="auto"/>
      </w:divBdr>
    </w:div>
    <w:div w:id="1975521790">
      <w:bodyDiv w:val="1"/>
      <w:marLeft w:val="0"/>
      <w:marRight w:val="0"/>
      <w:marTop w:val="0"/>
      <w:marBottom w:val="0"/>
      <w:divBdr>
        <w:top w:val="none" w:sz="0" w:space="0" w:color="auto"/>
        <w:left w:val="none" w:sz="0" w:space="0" w:color="auto"/>
        <w:bottom w:val="none" w:sz="0" w:space="0" w:color="auto"/>
        <w:right w:val="none" w:sz="0" w:space="0" w:color="auto"/>
      </w:divBdr>
      <w:divsChild>
        <w:div w:id="1745250815">
          <w:marLeft w:val="1080"/>
          <w:marRight w:val="0"/>
          <w:marTop w:val="120"/>
          <w:marBottom w:val="0"/>
          <w:divBdr>
            <w:top w:val="none" w:sz="0" w:space="0" w:color="auto"/>
            <w:left w:val="none" w:sz="0" w:space="0" w:color="auto"/>
            <w:bottom w:val="none" w:sz="0" w:space="0" w:color="auto"/>
            <w:right w:val="none" w:sz="0" w:space="0" w:color="auto"/>
          </w:divBdr>
        </w:div>
      </w:divsChild>
    </w:div>
    <w:div w:id="1978293452">
      <w:bodyDiv w:val="1"/>
      <w:marLeft w:val="0"/>
      <w:marRight w:val="0"/>
      <w:marTop w:val="0"/>
      <w:marBottom w:val="0"/>
      <w:divBdr>
        <w:top w:val="none" w:sz="0" w:space="0" w:color="auto"/>
        <w:left w:val="none" w:sz="0" w:space="0" w:color="auto"/>
        <w:bottom w:val="none" w:sz="0" w:space="0" w:color="auto"/>
        <w:right w:val="none" w:sz="0" w:space="0" w:color="auto"/>
      </w:divBdr>
    </w:div>
    <w:div w:id="1985890131">
      <w:bodyDiv w:val="1"/>
      <w:marLeft w:val="0"/>
      <w:marRight w:val="0"/>
      <w:marTop w:val="0"/>
      <w:marBottom w:val="0"/>
      <w:divBdr>
        <w:top w:val="none" w:sz="0" w:space="0" w:color="auto"/>
        <w:left w:val="none" w:sz="0" w:space="0" w:color="auto"/>
        <w:bottom w:val="none" w:sz="0" w:space="0" w:color="auto"/>
        <w:right w:val="none" w:sz="0" w:space="0" w:color="auto"/>
      </w:divBdr>
    </w:div>
    <w:div w:id="1987126309">
      <w:bodyDiv w:val="1"/>
      <w:marLeft w:val="0"/>
      <w:marRight w:val="0"/>
      <w:marTop w:val="0"/>
      <w:marBottom w:val="0"/>
      <w:divBdr>
        <w:top w:val="none" w:sz="0" w:space="0" w:color="auto"/>
        <w:left w:val="none" w:sz="0" w:space="0" w:color="auto"/>
        <w:bottom w:val="none" w:sz="0" w:space="0" w:color="auto"/>
        <w:right w:val="none" w:sz="0" w:space="0" w:color="auto"/>
      </w:divBdr>
    </w:div>
    <w:div w:id="1995794884">
      <w:bodyDiv w:val="1"/>
      <w:marLeft w:val="0"/>
      <w:marRight w:val="0"/>
      <w:marTop w:val="0"/>
      <w:marBottom w:val="0"/>
      <w:divBdr>
        <w:top w:val="none" w:sz="0" w:space="0" w:color="auto"/>
        <w:left w:val="none" w:sz="0" w:space="0" w:color="auto"/>
        <w:bottom w:val="none" w:sz="0" w:space="0" w:color="auto"/>
        <w:right w:val="none" w:sz="0" w:space="0" w:color="auto"/>
      </w:divBdr>
      <w:divsChild>
        <w:div w:id="360477016">
          <w:marLeft w:val="360"/>
          <w:marRight w:val="0"/>
          <w:marTop w:val="120"/>
          <w:marBottom w:val="0"/>
          <w:divBdr>
            <w:top w:val="none" w:sz="0" w:space="0" w:color="auto"/>
            <w:left w:val="none" w:sz="0" w:space="0" w:color="auto"/>
            <w:bottom w:val="none" w:sz="0" w:space="0" w:color="auto"/>
            <w:right w:val="none" w:sz="0" w:space="0" w:color="auto"/>
          </w:divBdr>
        </w:div>
      </w:divsChild>
    </w:div>
    <w:div w:id="2012676574">
      <w:bodyDiv w:val="1"/>
      <w:marLeft w:val="0"/>
      <w:marRight w:val="0"/>
      <w:marTop w:val="0"/>
      <w:marBottom w:val="0"/>
      <w:divBdr>
        <w:top w:val="none" w:sz="0" w:space="0" w:color="auto"/>
        <w:left w:val="none" w:sz="0" w:space="0" w:color="auto"/>
        <w:bottom w:val="none" w:sz="0" w:space="0" w:color="auto"/>
        <w:right w:val="none" w:sz="0" w:space="0" w:color="auto"/>
      </w:divBdr>
    </w:div>
    <w:div w:id="2015641671">
      <w:bodyDiv w:val="1"/>
      <w:marLeft w:val="0"/>
      <w:marRight w:val="0"/>
      <w:marTop w:val="0"/>
      <w:marBottom w:val="0"/>
      <w:divBdr>
        <w:top w:val="none" w:sz="0" w:space="0" w:color="auto"/>
        <w:left w:val="none" w:sz="0" w:space="0" w:color="auto"/>
        <w:bottom w:val="none" w:sz="0" w:space="0" w:color="auto"/>
        <w:right w:val="none" w:sz="0" w:space="0" w:color="auto"/>
      </w:divBdr>
      <w:divsChild>
        <w:div w:id="1511989373">
          <w:marLeft w:val="0"/>
          <w:marRight w:val="0"/>
          <w:marTop w:val="0"/>
          <w:marBottom w:val="0"/>
          <w:divBdr>
            <w:top w:val="none" w:sz="0" w:space="0" w:color="auto"/>
            <w:left w:val="none" w:sz="0" w:space="0" w:color="auto"/>
            <w:bottom w:val="none" w:sz="0" w:space="0" w:color="auto"/>
            <w:right w:val="none" w:sz="0" w:space="0" w:color="auto"/>
          </w:divBdr>
          <w:divsChild>
            <w:div w:id="1212184637">
              <w:marLeft w:val="0"/>
              <w:marRight w:val="0"/>
              <w:marTop w:val="0"/>
              <w:marBottom w:val="0"/>
              <w:divBdr>
                <w:top w:val="none" w:sz="0" w:space="0" w:color="auto"/>
                <w:left w:val="none" w:sz="0" w:space="0" w:color="auto"/>
                <w:bottom w:val="none" w:sz="0" w:space="0" w:color="auto"/>
                <w:right w:val="none" w:sz="0" w:space="0" w:color="auto"/>
              </w:divBdr>
              <w:divsChild>
                <w:div w:id="791636948">
                  <w:marLeft w:val="0"/>
                  <w:marRight w:val="0"/>
                  <w:marTop w:val="0"/>
                  <w:marBottom w:val="0"/>
                  <w:divBdr>
                    <w:top w:val="none" w:sz="0" w:space="0" w:color="auto"/>
                    <w:left w:val="none" w:sz="0" w:space="0" w:color="auto"/>
                    <w:bottom w:val="none" w:sz="0" w:space="0" w:color="auto"/>
                    <w:right w:val="none" w:sz="0" w:space="0" w:color="auto"/>
                  </w:divBdr>
                  <w:divsChild>
                    <w:div w:id="154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3070">
      <w:bodyDiv w:val="1"/>
      <w:marLeft w:val="0"/>
      <w:marRight w:val="0"/>
      <w:marTop w:val="0"/>
      <w:marBottom w:val="0"/>
      <w:divBdr>
        <w:top w:val="none" w:sz="0" w:space="0" w:color="auto"/>
        <w:left w:val="none" w:sz="0" w:space="0" w:color="auto"/>
        <w:bottom w:val="none" w:sz="0" w:space="0" w:color="auto"/>
        <w:right w:val="none" w:sz="0" w:space="0" w:color="auto"/>
      </w:divBdr>
      <w:divsChild>
        <w:div w:id="968897633">
          <w:marLeft w:val="0"/>
          <w:marRight w:val="0"/>
          <w:marTop w:val="0"/>
          <w:marBottom w:val="0"/>
          <w:divBdr>
            <w:top w:val="single" w:sz="2" w:space="0" w:color="auto"/>
            <w:left w:val="single" w:sz="2" w:space="0" w:color="auto"/>
            <w:bottom w:val="single" w:sz="2" w:space="0" w:color="auto"/>
            <w:right w:val="single" w:sz="2" w:space="0" w:color="auto"/>
          </w:divBdr>
          <w:divsChild>
            <w:div w:id="1762217624">
              <w:marLeft w:val="0"/>
              <w:marRight w:val="0"/>
              <w:marTop w:val="0"/>
              <w:marBottom w:val="0"/>
              <w:divBdr>
                <w:top w:val="single" w:sz="2" w:space="0" w:color="auto"/>
                <w:left w:val="single" w:sz="2" w:space="0" w:color="auto"/>
                <w:bottom w:val="single" w:sz="2" w:space="31" w:color="auto"/>
                <w:right w:val="single" w:sz="2" w:space="0" w:color="auto"/>
              </w:divBdr>
              <w:divsChild>
                <w:div w:id="363406074">
                  <w:marLeft w:val="0"/>
                  <w:marRight w:val="0"/>
                  <w:marTop w:val="0"/>
                  <w:marBottom w:val="0"/>
                  <w:divBdr>
                    <w:top w:val="single" w:sz="2" w:space="0" w:color="auto"/>
                    <w:left w:val="single" w:sz="2" w:space="0" w:color="auto"/>
                    <w:bottom w:val="single" w:sz="2" w:space="0" w:color="auto"/>
                    <w:right w:val="single" w:sz="2" w:space="0" w:color="auto"/>
                  </w:divBdr>
                  <w:divsChild>
                    <w:div w:id="1048186388">
                      <w:marLeft w:val="0"/>
                      <w:marRight w:val="0"/>
                      <w:marTop w:val="0"/>
                      <w:marBottom w:val="0"/>
                      <w:divBdr>
                        <w:top w:val="single" w:sz="6" w:space="0" w:color="auto"/>
                        <w:left w:val="single" w:sz="6" w:space="0" w:color="auto"/>
                        <w:bottom w:val="single" w:sz="6" w:space="0" w:color="auto"/>
                        <w:right w:val="single" w:sz="6" w:space="0" w:color="auto"/>
                      </w:divBdr>
                      <w:divsChild>
                        <w:div w:id="849875090">
                          <w:marLeft w:val="0"/>
                          <w:marRight w:val="0"/>
                          <w:marTop w:val="0"/>
                          <w:marBottom w:val="0"/>
                          <w:divBdr>
                            <w:top w:val="single" w:sz="2" w:space="0" w:color="auto"/>
                            <w:left w:val="single" w:sz="2" w:space="0" w:color="auto"/>
                            <w:bottom w:val="single" w:sz="2" w:space="0" w:color="auto"/>
                            <w:right w:val="single" w:sz="2" w:space="0" w:color="auto"/>
                          </w:divBdr>
                          <w:divsChild>
                            <w:div w:id="5376686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65253336">
      <w:bodyDiv w:val="1"/>
      <w:marLeft w:val="0"/>
      <w:marRight w:val="0"/>
      <w:marTop w:val="0"/>
      <w:marBottom w:val="0"/>
      <w:divBdr>
        <w:top w:val="none" w:sz="0" w:space="0" w:color="auto"/>
        <w:left w:val="none" w:sz="0" w:space="0" w:color="auto"/>
        <w:bottom w:val="none" w:sz="0" w:space="0" w:color="auto"/>
        <w:right w:val="none" w:sz="0" w:space="0" w:color="auto"/>
      </w:divBdr>
      <w:divsChild>
        <w:div w:id="1045912173">
          <w:marLeft w:val="360"/>
          <w:marRight w:val="0"/>
          <w:marTop w:val="120"/>
          <w:marBottom w:val="0"/>
          <w:divBdr>
            <w:top w:val="none" w:sz="0" w:space="0" w:color="auto"/>
            <w:left w:val="none" w:sz="0" w:space="0" w:color="auto"/>
            <w:bottom w:val="none" w:sz="0" w:space="0" w:color="auto"/>
            <w:right w:val="none" w:sz="0" w:space="0" w:color="auto"/>
          </w:divBdr>
        </w:div>
        <w:div w:id="916984333">
          <w:marLeft w:val="1080"/>
          <w:marRight w:val="0"/>
          <w:marTop w:val="120"/>
          <w:marBottom w:val="0"/>
          <w:divBdr>
            <w:top w:val="none" w:sz="0" w:space="0" w:color="auto"/>
            <w:left w:val="none" w:sz="0" w:space="0" w:color="auto"/>
            <w:bottom w:val="none" w:sz="0" w:space="0" w:color="auto"/>
            <w:right w:val="none" w:sz="0" w:space="0" w:color="auto"/>
          </w:divBdr>
        </w:div>
        <w:div w:id="410084202">
          <w:marLeft w:val="1080"/>
          <w:marRight w:val="0"/>
          <w:marTop w:val="120"/>
          <w:marBottom w:val="0"/>
          <w:divBdr>
            <w:top w:val="none" w:sz="0" w:space="0" w:color="auto"/>
            <w:left w:val="none" w:sz="0" w:space="0" w:color="auto"/>
            <w:bottom w:val="none" w:sz="0" w:space="0" w:color="auto"/>
            <w:right w:val="none" w:sz="0" w:space="0" w:color="auto"/>
          </w:divBdr>
        </w:div>
      </w:divsChild>
    </w:div>
    <w:div w:id="2076275466">
      <w:bodyDiv w:val="1"/>
      <w:marLeft w:val="0"/>
      <w:marRight w:val="0"/>
      <w:marTop w:val="0"/>
      <w:marBottom w:val="0"/>
      <w:divBdr>
        <w:top w:val="none" w:sz="0" w:space="0" w:color="auto"/>
        <w:left w:val="none" w:sz="0" w:space="0" w:color="auto"/>
        <w:bottom w:val="none" w:sz="0" w:space="0" w:color="auto"/>
        <w:right w:val="none" w:sz="0" w:space="0" w:color="auto"/>
      </w:divBdr>
    </w:div>
    <w:div w:id="2079941014">
      <w:bodyDiv w:val="1"/>
      <w:marLeft w:val="0"/>
      <w:marRight w:val="0"/>
      <w:marTop w:val="0"/>
      <w:marBottom w:val="0"/>
      <w:divBdr>
        <w:top w:val="none" w:sz="0" w:space="0" w:color="auto"/>
        <w:left w:val="none" w:sz="0" w:space="0" w:color="auto"/>
        <w:bottom w:val="none" w:sz="0" w:space="0" w:color="auto"/>
        <w:right w:val="none" w:sz="0" w:space="0" w:color="auto"/>
      </w:divBdr>
    </w:div>
    <w:div w:id="2100061097">
      <w:bodyDiv w:val="1"/>
      <w:marLeft w:val="0"/>
      <w:marRight w:val="0"/>
      <w:marTop w:val="0"/>
      <w:marBottom w:val="0"/>
      <w:divBdr>
        <w:top w:val="none" w:sz="0" w:space="0" w:color="auto"/>
        <w:left w:val="none" w:sz="0" w:space="0" w:color="auto"/>
        <w:bottom w:val="none" w:sz="0" w:space="0" w:color="auto"/>
        <w:right w:val="none" w:sz="0" w:space="0" w:color="auto"/>
      </w:divBdr>
    </w:div>
    <w:div w:id="2103869016">
      <w:bodyDiv w:val="1"/>
      <w:marLeft w:val="0"/>
      <w:marRight w:val="0"/>
      <w:marTop w:val="0"/>
      <w:marBottom w:val="0"/>
      <w:divBdr>
        <w:top w:val="none" w:sz="0" w:space="0" w:color="auto"/>
        <w:left w:val="none" w:sz="0" w:space="0" w:color="auto"/>
        <w:bottom w:val="none" w:sz="0" w:space="0" w:color="auto"/>
        <w:right w:val="none" w:sz="0" w:space="0" w:color="auto"/>
      </w:divBdr>
    </w:div>
    <w:div w:id="2136170235">
      <w:bodyDiv w:val="1"/>
      <w:marLeft w:val="0"/>
      <w:marRight w:val="0"/>
      <w:marTop w:val="0"/>
      <w:marBottom w:val="0"/>
      <w:divBdr>
        <w:top w:val="none" w:sz="0" w:space="0" w:color="auto"/>
        <w:left w:val="none" w:sz="0" w:space="0" w:color="auto"/>
        <w:bottom w:val="none" w:sz="0" w:space="0" w:color="auto"/>
        <w:right w:val="none" w:sz="0" w:space="0" w:color="auto"/>
      </w:divBdr>
      <w:divsChild>
        <w:div w:id="499269603">
          <w:marLeft w:val="0"/>
          <w:marRight w:val="0"/>
          <w:marTop w:val="0"/>
          <w:marBottom w:val="0"/>
          <w:divBdr>
            <w:top w:val="single" w:sz="2" w:space="0" w:color="auto"/>
            <w:left w:val="single" w:sz="2" w:space="0" w:color="auto"/>
            <w:bottom w:val="single" w:sz="2" w:space="0" w:color="auto"/>
            <w:right w:val="single" w:sz="2" w:space="0" w:color="auto"/>
          </w:divBdr>
          <w:divsChild>
            <w:div w:id="1273509485">
              <w:marLeft w:val="0"/>
              <w:marRight w:val="0"/>
              <w:marTop w:val="0"/>
              <w:marBottom w:val="0"/>
              <w:divBdr>
                <w:top w:val="single" w:sz="2" w:space="0" w:color="auto"/>
                <w:left w:val="single" w:sz="2" w:space="0" w:color="auto"/>
                <w:bottom w:val="single" w:sz="2" w:space="31" w:color="auto"/>
                <w:right w:val="single" w:sz="2" w:space="0" w:color="auto"/>
              </w:divBdr>
              <w:divsChild>
                <w:div w:id="1018653592">
                  <w:marLeft w:val="0"/>
                  <w:marRight w:val="0"/>
                  <w:marTop w:val="0"/>
                  <w:marBottom w:val="0"/>
                  <w:divBdr>
                    <w:top w:val="single" w:sz="2" w:space="0" w:color="auto"/>
                    <w:left w:val="single" w:sz="2" w:space="0" w:color="auto"/>
                    <w:bottom w:val="single" w:sz="2" w:space="0" w:color="auto"/>
                    <w:right w:val="single" w:sz="2" w:space="0" w:color="auto"/>
                  </w:divBdr>
                  <w:divsChild>
                    <w:div w:id="318578592">
                      <w:marLeft w:val="0"/>
                      <w:marRight w:val="0"/>
                      <w:marTop w:val="0"/>
                      <w:marBottom w:val="0"/>
                      <w:divBdr>
                        <w:top w:val="single" w:sz="6" w:space="0" w:color="auto"/>
                        <w:left w:val="single" w:sz="6" w:space="0" w:color="auto"/>
                        <w:bottom w:val="single" w:sz="6" w:space="0" w:color="auto"/>
                        <w:right w:val="single" w:sz="6" w:space="0" w:color="auto"/>
                      </w:divBdr>
                      <w:divsChild>
                        <w:div w:id="834610492">
                          <w:marLeft w:val="0"/>
                          <w:marRight w:val="0"/>
                          <w:marTop w:val="0"/>
                          <w:marBottom w:val="0"/>
                          <w:divBdr>
                            <w:top w:val="single" w:sz="2" w:space="0" w:color="auto"/>
                            <w:left w:val="single" w:sz="2" w:space="0" w:color="auto"/>
                            <w:bottom w:val="single" w:sz="2" w:space="0" w:color="auto"/>
                            <w:right w:val="single" w:sz="2" w:space="0" w:color="auto"/>
                          </w:divBdr>
                          <w:divsChild>
                            <w:div w:id="19754783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ED4DC-9F0D-0945-A592-17C50E8F1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16</Pages>
  <Words>2472</Words>
  <Characters>14094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Heo, Gyujin</dc:creator>
  <cp:keywords/>
  <dc:description/>
  <cp:lastModifiedBy>Cruchaga, Carlos</cp:lastModifiedBy>
  <cp:revision>61</cp:revision>
  <cp:lastPrinted>2024-08-06T20:55:00Z</cp:lastPrinted>
  <dcterms:created xsi:type="dcterms:W3CDTF">2024-08-12T15:36:00Z</dcterms:created>
  <dcterms:modified xsi:type="dcterms:W3CDTF">2025-01-18T23:58:00Z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8ac655d271ad0c50253ee223d39953709af9afe52c91faba576ab68de041f339</vt:lpwstr>
  </property>
</Properties>
</file>