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557E31" w14:textId="77777777" w:rsidR="007816C0" w:rsidRPr="007816C0" w:rsidRDefault="007816C0" w:rsidP="00CF05BC">
      <w:pPr>
        <w:widowControl/>
        <w:suppressLineNumbers/>
        <w:spacing w:before="240" w:after="360" w:line="480" w:lineRule="auto"/>
        <w:jc w:val="center"/>
        <w:rPr>
          <w:rFonts w:ascii="Times New Roman" w:eastAsia="宋体" w:hAnsi="Times New Roman" w:cs="Times New Roman"/>
          <w:b/>
          <w:kern w:val="0"/>
          <w:sz w:val="32"/>
          <w:szCs w:val="32"/>
          <w:lang w:eastAsia="en-US"/>
        </w:rPr>
      </w:pPr>
      <w:bookmarkStart w:id="0" w:name="OLE_LINK1"/>
      <w:r w:rsidRPr="007816C0">
        <w:rPr>
          <w:rFonts w:ascii="Times New Roman" w:eastAsia="宋体" w:hAnsi="Times New Roman" w:cs="Times New Roman"/>
          <w:b/>
          <w:kern w:val="0"/>
          <w:sz w:val="32"/>
          <w:szCs w:val="32"/>
          <w:lang w:eastAsia="en-US"/>
        </w:rPr>
        <w:t>Genetic analysis of rice seedling traits related to machine transplanting under different seeding densities</w:t>
      </w:r>
    </w:p>
    <w:bookmarkEnd w:id="0"/>
    <w:p w14:paraId="76D7062C" w14:textId="77777777" w:rsidR="007816C0" w:rsidRPr="007816C0" w:rsidRDefault="007816C0" w:rsidP="00CF05BC">
      <w:pPr>
        <w:widowControl/>
        <w:spacing w:before="240" w:after="240" w:line="480" w:lineRule="auto"/>
        <w:jc w:val="left"/>
        <w:rPr>
          <w:rFonts w:ascii="Times New Roman" w:eastAsia="宋体" w:hAnsi="Times New Roman" w:cs="Times New Roman"/>
          <w:b/>
          <w:kern w:val="0"/>
          <w:sz w:val="24"/>
          <w:szCs w:val="24"/>
          <w:lang w:eastAsia="en-US"/>
        </w:rPr>
      </w:pPr>
      <w:r w:rsidRPr="007816C0">
        <w:rPr>
          <w:rFonts w:ascii="Times New Roman" w:eastAsia="宋体" w:hAnsi="Times New Roman" w:cs="Times New Roman" w:hint="eastAsia"/>
          <w:b/>
          <w:kern w:val="0"/>
          <w:sz w:val="24"/>
          <w:szCs w:val="24"/>
          <w:lang w:eastAsia="en-US"/>
        </w:rPr>
        <w:t>Dan Zhu</w:t>
      </w:r>
      <w:r w:rsidRPr="007816C0">
        <w:rPr>
          <w:rFonts w:ascii="Times New Roman" w:eastAsia="宋体" w:hAnsi="Times New Roman" w:cs="Times New Roman"/>
          <w:b/>
          <w:kern w:val="0"/>
          <w:sz w:val="24"/>
          <w:szCs w:val="24"/>
          <w:lang w:eastAsia="en-US"/>
        </w:rPr>
        <w:t>, Yuping Zhang, Jing Xiang, Yaliang Wang, Defeng Zhu,</w:t>
      </w:r>
      <w:r w:rsidRPr="007816C0">
        <w:rPr>
          <w:rFonts w:ascii="Times New Roman" w:eastAsia="宋体" w:hAnsi="Times New Roman" w:cs="Times New Roman" w:hint="eastAsia"/>
          <w:b/>
          <w:kern w:val="0"/>
          <w:sz w:val="24"/>
          <w:szCs w:val="24"/>
        </w:rPr>
        <w:t xml:space="preserve"> </w:t>
      </w:r>
      <w:r w:rsidRPr="007816C0">
        <w:rPr>
          <w:rFonts w:ascii="Times New Roman" w:eastAsia="宋体" w:hAnsi="Times New Roman" w:cs="Times New Roman"/>
          <w:b/>
          <w:kern w:val="0"/>
          <w:sz w:val="24"/>
          <w:szCs w:val="24"/>
          <w:lang w:eastAsia="en-US"/>
        </w:rPr>
        <w:t>Yikai Zhang</w:t>
      </w:r>
      <w:r w:rsidRPr="007816C0">
        <w:rPr>
          <w:rFonts w:ascii="Times New Roman" w:eastAsia="宋体" w:hAnsi="Times New Roman" w:cs="Times New Roman"/>
          <w:b/>
          <w:kern w:val="0"/>
          <w:sz w:val="24"/>
          <w:szCs w:val="24"/>
          <w:vertAlign w:val="superscript"/>
          <w:lang w:eastAsia="en-US"/>
        </w:rPr>
        <w:t>*</w:t>
      </w:r>
      <w:r w:rsidRPr="007816C0">
        <w:rPr>
          <w:rFonts w:ascii="Times New Roman" w:eastAsia="宋体" w:hAnsi="Times New Roman" w:cs="Times New Roman"/>
          <w:b/>
          <w:kern w:val="0"/>
          <w:sz w:val="24"/>
          <w:szCs w:val="24"/>
          <w:lang w:eastAsia="en-US"/>
        </w:rPr>
        <w:t xml:space="preserve"> and Huizhe Chen</w:t>
      </w:r>
      <w:r w:rsidRPr="007816C0">
        <w:rPr>
          <w:rFonts w:ascii="Times New Roman" w:eastAsia="宋体" w:hAnsi="Times New Roman" w:cs="Times New Roman"/>
          <w:b/>
          <w:kern w:val="0"/>
          <w:sz w:val="24"/>
          <w:szCs w:val="24"/>
          <w:vertAlign w:val="superscript"/>
          <w:lang w:eastAsia="en-US"/>
        </w:rPr>
        <w:t>*</w:t>
      </w:r>
      <w:r w:rsidRPr="007816C0">
        <w:rPr>
          <w:rFonts w:ascii="Times New Roman" w:eastAsia="宋体" w:hAnsi="Times New Roman" w:cs="Times New Roman"/>
          <w:b/>
          <w:kern w:val="0"/>
          <w:sz w:val="24"/>
          <w:szCs w:val="24"/>
          <w:lang w:eastAsia="en-US"/>
        </w:rPr>
        <w:t xml:space="preserve"> </w:t>
      </w:r>
    </w:p>
    <w:p w14:paraId="3214C73D" w14:textId="77777777" w:rsidR="007816C0" w:rsidRPr="007816C0" w:rsidRDefault="007816C0" w:rsidP="00CF05BC">
      <w:pPr>
        <w:widowControl/>
        <w:spacing w:before="240" w:line="480" w:lineRule="auto"/>
        <w:jc w:val="left"/>
        <w:rPr>
          <w:rFonts w:ascii="Times New Roman" w:eastAsia="宋体" w:hAnsi="Times New Roman" w:cs="Times New Roman"/>
          <w:b/>
          <w:kern w:val="0"/>
          <w:sz w:val="24"/>
          <w:szCs w:val="24"/>
          <w:lang w:eastAsia="en-US"/>
        </w:rPr>
      </w:pPr>
      <w:bookmarkStart w:id="1" w:name="_Hlk20855743"/>
      <w:r w:rsidRPr="007816C0">
        <w:rPr>
          <w:rFonts w:ascii="Times New Roman" w:eastAsia="宋体" w:hAnsi="Times New Roman" w:cs="Times New Roman"/>
          <w:kern w:val="0"/>
          <w:sz w:val="24"/>
          <w:szCs w:val="24"/>
          <w:lang w:eastAsia="en-US"/>
        </w:rPr>
        <w:t xml:space="preserve">State Key Laboratory of Rice Biology, </w:t>
      </w:r>
      <w:bookmarkStart w:id="2" w:name="OLE_LINK21"/>
      <w:bookmarkStart w:id="3" w:name="OLE_LINK46"/>
      <w:r w:rsidRPr="007816C0">
        <w:rPr>
          <w:rFonts w:ascii="Times New Roman" w:eastAsia="宋体" w:hAnsi="Times New Roman" w:cs="Times New Roman"/>
          <w:kern w:val="0"/>
          <w:sz w:val="24"/>
          <w:szCs w:val="24"/>
          <w:lang w:eastAsia="en-US"/>
        </w:rPr>
        <w:t>China National Rice Research Institute</w:t>
      </w:r>
      <w:bookmarkEnd w:id="2"/>
      <w:bookmarkEnd w:id="3"/>
      <w:r w:rsidRPr="007816C0">
        <w:rPr>
          <w:rFonts w:ascii="Times New Roman" w:eastAsia="宋体" w:hAnsi="Times New Roman" w:cs="Times New Roman"/>
          <w:kern w:val="0"/>
          <w:sz w:val="24"/>
          <w:szCs w:val="24"/>
          <w:lang w:eastAsia="en-US"/>
        </w:rPr>
        <w:t>, Hangzhou, China</w:t>
      </w:r>
    </w:p>
    <w:bookmarkEnd w:id="1"/>
    <w:p w14:paraId="523B7327" w14:textId="299E0A53" w:rsidR="00112A3C" w:rsidRPr="00112A3C" w:rsidRDefault="007816C0" w:rsidP="00CF05BC">
      <w:pPr>
        <w:widowControl/>
        <w:spacing w:before="240" w:line="480" w:lineRule="auto"/>
        <w:jc w:val="left"/>
        <w:rPr>
          <w:rFonts w:ascii="Times New Roman" w:eastAsia="宋体" w:hAnsi="Times New Roman" w:cs="Times New Roman"/>
          <w:color w:val="0000FF"/>
          <w:kern w:val="0"/>
          <w:sz w:val="24"/>
          <w:szCs w:val="24"/>
          <w:u w:val="single"/>
          <w:lang w:eastAsia="en-US"/>
        </w:rPr>
      </w:pPr>
      <w:r w:rsidRPr="007816C0">
        <w:rPr>
          <w:rFonts w:ascii="Times New Roman" w:eastAsia="宋体" w:hAnsi="Times New Roman" w:cs="Times New Roman"/>
          <w:b/>
          <w:kern w:val="0"/>
          <w:sz w:val="24"/>
          <w:szCs w:val="24"/>
          <w:lang w:eastAsia="en-US"/>
        </w:rPr>
        <w:t xml:space="preserve">* Correspondence: </w:t>
      </w:r>
      <w:r w:rsidRPr="007816C0">
        <w:rPr>
          <w:rFonts w:ascii="Times New Roman" w:eastAsia="宋体" w:hAnsi="Times New Roman" w:cs="Times New Roman"/>
          <w:b/>
          <w:kern w:val="0"/>
          <w:sz w:val="24"/>
          <w:szCs w:val="24"/>
          <w:lang w:eastAsia="en-US"/>
        </w:rPr>
        <w:br/>
      </w:r>
      <w:r w:rsidR="00FF7101" w:rsidRPr="00FF7101">
        <w:rPr>
          <w:rFonts w:ascii="Times New Roman" w:eastAsia="宋体" w:hAnsi="Times New Roman" w:cs="Times New Roman"/>
          <w:kern w:val="0"/>
          <w:sz w:val="24"/>
          <w:lang w:eastAsia="en-US"/>
        </w:rPr>
        <w:t>Huizhe Chen: chenhuizhe@163.com</w:t>
      </w:r>
      <w:r w:rsidR="00112A3C">
        <w:rPr>
          <w:rFonts w:ascii="Times New Roman" w:eastAsia="宋体" w:hAnsi="Times New Roman" w:cs="Times New Roman"/>
          <w:color w:val="0000FF"/>
          <w:kern w:val="0"/>
          <w:sz w:val="24"/>
          <w:szCs w:val="24"/>
          <w:lang w:eastAsia="en-US"/>
        </w:rPr>
        <w:br w:type="page"/>
      </w:r>
    </w:p>
    <w:p w14:paraId="6A496645" w14:textId="77777777" w:rsidR="00DC6281" w:rsidRPr="00DC6281" w:rsidRDefault="00DC6281" w:rsidP="00CF05BC">
      <w:pPr>
        <w:spacing w:line="480" w:lineRule="auto"/>
        <w:rPr>
          <w:rFonts w:ascii="Times New Roman" w:hAnsi="Times New Roman" w:cs="Times New Roman"/>
          <w:b/>
          <w:bCs/>
          <w:sz w:val="24"/>
          <w:szCs w:val="24"/>
        </w:rPr>
      </w:pPr>
      <w:r w:rsidRPr="00DC6281">
        <w:rPr>
          <w:rFonts w:ascii="Times New Roman" w:hAnsi="Times New Roman" w:cs="Times New Roman"/>
          <w:b/>
          <w:bCs/>
          <w:sz w:val="24"/>
          <w:szCs w:val="24"/>
        </w:rPr>
        <w:lastRenderedPageBreak/>
        <w:t>Additional file 1</w:t>
      </w:r>
    </w:p>
    <w:p w14:paraId="02EC1E84" w14:textId="77777777" w:rsidR="00DC6281" w:rsidRDefault="00DC6281" w:rsidP="00CF05BC">
      <w:pPr>
        <w:spacing w:line="480" w:lineRule="auto"/>
        <w:rPr>
          <w:rFonts w:cs="Times New Roman"/>
          <w:szCs w:val="24"/>
        </w:rPr>
      </w:pPr>
    </w:p>
    <w:p w14:paraId="034F95C2" w14:textId="77777777" w:rsidR="00DC6281" w:rsidRPr="00DC6281" w:rsidRDefault="00DC6281" w:rsidP="00CF05BC">
      <w:pPr>
        <w:widowControl/>
        <w:spacing w:before="120" w:after="240" w:line="480" w:lineRule="auto"/>
        <w:rPr>
          <w:rFonts w:ascii="Times New Roman" w:eastAsia="宋体" w:hAnsi="Times New Roman" w:cs="Times New Roman"/>
          <w:kern w:val="0"/>
          <w:sz w:val="24"/>
          <w:szCs w:val="24"/>
          <w:lang w:eastAsia="en-US"/>
        </w:rPr>
      </w:pPr>
      <w:r w:rsidRPr="00DC6281">
        <w:rPr>
          <w:rFonts w:ascii="Times New Roman" w:eastAsia="宋体" w:hAnsi="Times New Roman" w:cs="Times New Roman"/>
          <w:b/>
          <w:bCs/>
          <w:kern w:val="0"/>
          <w:sz w:val="24"/>
          <w:szCs w:val="24"/>
          <w:lang w:eastAsia="en-US"/>
        </w:rPr>
        <w:t>Table S1. Genotypes for all 2778 bins for the 213 RILs from the 9311/Nipponbare cross based on high quality SNPs.</w:t>
      </w:r>
      <w:r w:rsidRPr="00DC6281">
        <w:rPr>
          <w:rFonts w:ascii="Times New Roman" w:eastAsia="宋体" w:hAnsi="Times New Roman" w:cs="Times New Roman"/>
          <w:kern w:val="0"/>
          <w:sz w:val="24"/>
          <w:szCs w:val="24"/>
          <w:lang w:eastAsia="en-US"/>
        </w:rPr>
        <w:t xml:space="preserve"> AA, Nipponbare genotype; BB, 9311 </w:t>
      </w:r>
      <w:proofErr w:type="gramStart"/>
      <w:r w:rsidRPr="00DC6281">
        <w:rPr>
          <w:rFonts w:ascii="Times New Roman" w:eastAsia="宋体" w:hAnsi="Times New Roman" w:cs="Times New Roman"/>
          <w:kern w:val="0"/>
          <w:sz w:val="24"/>
          <w:szCs w:val="24"/>
          <w:lang w:eastAsia="en-US"/>
        </w:rPr>
        <w:t>genotype</w:t>
      </w:r>
      <w:proofErr w:type="gramEnd"/>
      <w:r w:rsidRPr="00DC6281">
        <w:rPr>
          <w:rFonts w:ascii="Times New Roman" w:eastAsia="宋体" w:hAnsi="Times New Roman" w:cs="Times New Roman"/>
          <w:kern w:val="0"/>
          <w:sz w:val="24"/>
          <w:szCs w:val="24"/>
          <w:lang w:eastAsia="en-US"/>
        </w:rPr>
        <w:t>; AB, heterozygous genotype.</w:t>
      </w:r>
      <w:r w:rsidRPr="00DC6281">
        <w:rPr>
          <w:rFonts w:ascii="Times New Roman" w:eastAsia="宋体" w:hAnsi="Times New Roman" w:cs="Times New Roman"/>
          <w:kern w:val="0"/>
          <w:sz w:val="24"/>
          <w:lang w:eastAsia="en-US"/>
        </w:rPr>
        <w:t xml:space="preserve"> </w:t>
      </w:r>
      <w:r w:rsidRPr="00DC6281">
        <w:rPr>
          <w:rFonts w:ascii="Times New Roman" w:eastAsia="宋体" w:hAnsi="Times New Roman" w:cs="Times New Roman"/>
          <w:kern w:val="0"/>
          <w:sz w:val="24"/>
          <w:szCs w:val="24"/>
          <w:lang w:eastAsia="en-US"/>
        </w:rPr>
        <w:t>The position represents the physical position of each bin.</w:t>
      </w:r>
    </w:p>
    <w:p w14:paraId="1F30EE39" w14:textId="77777777" w:rsidR="00DC6281" w:rsidRPr="00DC6281" w:rsidRDefault="00DC6281" w:rsidP="00CF05BC">
      <w:pPr>
        <w:widowControl/>
        <w:spacing w:before="120" w:after="240" w:line="480" w:lineRule="auto"/>
        <w:rPr>
          <w:rFonts w:ascii="Times New Roman" w:eastAsia="宋体" w:hAnsi="Times New Roman" w:cs="Times New Roman"/>
          <w:kern w:val="0"/>
          <w:sz w:val="24"/>
          <w:lang w:eastAsia="en-US"/>
        </w:rPr>
      </w:pPr>
      <w:r w:rsidRPr="00DC6281">
        <w:rPr>
          <w:rFonts w:ascii="Times New Roman" w:eastAsia="宋体" w:hAnsi="Times New Roman" w:cs="Times New Roman"/>
          <w:b/>
          <w:bCs/>
          <w:kern w:val="0"/>
          <w:sz w:val="24"/>
          <w:lang w:eastAsia="en-US"/>
        </w:rPr>
        <w:t>Table S2. Phenotypic variation of the RIL population of 9311/Nipponbare cross among three seeding densities</w:t>
      </w:r>
      <w:r w:rsidRPr="00DC6281">
        <w:rPr>
          <w:rFonts w:ascii="Times New Roman" w:eastAsia="宋体" w:hAnsi="Times New Roman" w:cs="Times New Roman"/>
          <w:kern w:val="0"/>
          <w:sz w:val="24"/>
          <w:lang w:eastAsia="en-US"/>
        </w:rPr>
        <w:t xml:space="preserve">. SH, seedling height (cm); FLSL, first leaf sheath length (cm); FLL, first leaf length (cm); SLL, second leaf length (cm); SDW, shoot dry weight (mg); RDW, root dry weight (mg). </w:t>
      </w:r>
    </w:p>
    <w:p w14:paraId="332FC3C5" w14:textId="77777777" w:rsidR="00DC6281" w:rsidRPr="00DC6281" w:rsidRDefault="00DC6281" w:rsidP="00CF05BC">
      <w:pPr>
        <w:widowControl/>
        <w:spacing w:before="120" w:after="240" w:line="480" w:lineRule="auto"/>
        <w:rPr>
          <w:rFonts w:ascii="Times New Roman" w:eastAsia="宋体" w:hAnsi="Times New Roman" w:cs="Times New Roman"/>
          <w:kern w:val="0"/>
          <w:sz w:val="24"/>
          <w:szCs w:val="24"/>
          <w:lang w:eastAsia="en-US"/>
        </w:rPr>
      </w:pPr>
      <w:r w:rsidRPr="00DC6281">
        <w:rPr>
          <w:rFonts w:ascii="Times New Roman" w:eastAsia="宋体" w:hAnsi="Times New Roman" w:cs="Times New Roman"/>
          <w:b/>
          <w:bCs/>
          <w:kern w:val="0"/>
          <w:sz w:val="24"/>
          <w:szCs w:val="24"/>
          <w:lang w:eastAsia="en-US"/>
        </w:rPr>
        <w:t xml:space="preserve">Table S3. Correlation analyses among different seedling traits. </w:t>
      </w:r>
      <w:r w:rsidRPr="00DC6281">
        <w:rPr>
          <w:rFonts w:ascii="Times New Roman" w:eastAsia="宋体" w:hAnsi="Times New Roman" w:cs="Times New Roman"/>
          <w:kern w:val="0"/>
          <w:sz w:val="24"/>
          <w:szCs w:val="24"/>
          <w:lang w:eastAsia="en-US"/>
        </w:rPr>
        <w:t>LD, low density; MD, medium density; HD, high density; Ex1, Ex2 and Ex3 indicated the three experiments, respectively. SH, seedling height; FLSL, first leaf sheath length; FLL, first leaf leng</w:t>
      </w:r>
      <w:r w:rsidRPr="00DC6281">
        <w:rPr>
          <w:rFonts w:ascii="Times New Roman" w:eastAsia="宋体" w:hAnsi="Times New Roman" w:cs="Times New Roman" w:hint="eastAsia"/>
          <w:kern w:val="0"/>
          <w:sz w:val="24"/>
          <w:szCs w:val="24"/>
          <w:lang w:eastAsia="en-US"/>
        </w:rPr>
        <w:t xml:space="preserve">th; SLL, second leaf length; SDW, shoot dry weight; RDW, root dry weight. * and ** indicated significant at p </w:t>
      </w:r>
      <w:r w:rsidRPr="00DC6281">
        <w:rPr>
          <w:rFonts w:ascii="Times New Roman" w:eastAsia="宋体" w:hAnsi="Times New Roman" w:cs="Times New Roman" w:hint="eastAsia"/>
          <w:kern w:val="0"/>
          <w:sz w:val="24"/>
          <w:szCs w:val="24"/>
          <w:lang w:eastAsia="en-US"/>
        </w:rPr>
        <w:t>≤</w:t>
      </w:r>
      <w:r w:rsidRPr="00DC6281">
        <w:rPr>
          <w:rFonts w:ascii="Times New Roman" w:eastAsia="宋体" w:hAnsi="Times New Roman" w:cs="Times New Roman" w:hint="eastAsia"/>
          <w:kern w:val="0"/>
          <w:sz w:val="24"/>
          <w:szCs w:val="24"/>
          <w:lang w:eastAsia="en-US"/>
        </w:rPr>
        <w:t xml:space="preserve"> 0.05 and p </w:t>
      </w:r>
      <w:r w:rsidRPr="00DC6281">
        <w:rPr>
          <w:rFonts w:ascii="Times New Roman" w:eastAsia="宋体" w:hAnsi="Times New Roman" w:cs="Times New Roman" w:hint="eastAsia"/>
          <w:kern w:val="0"/>
          <w:sz w:val="24"/>
          <w:szCs w:val="24"/>
          <w:lang w:eastAsia="en-US"/>
        </w:rPr>
        <w:t>≤</w:t>
      </w:r>
      <w:r w:rsidRPr="00DC6281">
        <w:rPr>
          <w:rFonts w:ascii="Times New Roman" w:eastAsia="宋体" w:hAnsi="Times New Roman" w:cs="Times New Roman" w:hint="eastAsia"/>
          <w:kern w:val="0"/>
          <w:sz w:val="24"/>
          <w:szCs w:val="24"/>
          <w:lang w:eastAsia="en-US"/>
        </w:rPr>
        <w:t xml:space="preserve"> 0.01, respectively.</w:t>
      </w:r>
    </w:p>
    <w:p w14:paraId="4A763CD9" w14:textId="77777777" w:rsidR="00DC6281" w:rsidRPr="00DC6281" w:rsidRDefault="00DC6281" w:rsidP="00CF05BC">
      <w:pPr>
        <w:widowControl/>
        <w:spacing w:before="120" w:after="240" w:line="480" w:lineRule="auto"/>
        <w:rPr>
          <w:rFonts w:ascii="Times New Roman" w:eastAsia="宋体" w:hAnsi="Times New Roman" w:cs="Times New Roman"/>
          <w:kern w:val="0"/>
          <w:sz w:val="24"/>
          <w:szCs w:val="24"/>
          <w:lang w:eastAsia="en-US"/>
        </w:rPr>
      </w:pPr>
      <w:r w:rsidRPr="00DC6281">
        <w:rPr>
          <w:rFonts w:ascii="Times New Roman" w:eastAsia="宋体" w:hAnsi="Times New Roman" w:cs="Times New Roman"/>
          <w:b/>
          <w:bCs/>
          <w:kern w:val="0"/>
          <w:sz w:val="24"/>
          <w:szCs w:val="24"/>
          <w:lang w:eastAsia="en-US"/>
        </w:rPr>
        <w:t>Table S4. The QTLs identified for seedling traits from the RIL population of 9311/Nipponbare cross under three seeding densities.</w:t>
      </w:r>
      <w:r w:rsidRPr="00DC6281">
        <w:rPr>
          <w:rFonts w:ascii="Times New Roman" w:eastAsia="宋体" w:hAnsi="Times New Roman" w:cs="Times New Roman"/>
          <w:kern w:val="0"/>
          <w:sz w:val="24"/>
          <w:szCs w:val="24"/>
          <w:lang w:eastAsia="en-US"/>
        </w:rPr>
        <w:t xml:space="preserve"> LD, low density; MD, medium density; HD, high density; SH, seedling height; FLSL, first leaf sheath length; FLL, first leaf length; SLL, second leaf length; SDW, shoot dry weight; RDW, root dry weight. The position is the lod peak of each QTL. The interval is 1.5-LOD support interval of the QTL. Positive and negative additive effect values indicate that the allele from NIP and 9311 increase trait values, respectively. The Var is variation (%) explained by each QTL.</w:t>
      </w:r>
    </w:p>
    <w:p w14:paraId="35093A55" w14:textId="77777777" w:rsidR="00DC6281" w:rsidRPr="00DC6281" w:rsidRDefault="00DC6281" w:rsidP="00CF05BC">
      <w:pPr>
        <w:widowControl/>
        <w:spacing w:before="120" w:after="240" w:line="480" w:lineRule="auto"/>
        <w:rPr>
          <w:rFonts w:ascii="Times New Roman" w:eastAsia="宋体" w:hAnsi="Times New Roman" w:cs="Times New Roman"/>
          <w:kern w:val="0"/>
          <w:sz w:val="24"/>
          <w:szCs w:val="24"/>
          <w:lang w:eastAsia="en-US"/>
        </w:rPr>
      </w:pPr>
      <w:r w:rsidRPr="00DC6281">
        <w:rPr>
          <w:rFonts w:ascii="Times New Roman" w:eastAsia="宋体" w:hAnsi="Times New Roman" w:cs="Times New Roman"/>
          <w:b/>
          <w:bCs/>
          <w:kern w:val="0"/>
          <w:sz w:val="24"/>
          <w:szCs w:val="24"/>
          <w:lang w:eastAsia="en-US"/>
        </w:rPr>
        <w:t xml:space="preserve">Table S5. Additive effects of each bin under three seeding densities. </w:t>
      </w:r>
      <w:r w:rsidRPr="00DC6281">
        <w:rPr>
          <w:rFonts w:ascii="Times New Roman" w:eastAsia="宋体" w:hAnsi="Times New Roman" w:cs="Times New Roman"/>
          <w:kern w:val="0"/>
          <w:sz w:val="24"/>
          <w:szCs w:val="24"/>
          <w:lang w:eastAsia="en-US"/>
        </w:rPr>
        <w:t xml:space="preserve">A_score, additive effect, in which positive values indicate that alleles from NIP are in the direction of increasing the trait scores, and negative values indicate that alleles from 9311 are in the direction of increasing the score. NA, </w:t>
      </w:r>
      <w:r w:rsidRPr="00DC6281">
        <w:rPr>
          <w:rFonts w:ascii="Times New Roman" w:eastAsia="宋体" w:hAnsi="Times New Roman" w:cs="Times New Roman"/>
          <w:kern w:val="0"/>
          <w:sz w:val="24"/>
          <w:szCs w:val="24"/>
          <w:lang w:eastAsia="en-US"/>
        </w:rPr>
        <w:lastRenderedPageBreak/>
        <w:t>NIP and 9311 indicated the additive effect non-significant, positive significant and negative significant, respectively. LD, low density; MD, medium density; HD, high density; SH, seedling height; FLSL, first leaf sheath length; FLL, first leaf length; SLL, second leaf length; SDW, shoot dry weight; RDW, root dry weight.</w:t>
      </w:r>
    </w:p>
    <w:p w14:paraId="3E0F9F21" w14:textId="77777777" w:rsidR="00DC6281" w:rsidRPr="00DC6281" w:rsidRDefault="00DC6281" w:rsidP="00CF05BC">
      <w:pPr>
        <w:widowControl/>
        <w:spacing w:before="120" w:after="240" w:line="480" w:lineRule="auto"/>
        <w:rPr>
          <w:rFonts w:ascii="Times New Roman" w:eastAsia="宋体" w:hAnsi="Times New Roman" w:cs="Times New Roman"/>
          <w:kern w:val="0"/>
          <w:sz w:val="24"/>
          <w:szCs w:val="24"/>
          <w:lang w:eastAsia="en-US"/>
        </w:rPr>
        <w:sectPr w:rsidR="00DC6281" w:rsidRPr="00DC6281" w:rsidSect="00FB0B35">
          <w:headerReference w:type="even" r:id="rId7"/>
          <w:headerReference w:type="default" r:id="rId8"/>
          <w:footerReference w:type="even" r:id="rId9"/>
          <w:footerReference w:type="default" r:id="rId10"/>
          <w:headerReference w:type="first" r:id="rId11"/>
          <w:footerReference w:type="first" r:id="rId12"/>
          <w:pgSz w:w="12240" w:h="15840"/>
          <w:pgMar w:top="1138" w:right="1181" w:bottom="1138" w:left="1282" w:header="283" w:footer="510" w:gutter="0"/>
          <w:lnNumType w:countBy="1" w:restart="continuous"/>
          <w:cols w:space="720"/>
          <w:titlePg/>
          <w:docGrid w:linePitch="360"/>
        </w:sectPr>
      </w:pPr>
      <w:r w:rsidRPr="00DC6281">
        <w:rPr>
          <w:rFonts w:ascii="Times New Roman" w:eastAsia="宋体" w:hAnsi="Times New Roman" w:cs="Times New Roman"/>
          <w:b/>
          <w:bCs/>
          <w:kern w:val="0"/>
          <w:sz w:val="24"/>
          <w:szCs w:val="24"/>
          <w:lang w:eastAsia="en-US"/>
        </w:rPr>
        <w:t>Table S6. Two-locus combinations showing significant epistatic effects under three seeding densities.</w:t>
      </w:r>
      <w:r w:rsidRPr="00DC6281">
        <w:rPr>
          <w:rFonts w:ascii="Times New Roman" w:eastAsia="宋体" w:hAnsi="Times New Roman" w:cs="Times New Roman"/>
          <w:kern w:val="0"/>
          <w:sz w:val="24"/>
          <w:szCs w:val="24"/>
          <w:lang w:eastAsia="en-US"/>
        </w:rPr>
        <w:t xml:space="preserve"> LD, low density; MD, medium density; HD, high density; SH, seedling height; FLSL, first leaf sheath length; FLL, first leaf length; SLL, second leaf length; SDW, shoot dry weight; RDW, root dry weight. Var, the percentage (%) of variation explained by the interaction.</w:t>
      </w:r>
    </w:p>
    <w:p w14:paraId="51CA517D" w14:textId="3680B940" w:rsidR="002B6340" w:rsidRPr="004365BE" w:rsidRDefault="002B6340" w:rsidP="00CF05BC">
      <w:pPr>
        <w:spacing w:line="480" w:lineRule="auto"/>
        <w:rPr>
          <w:rFonts w:ascii="Times New Roman" w:eastAsia="宋体" w:hAnsi="Times New Roman" w:cs="Times New Roman"/>
          <w:b/>
          <w:kern w:val="0"/>
          <w:sz w:val="24"/>
          <w:szCs w:val="24"/>
          <w:lang w:eastAsia="en-US"/>
        </w:rPr>
      </w:pPr>
    </w:p>
    <w:sectPr w:rsidR="002B6340" w:rsidRPr="004365BE" w:rsidSect="001630CF">
      <w:footerReference w:type="default" r:id="rId13"/>
      <w:pgSz w:w="11906" w:h="16838" w:code="9"/>
      <w:pgMar w:top="1440" w:right="1797" w:bottom="1440" w:left="1797"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D1EACB" w14:textId="77777777" w:rsidR="00223160" w:rsidRDefault="00223160" w:rsidP="007816C0">
      <w:r>
        <w:separator/>
      </w:r>
    </w:p>
  </w:endnote>
  <w:endnote w:type="continuationSeparator" w:id="0">
    <w:p w14:paraId="261FC008" w14:textId="77777777" w:rsidR="00223160" w:rsidRDefault="00223160" w:rsidP="007816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81409238"/>
      <w:docPartObj>
        <w:docPartGallery w:val="Page Numbers (Bottom of Page)"/>
        <w:docPartUnique/>
      </w:docPartObj>
    </w:sdtPr>
    <w:sdtEndPr/>
    <w:sdtContent>
      <w:p w14:paraId="71FA1D15" w14:textId="77777777" w:rsidR="00DC6281" w:rsidRDefault="00DC6281">
        <w:pPr>
          <w:pStyle w:val="a5"/>
          <w:jc w:val="center"/>
        </w:pPr>
        <w:r>
          <w:fldChar w:fldCharType="begin"/>
        </w:r>
        <w:r>
          <w:instrText>PAGE   \* MERGEFORMAT</w:instrText>
        </w:r>
        <w:r>
          <w:fldChar w:fldCharType="separate"/>
        </w:r>
        <w:r>
          <w:rPr>
            <w:lang w:val="zh-CN"/>
          </w:rPr>
          <w:t>2</w:t>
        </w:r>
        <w:r>
          <w:fldChar w:fldCharType="end"/>
        </w:r>
      </w:p>
    </w:sdtContent>
  </w:sdt>
  <w:p w14:paraId="233AA88A" w14:textId="77777777" w:rsidR="00DC6281" w:rsidRPr="00577C4C" w:rsidRDefault="00DC6281">
    <w:pPr>
      <w:pStyle w:val="a5"/>
      <w:rPr>
        <w:color w:val="C00000"/>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84970931"/>
      <w:docPartObj>
        <w:docPartGallery w:val="Page Numbers (Bottom of Page)"/>
        <w:docPartUnique/>
      </w:docPartObj>
    </w:sdtPr>
    <w:sdtEndPr/>
    <w:sdtContent>
      <w:p w14:paraId="3CCE342B" w14:textId="77777777" w:rsidR="00DC6281" w:rsidRDefault="00DC6281">
        <w:pPr>
          <w:pStyle w:val="a5"/>
          <w:jc w:val="center"/>
        </w:pPr>
        <w:r>
          <w:fldChar w:fldCharType="begin"/>
        </w:r>
        <w:r>
          <w:instrText>PAGE   \* MERGEFORMAT</w:instrText>
        </w:r>
        <w:r>
          <w:fldChar w:fldCharType="separate"/>
        </w:r>
        <w:r>
          <w:rPr>
            <w:lang w:val="zh-CN"/>
          </w:rPr>
          <w:t>2</w:t>
        </w:r>
        <w:r>
          <w:fldChar w:fldCharType="end"/>
        </w:r>
      </w:p>
    </w:sdtContent>
  </w:sdt>
  <w:p w14:paraId="4DB4269E" w14:textId="77777777" w:rsidR="00DC6281" w:rsidRPr="00577C4C" w:rsidRDefault="00DC6281">
    <w:pPr>
      <w:pStyle w:val="a5"/>
      <w:rPr>
        <w:b/>
        <w:sz w:val="20"/>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84866384"/>
      <w:docPartObj>
        <w:docPartGallery w:val="Page Numbers (Bottom of Page)"/>
        <w:docPartUnique/>
      </w:docPartObj>
    </w:sdtPr>
    <w:sdtEndPr/>
    <w:sdtContent>
      <w:p w14:paraId="7917B649" w14:textId="77777777" w:rsidR="00DC6281" w:rsidRDefault="00DC6281">
        <w:pPr>
          <w:pStyle w:val="a5"/>
          <w:jc w:val="center"/>
        </w:pPr>
        <w:r>
          <w:fldChar w:fldCharType="begin"/>
        </w:r>
        <w:r>
          <w:instrText>PAGE   \* MERGEFORMAT</w:instrText>
        </w:r>
        <w:r>
          <w:fldChar w:fldCharType="separate"/>
        </w:r>
        <w:r>
          <w:rPr>
            <w:lang w:val="zh-CN"/>
          </w:rPr>
          <w:t>2</w:t>
        </w:r>
        <w:r>
          <w:fldChar w:fldCharType="end"/>
        </w:r>
      </w:p>
    </w:sdtContent>
  </w:sdt>
  <w:p w14:paraId="1DB8F88C" w14:textId="77777777" w:rsidR="00DC6281" w:rsidRDefault="00DC6281">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5036" w14:textId="11BB2D31" w:rsidR="007816C0" w:rsidRDefault="00980EAA" w:rsidP="00980EAA">
    <w:pPr>
      <w:pStyle w:val="a5"/>
      <w:jc w:val="center"/>
    </w:pPr>
    <w: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49ACB9" w14:textId="77777777" w:rsidR="00223160" w:rsidRDefault="00223160" w:rsidP="007816C0">
      <w:r>
        <w:separator/>
      </w:r>
    </w:p>
  </w:footnote>
  <w:footnote w:type="continuationSeparator" w:id="0">
    <w:p w14:paraId="0B348341" w14:textId="77777777" w:rsidR="00223160" w:rsidRDefault="00223160" w:rsidP="007816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587D11" w14:textId="77777777" w:rsidR="00DC6281" w:rsidRPr="007E3148" w:rsidRDefault="00DC6281" w:rsidP="00A53000">
    <w:pPr>
      <w:pStyle w:val="a3"/>
    </w:pPr>
    <w:r w:rsidRPr="007E3148">
      <w:ptab w:relativeTo="margin" w:alignment="center" w:leader="none"/>
    </w:r>
    <w:r w:rsidRPr="007E3148">
      <w:ptab w:relativeTo="margin" w:alignment="right" w:leader="none"/>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CB2D50" w14:textId="77777777" w:rsidR="00DC6281" w:rsidRPr="00A53000" w:rsidRDefault="00DC6281" w:rsidP="00A53000">
    <w:pPr>
      <w:pStyle w:val="a3"/>
    </w:pPr>
    <w:r w:rsidRPr="007E3148">
      <w:ptab w:relativeTo="margin" w:alignment="center" w:leader="none"/>
    </w:r>
    <w:r w:rsidRPr="007E3148">
      <w:ptab w:relativeTo="margin" w:alignment="righ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ED1F6D" w14:textId="77777777" w:rsidR="00DC6281" w:rsidRPr="007E3148" w:rsidRDefault="00DC6281" w:rsidP="00957660">
    <w:pPr>
      <w:pStyle w:val="a3"/>
    </w:pPr>
  </w:p>
  <w:p w14:paraId="40DB60FB" w14:textId="77777777" w:rsidR="00DC6281" w:rsidRDefault="00DC6281" w:rsidP="00A5300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8B5"/>
    <w:rsid w:val="00112A3C"/>
    <w:rsid w:val="001630CF"/>
    <w:rsid w:val="00223160"/>
    <w:rsid w:val="002B6340"/>
    <w:rsid w:val="004365BE"/>
    <w:rsid w:val="004E360A"/>
    <w:rsid w:val="00656C94"/>
    <w:rsid w:val="00681FB8"/>
    <w:rsid w:val="00724E54"/>
    <w:rsid w:val="007816C0"/>
    <w:rsid w:val="00966937"/>
    <w:rsid w:val="00980EAA"/>
    <w:rsid w:val="00A428B5"/>
    <w:rsid w:val="00B55826"/>
    <w:rsid w:val="00CB539E"/>
    <w:rsid w:val="00CF05BC"/>
    <w:rsid w:val="00D13E5B"/>
    <w:rsid w:val="00DC6281"/>
    <w:rsid w:val="00FF71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C6FEBA"/>
  <w15:chartTrackingRefBased/>
  <w15:docId w15:val="{E950FCE6-076F-4AF4-B4BA-14C16EB3C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816C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816C0"/>
    <w:rPr>
      <w:sz w:val="18"/>
      <w:szCs w:val="18"/>
    </w:rPr>
  </w:style>
  <w:style w:type="paragraph" w:styleId="a5">
    <w:name w:val="footer"/>
    <w:basedOn w:val="a"/>
    <w:link w:val="a6"/>
    <w:uiPriority w:val="99"/>
    <w:unhideWhenUsed/>
    <w:rsid w:val="007816C0"/>
    <w:pPr>
      <w:tabs>
        <w:tab w:val="center" w:pos="4153"/>
        <w:tab w:val="right" w:pos="8306"/>
      </w:tabs>
      <w:snapToGrid w:val="0"/>
      <w:jc w:val="left"/>
    </w:pPr>
    <w:rPr>
      <w:sz w:val="18"/>
      <w:szCs w:val="18"/>
    </w:rPr>
  </w:style>
  <w:style w:type="character" w:customStyle="1" w:styleId="a6">
    <w:name w:val="页脚 字符"/>
    <w:basedOn w:val="a0"/>
    <w:link w:val="a5"/>
    <w:uiPriority w:val="99"/>
    <w:rsid w:val="007816C0"/>
    <w:rPr>
      <w:sz w:val="18"/>
      <w:szCs w:val="18"/>
    </w:rPr>
  </w:style>
  <w:style w:type="paragraph" w:customStyle="1" w:styleId="SupplementaryMaterial">
    <w:name w:val="Supplementary Material"/>
    <w:basedOn w:val="a7"/>
    <w:next w:val="a7"/>
    <w:qFormat/>
    <w:rsid w:val="007816C0"/>
    <w:pPr>
      <w:widowControl/>
      <w:suppressLineNumbers/>
      <w:spacing w:after="120"/>
      <w:outlineLvl w:val="9"/>
    </w:pPr>
    <w:rPr>
      <w:rFonts w:ascii="Times New Roman" w:eastAsiaTheme="minorEastAsia" w:hAnsi="Times New Roman" w:cs="Times New Roman"/>
      <w:bCs w:val="0"/>
      <w:i/>
      <w:kern w:val="0"/>
      <w:lang w:eastAsia="en-US"/>
    </w:rPr>
  </w:style>
  <w:style w:type="paragraph" w:styleId="a7">
    <w:name w:val="Title"/>
    <w:basedOn w:val="a"/>
    <w:next w:val="a"/>
    <w:link w:val="a8"/>
    <w:uiPriority w:val="10"/>
    <w:qFormat/>
    <w:rsid w:val="007816C0"/>
    <w:pPr>
      <w:spacing w:before="240" w:after="60"/>
      <w:jc w:val="center"/>
      <w:outlineLvl w:val="0"/>
    </w:pPr>
    <w:rPr>
      <w:rFonts w:asciiTheme="majorHAnsi" w:eastAsiaTheme="majorEastAsia" w:hAnsiTheme="majorHAnsi" w:cstheme="majorBidi"/>
      <w:b/>
      <w:bCs/>
      <w:sz w:val="32"/>
      <w:szCs w:val="32"/>
    </w:rPr>
  </w:style>
  <w:style w:type="character" w:customStyle="1" w:styleId="a8">
    <w:name w:val="标题 字符"/>
    <w:basedOn w:val="a0"/>
    <w:link w:val="a7"/>
    <w:uiPriority w:val="10"/>
    <w:rsid w:val="007816C0"/>
    <w:rPr>
      <w:rFonts w:asciiTheme="majorHAnsi" w:eastAsiaTheme="majorEastAsia" w:hAnsiTheme="majorHAnsi" w:cstheme="majorBidi"/>
      <w:b/>
      <w:bCs/>
      <w:sz w:val="32"/>
      <w:szCs w:val="32"/>
    </w:rPr>
  </w:style>
  <w:style w:type="character" w:styleId="a9">
    <w:name w:val="line number"/>
    <w:basedOn w:val="a0"/>
    <w:uiPriority w:val="99"/>
    <w:semiHidden/>
    <w:unhideWhenUsed/>
    <w:rsid w:val="00112A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E5156E-FC01-485F-AD14-189881000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432</Words>
  <Characters>2467</Characters>
  <Application>Microsoft Office Word</Application>
  <DocSecurity>0</DocSecurity>
  <Lines>20</Lines>
  <Paragraphs>5</Paragraphs>
  <ScaleCrop>false</ScaleCrop>
  <Company/>
  <LinksUpToDate>false</LinksUpToDate>
  <CharactersWithSpaces>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 丹</dc:creator>
  <cp:keywords/>
  <dc:description/>
  <cp:lastModifiedBy>朱 丹</cp:lastModifiedBy>
  <cp:revision>11</cp:revision>
  <dcterms:created xsi:type="dcterms:W3CDTF">2020-04-22T00:34:00Z</dcterms:created>
  <dcterms:modified xsi:type="dcterms:W3CDTF">2020-07-31T05:19:00Z</dcterms:modified>
</cp:coreProperties>
</file>