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99023C" w14:textId="77777777" w:rsidR="004D03FB" w:rsidRDefault="000343E0">
      <w:pPr>
        <w:jc w:val="center"/>
        <w:rPr>
          <w:b/>
          <w:sz w:val="28"/>
          <w:szCs w:val="28"/>
          <w:lang w:val="en-US"/>
        </w:rPr>
      </w:pPr>
      <w:bookmarkStart w:id="0" w:name="_GoBack"/>
      <w:bookmarkEnd w:id="0"/>
      <w:r>
        <w:rPr>
          <w:b/>
          <w:sz w:val="28"/>
          <w:szCs w:val="28"/>
          <w:lang w:val="en-US"/>
        </w:rPr>
        <w:t>Supplemental to “Terahertz photonic heterodyne spectral analysis with (sub-) kHz resolution and 6.5 THz frequency coverage”</w:t>
      </w:r>
    </w:p>
    <w:p w14:paraId="5CF7A02C" w14:textId="77777777" w:rsidR="004D03FB" w:rsidRDefault="004D03FB">
      <w:pPr>
        <w:rPr>
          <w:lang w:val="en-US"/>
        </w:rPr>
      </w:pPr>
    </w:p>
    <w:p w14:paraId="22C892CD" w14:textId="77777777" w:rsidR="004D03FB" w:rsidRPr="00BB479E" w:rsidRDefault="000343E0">
      <w:pPr>
        <w:jc w:val="both"/>
        <w:rPr>
          <w:b/>
          <w:bCs/>
          <w:lang w:val="en-US"/>
        </w:rPr>
      </w:pPr>
      <w:r w:rsidRPr="00BB479E">
        <w:rPr>
          <w:b/>
          <w:bCs/>
          <w:lang w:val="en-US"/>
        </w:rPr>
        <w:t>CALIBRATION</w:t>
      </w:r>
    </w:p>
    <w:p w14:paraId="75CDFF5B" w14:textId="343A33D6" w:rsidR="004D03FB" w:rsidRDefault="000343E0">
      <w:pPr>
        <w:jc w:val="both"/>
        <w:rPr>
          <w:lang w:val="en-US"/>
        </w:rPr>
      </w:pPr>
      <w:r>
        <w:rPr>
          <w:lang w:val="en-US"/>
        </w:rPr>
        <w:t xml:space="preserve">For the calibration of the heterodyne measurements, we employ the responsivity (see eq. (6)) acquired from homodyne measurements with the employed Rh:InGaAs photoconductive receiver. The homodyne system employs the same local oscillator signal for both the transmitter and receiver. The transmitter is a waveguide-integrated photodiode from HHI and the local oscillator consists of a Keysight 81960A at 1540 nm in combination with a Keysight 81608A at longer wavelengths according to the local oscillator frequency. Both, the transmitter and the receiver are driven by an optical power of 30 mW. A lock-in amplifier modulates the transmitter signal with a sinusoidal shape that also is the reference for demodulation of the received signal. This measurement determines the photocurrent </w:t>
      </w:r>
      <w:r w:rsidR="00472B7B">
        <w:rPr>
          <w:lang w:val="en-US"/>
        </w:rPr>
        <w:t xml:space="preserve"> </w:t>
      </w:r>
      <m:oMath>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R</m:t>
            </m:r>
          </m:sub>
        </m:sSub>
        <m:r>
          <w:rPr>
            <w:rFonts w:ascii="Cambria Math" w:hAnsi="Cambria Math"/>
            <w:lang w:val="en-US"/>
          </w:rPr>
          <m:t xml:space="preserve"> </m:t>
        </m:r>
      </m:oMath>
      <w:r>
        <w:rPr>
          <w:lang w:val="en-US"/>
        </w:rPr>
        <w:t xml:space="preserve">of the photoconductive receiver for a given electrical field on the input side. </w:t>
      </w:r>
      <w:r w:rsidR="00472B7B">
        <w:rPr>
          <w:lang w:val="en-US"/>
        </w:rPr>
        <w:t xml:space="preserve">As </w:t>
      </w:r>
      <m:oMath>
        <m:sSub>
          <m:sSubPr>
            <m:ctrlPr>
              <w:rPr>
                <w:rFonts w:ascii="Cambria Math" w:hAnsi="Cambria Math"/>
                <w:i/>
                <w:lang w:val="en-US"/>
              </w:rPr>
            </m:ctrlPr>
          </m:sSubPr>
          <m:e>
            <m:r>
              <w:rPr>
                <w:rFonts w:ascii="Cambria Math" w:hAnsi="Cambria Math"/>
                <w:lang w:val="en-US"/>
              </w:rPr>
              <m:t>P</m:t>
            </m:r>
          </m:e>
          <m:sub>
            <m:r>
              <w:rPr>
                <w:rFonts w:ascii="Cambria Math" w:hAnsi="Cambria Math"/>
                <w:lang w:val="en-US"/>
              </w:rPr>
              <m:t>THz</m:t>
            </m:r>
          </m:sub>
        </m:sSub>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E</m:t>
            </m:r>
          </m:e>
          <m:sub>
            <m:r>
              <w:rPr>
                <w:rFonts w:ascii="Cambria Math" w:hAnsi="Cambria Math"/>
                <w:lang w:val="en-US"/>
              </w:rPr>
              <m:t>THz</m:t>
            </m:r>
          </m:sub>
          <m:sup>
            <m:r>
              <w:rPr>
                <w:rFonts w:ascii="Cambria Math" w:hAnsi="Cambria Math"/>
                <w:lang w:val="en-US"/>
              </w:rPr>
              <m:t>2</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I</m:t>
            </m:r>
          </m:e>
          <m:sub>
            <m:r>
              <w:rPr>
                <w:rFonts w:ascii="Cambria Math" w:hAnsi="Cambria Math"/>
                <w:lang w:val="en-US"/>
              </w:rPr>
              <m:t>R</m:t>
            </m:r>
          </m:sub>
          <m:sup>
            <m:r>
              <w:rPr>
                <w:rFonts w:ascii="Cambria Math" w:hAnsi="Cambria Math"/>
                <w:lang w:val="en-US"/>
              </w:rPr>
              <m:t>2</m:t>
            </m:r>
          </m:sup>
        </m:sSubSup>
      </m:oMath>
      <w:r>
        <w:rPr>
          <w:lang w:val="en-US"/>
        </w:rPr>
        <w:t xml:space="preserve"> the determination of the power responsivity, the photocurrent is squared, then and the power of the calibration source needs to be determined. </w:t>
      </w:r>
      <w:r w:rsidR="00472B7B">
        <w:rPr>
          <w:lang w:val="en-US"/>
        </w:rPr>
        <w:t>A</w:t>
      </w:r>
      <w:r>
        <w:rPr>
          <w:lang w:val="en-US"/>
        </w:rPr>
        <w:t xml:space="preserve"> gauged pyroelectric detector (SLT Sensor- und Messtechnik THz10)</w:t>
      </w:r>
      <w:r w:rsidR="00472B7B">
        <w:rPr>
          <w:lang w:val="en-US"/>
        </w:rPr>
        <w:t xml:space="preserve"> served for this purpose</w:t>
      </w:r>
      <w:r>
        <w:rPr>
          <w:lang w:val="en-US"/>
        </w:rPr>
        <w:t>. This pyroelectric detector is calibrated at a frequency of 1.4 THz at the German national metrology institute PTB and possesses a noise floor of 1 µW. The power of the photodiode reduces for higher THz frequencies due to roll-off effects present</w:t>
      </w:r>
      <w:r w:rsidR="00472B7B">
        <w:rPr>
          <w:lang w:val="en-US"/>
        </w:rPr>
        <w:t>,</w:t>
      </w:r>
      <w:r>
        <w:rPr>
          <w:lang w:val="en-US"/>
        </w:rPr>
        <w:t xml:space="preserve"> limiting the measurable frequency range to 1.6 THz. At this stage we need to note an error of 30 % in responsivity of the pyroelectric detector due to differences in frequency between its calibration frequency and the range of frequencies used in the homodyne measurements. The blue curve in Fig. S1 shows the determined responsivities of the Rh:InGaAs photoconductive mixer for the frequency range up to 1.6</w:t>
      </w:r>
      <w:r w:rsidR="003E1E72">
        <w:rPr>
          <w:lang w:val="en-US"/>
        </w:rPr>
        <w:t> </w:t>
      </w:r>
      <w:r>
        <w:rPr>
          <w:lang w:val="en-US"/>
        </w:rPr>
        <w:t xml:space="preserve">THz. As we measured signals up to frequencies of 6.5 THz, we extrapolated the responsivity for frequencies higher than 1.6 THz (orange line). The extrapolation is based on the knowledge of important roll-off effects present in the receiver. </w:t>
      </w:r>
    </w:p>
    <w:p w14:paraId="7ACA30C1" w14:textId="77777777" w:rsidR="004D03FB" w:rsidRDefault="000343E0">
      <w:pPr>
        <w:jc w:val="both"/>
        <w:rPr>
          <w:lang w:val="en-US"/>
        </w:rPr>
      </w:pPr>
      <w:r>
        <w:rPr>
          <w:noProof/>
          <w:lang w:eastAsia="de-DE"/>
        </w:rPr>
        <mc:AlternateContent>
          <mc:Choice Requires="wpg">
            <w:drawing>
              <wp:inline distT="0" distB="0" distL="0" distR="0" wp14:anchorId="71D6BFD3" wp14:editId="568A03E0">
                <wp:extent cx="5580952" cy="3057143"/>
                <wp:effectExtent l="0" t="0" r="127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p_1.png"/>
                        <pic:cNvPicPr>
                          <a:picLocks noChangeAspect="1"/>
                        </pic:cNvPicPr>
                      </pic:nvPicPr>
                      <pic:blipFill>
                        <a:blip r:embed="rId6"/>
                        <a:stretch/>
                      </pic:blipFill>
                      <pic:spPr bwMode="auto">
                        <a:xfrm>
                          <a:off x="0" y="0"/>
                          <a:ext cx="5580952" cy="3057143"/>
                        </a:xfrm>
                        <a:prstGeom prst="rect">
                          <a:avLst/>
                        </a:prstGeom>
                      </pic:spPr>
                    </pic:pic>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39.45pt;height:240.72pt;mso-wrap-distance-left:0.00pt;mso-wrap-distance-top:0.00pt;mso-wrap-distance-right:0.00pt;mso-wrap-distance-bottom:0.00pt;z-index:1;" stroked="false">
                <v:imagedata r:id="rId8" o:title=""/>
                <o:lock v:ext="edit" rotation="t"/>
              </v:shape>
            </w:pict>
          </mc:Fallback>
        </mc:AlternateContent>
      </w:r>
    </w:p>
    <w:p w14:paraId="39BD4F21" w14:textId="77777777" w:rsidR="004D03FB" w:rsidRPr="00472B7B" w:rsidRDefault="000343E0">
      <w:pPr>
        <w:jc w:val="both"/>
        <w:rPr>
          <w:i/>
          <w:iCs/>
          <w:lang w:val="en-US"/>
        </w:rPr>
      </w:pPr>
      <w:r w:rsidRPr="00472B7B">
        <w:rPr>
          <w:i/>
          <w:iCs/>
          <w:lang w:val="en-US"/>
        </w:rPr>
        <w:t>Fig. S1: Measured responsivity of the Rh:InGaAs photoconductive receiver for a frequency range from 50 GHz to 1.6 THz (blue line) with an extrapolated estimation for the frequency range above 1.1 THz until 7 THz (orange line).</w:t>
      </w:r>
    </w:p>
    <w:p w14:paraId="2E9177EF" w14:textId="74FCC865" w:rsidR="004D03FB" w:rsidRDefault="000343E0">
      <w:pPr>
        <w:jc w:val="both"/>
        <w:rPr>
          <w:lang w:val="en-US"/>
        </w:rPr>
      </w:pPr>
      <w:r>
        <w:rPr>
          <w:lang w:val="en-US"/>
        </w:rPr>
        <w:lastRenderedPageBreak/>
        <w:t xml:space="preserve">The lifetime </w:t>
      </w:r>
      <w:r w:rsidR="00B53D50">
        <w:rPr>
          <w:lang w:val="en-US"/>
        </w:rPr>
        <w:t>3dB roll-off</w:t>
      </w:r>
      <w:r>
        <w:rPr>
          <w:lang w:val="en-US"/>
        </w:rPr>
        <w:t xml:space="preserve"> frequency is approximately at 600 GHz while the RC </w:t>
      </w:r>
      <w:r w:rsidR="00B53D50">
        <w:rPr>
          <w:lang w:val="en-US"/>
        </w:rPr>
        <w:t>3 dB</w:t>
      </w:r>
      <w:r>
        <w:rPr>
          <w:lang w:val="en-US"/>
        </w:rPr>
        <w:t xml:space="preserve"> frequency is approximately at 1.06 THz. For any higher frequency the responsivity will fall with </w:t>
      </w:r>
      <m:oMath>
        <m:sSup>
          <m:sSupPr>
            <m:ctrlPr>
              <w:rPr>
                <w:rFonts w:ascii="Cambria Math" w:hAnsi="Cambria Math"/>
                <w:i/>
                <w:lang w:val="en-US"/>
              </w:rPr>
            </m:ctrlPr>
          </m:sSupPr>
          <m:e>
            <m:r>
              <w:rPr>
                <w:rFonts w:ascii="Cambria Math" w:hAnsi="Cambria Math"/>
                <w:lang w:val="en-US"/>
              </w:rPr>
              <m:t>f</m:t>
            </m:r>
          </m:e>
          <m:sup>
            <m:r>
              <w:rPr>
                <w:rFonts w:ascii="Cambria Math" w:hAnsi="Cambria Math"/>
                <w:lang w:val="en-US"/>
              </w:rPr>
              <m:t>4</m:t>
            </m:r>
          </m:sup>
        </m:sSup>
      </m:oMath>
      <w:r>
        <w:rPr>
          <w:rFonts w:eastAsiaTheme="minorEastAsia"/>
          <w:lang w:val="en-US"/>
        </w:rPr>
        <w:t xml:space="preserve">. The measurements for frequencies between 1.06 THz and 1.6 THz confirm this trend. </w:t>
      </w:r>
      <w:r w:rsidR="00B53D50">
        <w:rPr>
          <w:rFonts w:eastAsiaTheme="minorEastAsia"/>
          <w:lang w:val="en-US"/>
        </w:rPr>
        <w:t xml:space="preserve">We remark that the antenna performance (radiation resistance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A</m:t>
            </m:r>
          </m:sub>
        </m:sSub>
        <m:r>
          <w:rPr>
            <w:rFonts w:ascii="Cambria Math" w:eastAsiaTheme="minorEastAsia" w:hAnsi="Cambria Math"/>
            <w:lang w:val="en-US"/>
          </w:rPr>
          <m:t>)</m:t>
        </m:r>
      </m:oMath>
      <w:r w:rsidR="00B53D50">
        <w:rPr>
          <w:rFonts w:eastAsiaTheme="minorEastAsia"/>
          <w:lang w:val="en-US"/>
        </w:rPr>
        <w:t xml:space="preserve"> will become frequency-dependent as well beyond 2-3 THz, affecting both the RC roll-off as well as the power coupled by the antenna as</w:t>
      </w:r>
      <m:oMath>
        <m:r>
          <m:rPr>
            <m:scr m:val="script"/>
          </m:rPr>
          <w:rPr>
            <w:rFonts w:ascii="Cambria Math" w:eastAsiaTheme="minorEastAsia" w:hAnsi="Cambria Math"/>
            <w:lang w:val="en-US"/>
          </w:rPr>
          <m:t xml:space="preserve"> R~</m:t>
        </m:r>
        <m:f>
          <m:fPr>
            <m:ctrlPr>
              <w:rPr>
                <w:rFonts w:ascii="Cambria Math" w:eastAsiaTheme="minorEastAsia" w:hAnsi="Cambria Math"/>
                <w:i/>
                <w:lang w:val="en-US"/>
              </w:rPr>
            </m:ctrlPr>
          </m:fPr>
          <m:num>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A</m:t>
                </m:r>
              </m:sub>
            </m:sSub>
            <m:sSubSup>
              <m:sSubSupPr>
                <m:ctrlPr>
                  <w:rPr>
                    <w:rFonts w:ascii="Cambria Math" w:eastAsiaTheme="minorEastAsia" w:hAnsi="Cambria Math"/>
                    <w:i/>
                    <w:lang w:val="en-US"/>
                  </w:rPr>
                </m:ctrlPr>
              </m:sSubSupPr>
              <m:e>
                <m:r>
                  <w:rPr>
                    <w:rFonts w:ascii="Cambria Math" w:eastAsiaTheme="minorEastAsia" w:hAnsi="Cambria Math"/>
                    <w:lang w:val="en-US"/>
                  </w:rPr>
                  <m:t>I</m:t>
                </m:r>
              </m:e>
              <m:sub>
                <m:r>
                  <w:rPr>
                    <w:rFonts w:ascii="Cambria Math" w:eastAsiaTheme="minorEastAsia" w:hAnsi="Cambria Math"/>
                    <w:lang w:val="en-US"/>
                  </w:rPr>
                  <m:t>THz</m:t>
                </m:r>
              </m:sub>
              <m:sup>
                <m:r>
                  <w:rPr>
                    <w:rFonts w:ascii="Cambria Math" w:eastAsiaTheme="minorEastAsia" w:hAnsi="Cambria Math"/>
                    <w:lang w:val="en-US"/>
                  </w:rPr>
                  <m:t>2</m:t>
                </m:r>
              </m:sup>
            </m:sSubSup>
          </m:num>
          <m:den>
            <m:r>
              <w:rPr>
                <w:rFonts w:ascii="Cambria Math" w:eastAsiaTheme="minorEastAsia" w:hAnsi="Cambria Math"/>
                <w:lang w:val="en-US"/>
              </w:rPr>
              <m:t>1+</m:t>
            </m:r>
            <m:sSup>
              <m:sSupPr>
                <m:ctrlPr>
                  <w:rPr>
                    <w:rFonts w:ascii="Cambria Math" w:eastAsiaTheme="minorEastAsia" w:hAnsi="Cambria Math"/>
                    <w:i/>
                    <w:lang w:val="en-US"/>
                  </w:rPr>
                </m:ctrlPr>
              </m:sSupPr>
              <m:e>
                <m:d>
                  <m:dPr>
                    <m:ctrlPr>
                      <w:rPr>
                        <w:rFonts w:ascii="Cambria Math" w:eastAsiaTheme="minorEastAsia" w:hAnsi="Cambria Math"/>
                        <w:i/>
                        <w:lang w:val="en-US"/>
                      </w:rPr>
                    </m:ctrlPr>
                  </m:dPr>
                  <m:e>
                    <m:r>
                      <w:rPr>
                        <w:rFonts w:ascii="Cambria Math" w:eastAsiaTheme="minorEastAsia" w:hAnsi="Cambria Math"/>
                        <w:lang w:val="en-US"/>
                      </w:rPr>
                      <m:t>2π</m:t>
                    </m:r>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A</m:t>
                        </m:r>
                      </m:sub>
                    </m:sSub>
                    <m:r>
                      <w:rPr>
                        <w:rFonts w:ascii="Cambria Math" w:eastAsiaTheme="minorEastAsia" w:hAnsi="Cambria Math"/>
                        <w:lang w:val="en-US"/>
                      </w:rPr>
                      <m:t>Cf</m:t>
                    </m:r>
                  </m:e>
                </m:d>
              </m:e>
              <m:sup>
                <m:r>
                  <w:rPr>
                    <w:rFonts w:ascii="Cambria Math" w:eastAsiaTheme="minorEastAsia" w:hAnsi="Cambria Math"/>
                    <w:lang w:val="en-US"/>
                  </w:rPr>
                  <m:t>2</m:t>
                </m:r>
              </m:sup>
            </m:sSup>
            <m:r>
              <w:rPr>
                <w:rFonts w:ascii="Cambria Math" w:eastAsiaTheme="minorEastAsia" w:hAnsi="Cambria Math"/>
                <w:lang w:val="en-US"/>
              </w:rPr>
              <m:t xml:space="preserve"> </m:t>
            </m:r>
          </m:den>
        </m:f>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A</m:t>
                </m:r>
              </m:sub>
            </m:sSub>
          </m:den>
        </m:f>
      </m:oMath>
      <w:r w:rsidR="00B53D50">
        <w:rPr>
          <w:rFonts w:eastAsiaTheme="minorEastAsia"/>
          <w:lang w:val="en-US"/>
        </w:rPr>
        <w:t xml:space="preserve"> at high frequencies. Conservatively, w</w:t>
      </w:r>
      <w:r>
        <w:rPr>
          <w:rFonts w:eastAsiaTheme="minorEastAsia"/>
          <w:lang w:val="en-US"/>
        </w:rPr>
        <w:t>e have to assume an additional error</w:t>
      </w:r>
      <w:r w:rsidR="003E1E72">
        <w:rPr>
          <w:rFonts w:eastAsiaTheme="minorEastAsia"/>
          <w:lang w:val="en-US"/>
        </w:rPr>
        <w:t xml:space="preserve"> of</w:t>
      </w:r>
      <w:r>
        <w:rPr>
          <w:rFonts w:eastAsiaTheme="minorEastAsia"/>
          <w:lang w:val="en-US"/>
        </w:rPr>
        <w:t xml:space="preserve"> </w:t>
      </w:r>
      <w:r w:rsidR="00B53D50">
        <w:rPr>
          <w:rFonts w:eastAsiaTheme="minorEastAsia"/>
          <w:lang w:val="en-US"/>
        </w:rPr>
        <w:t>5 dB</w:t>
      </w:r>
      <w:r>
        <w:rPr>
          <w:rFonts w:eastAsiaTheme="minorEastAsia"/>
          <w:lang w:val="en-US"/>
        </w:rPr>
        <w:t xml:space="preserve"> for the extrapolation</w:t>
      </w:r>
      <w:r w:rsidR="00B53D50">
        <w:rPr>
          <w:rFonts w:eastAsiaTheme="minorEastAsia"/>
          <w:lang w:val="en-US"/>
        </w:rPr>
        <w:t xml:space="preserve"> to 6.5 THz</w:t>
      </w:r>
      <w:r>
        <w:rPr>
          <w:rFonts w:eastAsiaTheme="minorEastAsia"/>
          <w:lang w:val="en-US"/>
        </w:rPr>
        <w:t>.</w:t>
      </w:r>
    </w:p>
    <w:p w14:paraId="1DB2E896" w14:textId="77777777" w:rsidR="004D03FB" w:rsidRDefault="000343E0">
      <w:pPr>
        <w:jc w:val="both"/>
        <w:rPr>
          <w:lang w:val="en-US"/>
        </w:rPr>
      </w:pPr>
      <w:r>
        <w:rPr>
          <w:lang w:val="en-US"/>
        </w:rPr>
        <w:t>The calibration used a different local oscillator than the heterodyne measurements of the main manuscript. Both local oscillator use an optical power of 30 mW at the photoconductive receiver resulting in a minimal responsivity error due to slight power differences. A larger error may arise from differences in the used wavelengths, yet should not exceed 10 %.</w:t>
      </w:r>
    </w:p>
    <w:p w14:paraId="73919762" w14:textId="77777777" w:rsidR="004D03FB" w:rsidRDefault="000343E0">
      <w:pPr>
        <w:jc w:val="both"/>
        <w:rPr>
          <w:lang w:val="en-US"/>
        </w:rPr>
      </w:pPr>
      <w:r>
        <w:rPr>
          <w:lang w:val="en-US"/>
        </w:rPr>
        <w:t>We confirmed the accuracy of the responsivity calibration with the spectral and power measurement of a TOPTICA Terascan at a frequency of 95 GHz. A spectral measurement with a spectrum analyzer measures the power in each frequency bin for the corresponding resolution bandwidth. Integrating over the signals spectrum equals the power of the signal. For the confirmation, we measure the power separately, calculate the responsivity from the spectrum and the power and compare it to the responsivity acquired with the homodyne measurements. The difference between both calibration techniques is 1.4 dB which is well within the estimated errors of the calibration.</w:t>
      </w:r>
    </w:p>
    <w:p w14:paraId="33698316" w14:textId="77777777" w:rsidR="004D03FB" w:rsidRDefault="000343E0">
      <w:pPr>
        <w:jc w:val="both"/>
        <w:rPr>
          <w:lang w:val="en-US"/>
        </w:rPr>
      </w:pPr>
      <w:r>
        <w:rPr>
          <w:lang w:val="en-US"/>
        </w:rPr>
        <w:t>The calculation of the displayed average noise level uses the responsivity, the noise floor of the spectral measurements of the T-Sweeper and the resolution bandwidth. This is possible as the current noise floor of the photoconductive mixer is the same, independent of the local oscillator frequency at constant optical power, and the power noise floor scales linearly with the resolution bandwidth.</w:t>
      </w:r>
    </w:p>
    <w:sectPr w:rsidR="004D03FB">
      <w:pgSz w:w="11906" w:h="16838" w:orient="landscape"/>
      <w:pgMar w:top="1417" w:right="1417" w:bottom="1134" w:left="1417" w:header="708" w:footer="708" w:gutter="0"/>
      <w:lnNumType w:countBy="1" w:restart="continuous"/>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A8A910D" w16cex:dateUtc="2024-09-10T07: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BFB84A" w16cid:durableId="2A8A910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1E73DD" w14:textId="77777777" w:rsidR="009422E2" w:rsidRDefault="009422E2">
      <w:pPr>
        <w:spacing w:after="0" w:line="240" w:lineRule="auto"/>
      </w:pPr>
      <w:r>
        <w:separator/>
      </w:r>
    </w:p>
  </w:endnote>
  <w:endnote w:type="continuationSeparator" w:id="0">
    <w:p w14:paraId="4AD6FB20" w14:textId="77777777" w:rsidR="009422E2" w:rsidRDefault="00942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E35C37" w14:textId="77777777" w:rsidR="009422E2" w:rsidRDefault="009422E2">
      <w:pPr>
        <w:spacing w:after="0" w:line="240" w:lineRule="auto"/>
      </w:pPr>
      <w:r>
        <w:separator/>
      </w:r>
    </w:p>
  </w:footnote>
  <w:footnote w:type="continuationSeparator" w:id="0">
    <w:p w14:paraId="5F662AA4" w14:textId="77777777" w:rsidR="009422E2" w:rsidRDefault="009422E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3FB"/>
    <w:rsid w:val="000343E0"/>
    <w:rsid w:val="0035442D"/>
    <w:rsid w:val="003E1E72"/>
    <w:rsid w:val="00472B7B"/>
    <w:rsid w:val="004D03FB"/>
    <w:rsid w:val="009422E2"/>
    <w:rsid w:val="00B53D50"/>
    <w:rsid w:val="00BB479E"/>
    <w:rsid w:val="00D642DB"/>
    <w:rsid w:val="00E33D27"/>
    <w:rsid w:val="00ED5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3C564"/>
  <w15:docId w15:val="{0D2F246F-244D-43F6-82F9-451EFCA54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200"/>
      <w:outlineLvl w:val="0"/>
    </w:pPr>
    <w:rPr>
      <w:rFonts w:ascii="Arial" w:eastAsia="Arial" w:hAnsi="Arial" w:cs="Arial"/>
      <w:sz w:val="40"/>
      <w:szCs w:val="40"/>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Listenabsatz">
    <w:name w:val="List Paragraph"/>
    <w:basedOn w:val="Standard"/>
    <w:uiPriority w:val="34"/>
    <w:qFormat/>
    <w:pPr>
      <w:ind w:left="720"/>
      <w:contextualSpacing/>
    </w:p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paragraph" w:styleId="Kopfzeile">
    <w:name w:val="header"/>
    <w:basedOn w:val="Standard"/>
    <w:link w:val="KopfzeileZchn"/>
    <w:uiPriority w:val="99"/>
    <w:unhideWhenUsed/>
    <w:pPr>
      <w:tabs>
        <w:tab w:val="center" w:pos="7143"/>
        <w:tab w:val="right" w:pos="14287"/>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7143"/>
        <w:tab w:val="right" w:pos="14287"/>
      </w:tabs>
      <w:spacing w:after="0" w:line="240" w:lineRule="auto"/>
    </w:pPr>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5B9BD5" w:themeColor="accent1"/>
      <w:sz w:val="18"/>
      <w:szCs w:val="18"/>
    </w:rPr>
  </w:style>
  <w:style w:type="character" w:customStyle="1" w:styleId="FuzeileZchn">
    <w:name w:val="Fußzeile Zchn"/>
    <w:link w:val="Fuzeile"/>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Gr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character" w:styleId="Zeilennummer">
    <w:name w:val="line number"/>
    <w:basedOn w:val="Absatz-Standardschriftart"/>
    <w:uiPriority w:val="99"/>
    <w:semiHidden/>
    <w:unhideWhenUsed/>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sid w:val="00B53D50"/>
    <w:rPr>
      <w:sz w:val="16"/>
      <w:szCs w:val="16"/>
    </w:rPr>
  </w:style>
  <w:style w:type="paragraph" w:styleId="Kommentartext">
    <w:name w:val="annotation text"/>
    <w:basedOn w:val="Standard"/>
    <w:link w:val="KommentartextZchn"/>
    <w:uiPriority w:val="99"/>
    <w:semiHidden/>
    <w:unhideWhenUsed/>
    <w:rsid w:val="00B53D5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53D50"/>
    <w:rPr>
      <w:sz w:val="20"/>
      <w:szCs w:val="20"/>
    </w:rPr>
  </w:style>
  <w:style w:type="paragraph" w:styleId="Kommentarthema">
    <w:name w:val="annotation subject"/>
    <w:basedOn w:val="Kommentartext"/>
    <w:next w:val="Kommentartext"/>
    <w:link w:val="KommentarthemaZchn"/>
    <w:uiPriority w:val="99"/>
    <w:semiHidden/>
    <w:unhideWhenUsed/>
    <w:rsid w:val="00B53D50"/>
    <w:rPr>
      <w:b/>
      <w:bCs/>
    </w:rPr>
  </w:style>
  <w:style w:type="character" w:customStyle="1" w:styleId="KommentarthemaZchn">
    <w:name w:val="Kommentarthema Zchn"/>
    <w:basedOn w:val="KommentartextZchn"/>
    <w:link w:val="Kommentarthema"/>
    <w:uiPriority w:val="99"/>
    <w:semiHidden/>
    <w:rsid w:val="00B53D50"/>
    <w:rPr>
      <w:b/>
      <w:bCs/>
      <w:sz w:val="20"/>
      <w:szCs w:val="20"/>
    </w:rPr>
  </w:style>
  <w:style w:type="paragraph" w:styleId="Sprechblasentext">
    <w:name w:val="Balloon Text"/>
    <w:basedOn w:val="Standard"/>
    <w:link w:val="SprechblasentextZchn"/>
    <w:uiPriority w:val="99"/>
    <w:semiHidden/>
    <w:unhideWhenUsed/>
    <w:rsid w:val="00D642D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642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microsoft.com/office/2016/09/relationships/commentsIds" Target="commentsId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615</Words>
  <Characters>3877</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Benedikt Krause</dc:creator>
  <cp:keywords/>
  <dc:description/>
  <cp:lastModifiedBy>Benedikt Krause</cp:lastModifiedBy>
  <cp:revision>2</cp:revision>
  <dcterms:created xsi:type="dcterms:W3CDTF">2024-09-24T15:00:00Z</dcterms:created>
  <dcterms:modified xsi:type="dcterms:W3CDTF">2024-09-24T15:00:00Z</dcterms:modified>
</cp:coreProperties>
</file>