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413889" w14:textId="77777777" w:rsidR="001F19FE" w:rsidRPr="00C22324" w:rsidRDefault="001F19FE" w:rsidP="001F19FE">
      <w:pPr>
        <w:spacing w:line="480" w:lineRule="auto"/>
        <w:jc w:val="center"/>
        <w:rPr>
          <w:rFonts w:ascii="Times New Roman" w:hAnsi="Times New Roman" w:cs="Times New Roman"/>
          <w:b/>
          <w:sz w:val="22"/>
          <w:szCs w:val="22"/>
        </w:rPr>
      </w:pPr>
      <w:r w:rsidRPr="00C22324">
        <w:rPr>
          <w:rFonts w:ascii="Times New Roman" w:hAnsi="Times New Roman" w:cs="Times New Roman"/>
          <w:b/>
          <w:sz w:val="22"/>
          <w:szCs w:val="22"/>
        </w:rPr>
        <w:t>Appendices</w:t>
      </w:r>
    </w:p>
    <w:p w14:paraId="1622A1EF" w14:textId="77777777" w:rsidR="001F19FE" w:rsidRPr="002B619E" w:rsidRDefault="001F19FE" w:rsidP="001F19FE">
      <w:pPr>
        <w:spacing w:line="480" w:lineRule="auto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2B619E">
        <w:rPr>
          <w:rFonts w:ascii="Times New Roman" w:hAnsi="Times New Roman" w:cs="Times New Roman"/>
          <w:b/>
          <w:i/>
          <w:sz w:val="22"/>
          <w:szCs w:val="22"/>
        </w:rPr>
        <w:t>Appendix 1:</w:t>
      </w:r>
    </w:p>
    <w:p w14:paraId="49AB1036" w14:textId="77777777" w:rsidR="001F19FE" w:rsidRPr="00C22324" w:rsidRDefault="001F19FE" w:rsidP="001F19FE">
      <w:pPr>
        <w:spacing w:line="48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C22324">
        <w:rPr>
          <w:rFonts w:ascii="Times New Roman" w:hAnsi="Times New Roman" w:cs="Times New Roman"/>
          <w:sz w:val="22"/>
          <w:szCs w:val="22"/>
        </w:rPr>
        <w:t xml:space="preserve">Return on Equity: </w:t>
      </w:r>
      <w:r>
        <w:rPr>
          <w:rFonts w:ascii="Times New Roman" w:hAnsi="Times New Roman" w:cs="Times New Roman"/>
          <w:sz w:val="22"/>
          <w:szCs w:val="22"/>
        </w:rPr>
        <w:t>This i</w:t>
      </w:r>
      <w:r w:rsidRPr="00C22324">
        <w:rPr>
          <w:rFonts w:ascii="Times New Roman" w:hAnsi="Times New Roman" w:cs="Times New Roman"/>
          <w:sz w:val="22"/>
          <w:szCs w:val="22"/>
        </w:rPr>
        <w:t>s the annual return on equity and gives the return tracked by common equity shareholders</w:t>
      </w:r>
    </w:p>
    <w:p w14:paraId="4299BEE9" w14:textId="77777777" w:rsidR="001F19FE" w:rsidRPr="00C22324" w:rsidRDefault="001F19FE" w:rsidP="001F19FE">
      <w:pPr>
        <w:spacing w:line="48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C22324">
        <w:rPr>
          <w:rFonts w:ascii="Times New Roman" w:hAnsi="Times New Roman" w:cs="Times New Roman"/>
          <w:sz w:val="22"/>
          <w:szCs w:val="22"/>
        </w:rPr>
        <w:t>Return on Assets: An important metric explaining the value the company is able to generate from its asset base</w:t>
      </w:r>
    </w:p>
    <w:p w14:paraId="1F3DBB93" w14:textId="77777777" w:rsidR="001F19FE" w:rsidRPr="00C22324" w:rsidRDefault="001F19FE" w:rsidP="001F19FE">
      <w:pPr>
        <w:spacing w:line="48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C22324">
        <w:rPr>
          <w:rFonts w:ascii="Times New Roman" w:hAnsi="Times New Roman" w:cs="Times New Roman"/>
          <w:sz w:val="22"/>
          <w:szCs w:val="22"/>
        </w:rPr>
        <w:t>EBIDTA/Total Assets: Ratio of earnings of the firm before interest, depreciation, amortization</w:t>
      </w:r>
      <w:r>
        <w:rPr>
          <w:rFonts w:ascii="Times New Roman" w:hAnsi="Times New Roman" w:cs="Times New Roman"/>
          <w:sz w:val="22"/>
          <w:szCs w:val="22"/>
        </w:rPr>
        <w:t>,</w:t>
      </w:r>
      <w:r w:rsidRPr="00C22324">
        <w:rPr>
          <w:rFonts w:ascii="Times New Roman" w:hAnsi="Times New Roman" w:cs="Times New Roman"/>
          <w:sz w:val="22"/>
          <w:szCs w:val="22"/>
        </w:rPr>
        <w:t xml:space="preserve"> and taxes</w:t>
      </w:r>
      <w:r>
        <w:rPr>
          <w:rFonts w:ascii="Times New Roman" w:hAnsi="Times New Roman" w:cs="Times New Roman"/>
          <w:sz w:val="22"/>
          <w:szCs w:val="22"/>
        </w:rPr>
        <w:t>,</w:t>
      </w:r>
      <w:r w:rsidRPr="00C22324">
        <w:rPr>
          <w:rFonts w:ascii="Times New Roman" w:hAnsi="Times New Roman" w:cs="Times New Roman"/>
          <w:sz w:val="22"/>
          <w:szCs w:val="22"/>
        </w:rPr>
        <w:t xml:space="preserve"> scaled by the total assets of the company. EBIDTA is an important component that explains the earnings of the core business </w:t>
      </w:r>
    </w:p>
    <w:p w14:paraId="1E51C275" w14:textId="77777777" w:rsidR="001F19FE" w:rsidRPr="00C22324" w:rsidRDefault="001F19FE" w:rsidP="001F19FE">
      <w:pPr>
        <w:spacing w:line="48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C22324">
        <w:rPr>
          <w:rFonts w:ascii="Times New Roman" w:hAnsi="Times New Roman" w:cs="Times New Roman"/>
          <w:sz w:val="22"/>
          <w:szCs w:val="22"/>
        </w:rPr>
        <w:t>Tobin’s Q: This ratio is used to compare a company</w:t>
      </w:r>
      <w:r>
        <w:rPr>
          <w:rFonts w:ascii="Times New Roman" w:hAnsi="Times New Roman" w:cs="Times New Roman"/>
          <w:sz w:val="22"/>
          <w:szCs w:val="22"/>
        </w:rPr>
        <w:t>’s</w:t>
      </w:r>
      <w:r w:rsidRPr="00C22324">
        <w:rPr>
          <w:rFonts w:ascii="Times New Roman" w:hAnsi="Times New Roman" w:cs="Times New Roman"/>
          <w:sz w:val="22"/>
          <w:szCs w:val="22"/>
        </w:rPr>
        <w:t xml:space="preserve"> or index's market value to its book or replacement value. This gives investors an idea if a certain stock is </w:t>
      </w:r>
      <w:r>
        <w:rPr>
          <w:rFonts w:ascii="Times New Roman" w:hAnsi="Times New Roman" w:cs="Times New Roman"/>
          <w:sz w:val="22"/>
          <w:szCs w:val="22"/>
        </w:rPr>
        <w:t xml:space="preserve">overvalued or </w:t>
      </w:r>
      <w:r w:rsidRPr="00C22324">
        <w:rPr>
          <w:rFonts w:ascii="Times New Roman" w:hAnsi="Times New Roman" w:cs="Times New Roman"/>
          <w:sz w:val="22"/>
          <w:szCs w:val="22"/>
        </w:rPr>
        <w:t>undervalued.</w:t>
      </w:r>
    </w:p>
    <w:p w14:paraId="419DC3FE" w14:textId="77777777" w:rsidR="001F19FE" w:rsidRPr="00C22324" w:rsidRDefault="001F19FE" w:rsidP="001F19FE">
      <w:pPr>
        <w:spacing w:line="48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C22324">
        <w:rPr>
          <w:rFonts w:ascii="Times New Roman" w:hAnsi="Times New Roman" w:cs="Times New Roman"/>
          <w:sz w:val="22"/>
          <w:szCs w:val="22"/>
        </w:rPr>
        <w:t xml:space="preserve">Market capitalization: This component explains the size of the company </w:t>
      </w:r>
    </w:p>
    <w:p w14:paraId="5C74B7AC" w14:textId="77777777" w:rsidR="001F19FE" w:rsidRPr="00C22324" w:rsidRDefault="001F19FE" w:rsidP="001F19FE">
      <w:pPr>
        <w:spacing w:line="48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C22324">
        <w:rPr>
          <w:rFonts w:ascii="Times New Roman" w:hAnsi="Times New Roman" w:cs="Times New Roman"/>
          <w:sz w:val="22"/>
          <w:szCs w:val="22"/>
        </w:rPr>
        <w:t>Debt / Total Assets: This ratio explains the contribution of assets to the company</w:t>
      </w:r>
      <w:r>
        <w:rPr>
          <w:rFonts w:ascii="Times New Roman" w:hAnsi="Times New Roman" w:cs="Times New Roman"/>
          <w:sz w:val="22"/>
          <w:szCs w:val="22"/>
        </w:rPr>
        <w:t>’s</w:t>
      </w:r>
      <w:r w:rsidRPr="00C22324">
        <w:rPr>
          <w:rFonts w:ascii="Times New Roman" w:hAnsi="Times New Roman" w:cs="Times New Roman"/>
          <w:sz w:val="22"/>
          <w:szCs w:val="22"/>
        </w:rPr>
        <w:t xml:space="preserve"> debt. Indicates the utilization of debt funding in the actual business</w:t>
      </w:r>
    </w:p>
    <w:p w14:paraId="04B71782" w14:textId="77777777" w:rsidR="001F19FE" w:rsidRPr="00C22324" w:rsidRDefault="001F19FE" w:rsidP="001F19FE">
      <w:pPr>
        <w:spacing w:line="48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C22324">
        <w:rPr>
          <w:rFonts w:ascii="Times New Roman" w:hAnsi="Times New Roman" w:cs="Times New Roman"/>
          <w:sz w:val="22"/>
          <w:szCs w:val="22"/>
        </w:rPr>
        <w:t>Sales / Total Assets: This ratio explains the revenues being generated over the asset base of the firm</w:t>
      </w:r>
    </w:p>
    <w:p w14:paraId="7F0D776B" w14:textId="77777777" w:rsidR="001F19FE" w:rsidRPr="00C22324" w:rsidRDefault="001F19FE" w:rsidP="001F19FE">
      <w:pPr>
        <w:spacing w:line="48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C22324">
        <w:rPr>
          <w:rFonts w:ascii="Times New Roman" w:hAnsi="Times New Roman" w:cs="Times New Roman"/>
          <w:sz w:val="22"/>
          <w:szCs w:val="22"/>
        </w:rPr>
        <w:t xml:space="preserve">Dividends: Explains the profit sharing the firm does with its shareholders. </w:t>
      </w:r>
    </w:p>
    <w:p w14:paraId="42AB2F9E" w14:textId="77777777" w:rsidR="001F19FE" w:rsidRPr="00C22324" w:rsidRDefault="001F19FE" w:rsidP="001F19FE">
      <w:pPr>
        <w:spacing w:line="480" w:lineRule="auto"/>
        <w:jc w:val="both"/>
        <w:rPr>
          <w:rFonts w:ascii="Times New Roman" w:hAnsi="Times New Roman" w:cs="Times New Roman"/>
          <w:b/>
          <w:sz w:val="22"/>
          <w:szCs w:val="22"/>
        </w:rPr>
      </w:pPr>
      <w:r w:rsidRPr="00C22324">
        <w:rPr>
          <w:rFonts w:ascii="Times New Roman" w:hAnsi="Times New Roman" w:cs="Times New Roman"/>
          <w:sz w:val="22"/>
          <w:szCs w:val="22"/>
        </w:rPr>
        <w:t>Annual Returns: This is taken from the closing share price information. Its average of annual returns for each year for the subject stocks</w:t>
      </w:r>
    </w:p>
    <w:p w14:paraId="3C4EA208" w14:textId="77777777" w:rsidR="001F19FE" w:rsidRPr="00C22324" w:rsidRDefault="001F19FE" w:rsidP="001F19FE">
      <w:pPr>
        <w:spacing w:line="480" w:lineRule="auto"/>
        <w:jc w:val="both"/>
        <w:rPr>
          <w:rFonts w:ascii="Times New Roman" w:hAnsi="Times New Roman" w:cs="Times New Roman"/>
          <w:sz w:val="22"/>
          <w:szCs w:val="22"/>
        </w:rPr>
      </w:pPr>
    </w:p>
    <w:p w14:paraId="2FAADA62" w14:textId="77777777" w:rsidR="001F19FE" w:rsidRPr="002B619E" w:rsidRDefault="001F19FE" w:rsidP="001F19FE">
      <w:pPr>
        <w:spacing w:line="480" w:lineRule="auto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2B619E">
        <w:rPr>
          <w:rFonts w:ascii="Times New Roman" w:hAnsi="Times New Roman" w:cs="Times New Roman"/>
          <w:b/>
          <w:i/>
          <w:sz w:val="22"/>
          <w:szCs w:val="22"/>
        </w:rPr>
        <w:t>Appendix 2:</w:t>
      </w:r>
    </w:p>
    <w:p w14:paraId="4888B466" w14:textId="77777777" w:rsidR="001F19FE" w:rsidRPr="00C22324" w:rsidRDefault="001F19FE" w:rsidP="001F19FE">
      <w:pPr>
        <w:spacing w:line="48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C22324">
        <w:rPr>
          <w:rFonts w:ascii="Times New Roman" w:hAnsi="Times New Roman" w:cs="Times New Roman"/>
          <w:sz w:val="22"/>
          <w:szCs w:val="22"/>
        </w:rPr>
        <w:t>Poor five-day CAR</w:t>
      </w:r>
      <w:r>
        <w:rPr>
          <w:rFonts w:ascii="Times New Roman" w:hAnsi="Times New Roman" w:cs="Times New Roman"/>
          <w:sz w:val="22"/>
          <w:szCs w:val="22"/>
        </w:rPr>
        <w:t>:</w:t>
      </w:r>
      <w:r w:rsidRPr="00C22324">
        <w:rPr>
          <w:rFonts w:ascii="Times New Roman" w:hAnsi="Times New Roman" w:cs="Times New Roman"/>
          <w:sz w:val="22"/>
          <w:szCs w:val="22"/>
        </w:rPr>
        <w:t xml:space="preserve"> CAR showed a negative trend;</w:t>
      </w:r>
    </w:p>
    <w:p w14:paraId="3F7D7BE1" w14:textId="77777777" w:rsidR="001F19FE" w:rsidRPr="00C22324" w:rsidRDefault="001F19FE" w:rsidP="001F19FE">
      <w:pPr>
        <w:spacing w:line="480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Improved</w:t>
      </w:r>
      <w:r w:rsidRPr="00C22324">
        <w:rPr>
          <w:rFonts w:ascii="Times New Roman" w:hAnsi="Times New Roman" w:cs="Times New Roman"/>
          <w:sz w:val="22"/>
          <w:szCs w:val="22"/>
        </w:rPr>
        <w:t xml:space="preserve"> five-day CAR</w:t>
      </w:r>
      <w:r>
        <w:rPr>
          <w:rFonts w:ascii="Times New Roman" w:hAnsi="Times New Roman" w:cs="Times New Roman"/>
          <w:sz w:val="22"/>
          <w:szCs w:val="22"/>
        </w:rPr>
        <w:t xml:space="preserve">: </w:t>
      </w:r>
      <w:r w:rsidRPr="00C22324">
        <w:rPr>
          <w:rFonts w:ascii="Times New Roman" w:hAnsi="Times New Roman" w:cs="Times New Roman"/>
          <w:sz w:val="22"/>
          <w:szCs w:val="22"/>
        </w:rPr>
        <w:t>CAR showed a positive trend;</w:t>
      </w:r>
    </w:p>
    <w:p w14:paraId="4C0643E0" w14:textId="77777777" w:rsidR="001F19FE" w:rsidRPr="00C22324" w:rsidRDefault="001F19FE" w:rsidP="001F19FE">
      <w:pPr>
        <w:spacing w:line="48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C22324">
        <w:rPr>
          <w:rFonts w:ascii="Times New Roman" w:hAnsi="Times New Roman" w:cs="Times New Roman"/>
          <w:sz w:val="22"/>
          <w:szCs w:val="22"/>
        </w:rPr>
        <w:t>Mixed five-day CAR</w:t>
      </w:r>
      <w:r>
        <w:rPr>
          <w:rFonts w:ascii="Times New Roman" w:hAnsi="Times New Roman" w:cs="Times New Roman"/>
          <w:sz w:val="22"/>
          <w:szCs w:val="22"/>
        </w:rPr>
        <w:t xml:space="preserve">: </w:t>
      </w:r>
      <w:r w:rsidRPr="00C22324">
        <w:rPr>
          <w:rFonts w:ascii="Times New Roman" w:hAnsi="Times New Roman" w:cs="Times New Roman"/>
          <w:sz w:val="22"/>
          <w:szCs w:val="22"/>
        </w:rPr>
        <w:t>There is a mix of a few positive and a few negative returns in the five-day CAR</w:t>
      </w:r>
    </w:p>
    <w:p w14:paraId="2766B9C0" w14:textId="77777777" w:rsidR="001F19FE" w:rsidRPr="00C22324" w:rsidRDefault="001F19FE" w:rsidP="001F19FE">
      <w:pPr>
        <w:spacing w:line="480" w:lineRule="auto"/>
        <w:jc w:val="both"/>
        <w:rPr>
          <w:rFonts w:ascii="Times New Roman" w:hAnsi="Times New Roman" w:cs="Times New Roman"/>
          <w:sz w:val="22"/>
          <w:szCs w:val="22"/>
        </w:rPr>
      </w:pPr>
    </w:p>
    <w:p w14:paraId="4BE72D80" w14:textId="77777777" w:rsidR="00755780" w:rsidRDefault="00755780"/>
    <w:sectPr w:rsidR="00755780" w:rsidSect="001F19FE">
      <w:footerReference w:type="even" r:id="rId4"/>
      <w:footerReference w:type="default" r:id="rId5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2090372476"/>
      <w:docPartObj>
        <w:docPartGallery w:val="Page Numbers (Bottom of Page)"/>
        <w:docPartUnique/>
      </w:docPartObj>
    </w:sdtPr>
    <w:sdtContent>
      <w:p w14:paraId="2AF0B845" w14:textId="77777777" w:rsidR="00000000" w:rsidRDefault="00000000" w:rsidP="0014731C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FD9E769" w14:textId="77777777" w:rsidR="00000000" w:rsidRDefault="0000000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1496727420"/>
      <w:docPartObj>
        <w:docPartGallery w:val="Page Numbers (Bottom of Page)"/>
        <w:docPartUnique/>
      </w:docPartObj>
    </w:sdtPr>
    <w:sdtContent>
      <w:p w14:paraId="40BDEDFB" w14:textId="77777777" w:rsidR="00000000" w:rsidRDefault="00000000" w:rsidP="0014731C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15F7D5D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19FE"/>
    <w:rsid w:val="001F19FE"/>
    <w:rsid w:val="00331A6B"/>
    <w:rsid w:val="00755780"/>
    <w:rsid w:val="00857596"/>
    <w:rsid w:val="00C13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F556F0"/>
  <w15:chartTrackingRefBased/>
  <w15:docId w15:val="{D9ED706E-FD00-4A4B-9CD9-262945518E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19FE"/>
    <w:pPr>
      <w:spacing w:after="0" w:line="240" w:lineRule="auto"/>
    </w:pPr>
    <w:rPr>
      <w:kern w:val="0"/>
      <w:sz w:val="24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F19FE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F19FE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F19FE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F19FE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F19FE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F19FE"/>
    <w:pPr>
      <w:keepNext/>
      <w:keepLines/>
      <w:spacing w:before="4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F19FE"/>
    <w:pPr>
      <w:keepNext/>
      <w:keepLines/>
      <w:spacing w:before="40" w:line="259" w:lineRule="auto"/>
      <w:outlineLvl w:val="6"/>
    </w:pPr>
    <w:rPr>
      <w:rFonts w:eastAsiaTheme="majorEastAsia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F19FE"/>
    <w:pPr>
      <w:keepNext/>
      <w:keepLines/>
      <w:spacing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F19FE"/>
    <w:pPr>
      <w:keepNext/>
      <w:keepLines/>
      <w:spacing w:line="259" w:lineRule="auto"/>
      <w:outlineLvl w:val="8"/>
    </w:pPr>
    <w:rPr>
      <w:rFonts w:eastAsiaTheme="majorEastAsia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19F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F19F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F19F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F19F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F19F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F19F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F19F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F19F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F19F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F19F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F19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F19FE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F19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F19FE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F19F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F19FE"/>
    <w:pPr>
      <w:spacing w:after="160" w:line="259" w:lineRule="auto"/>
      <w:ind w:left="720"/>
      <w:contextualSpacing/>
    </w:pPr>
    <w:rPr>
      <w:kern w:val="2"/>
      <w:sz w:val="22"/>
      <w:szCs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F19F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F19F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19F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F19FE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1F19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F19FE"/>
    <w:rPr>
      <w:kern w:val="0"/>
      <w:sz w:val="24"/>
      <w:szCs w:val="24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1F19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213</Words>
  <Characters>1217</Characters>
  <Application>Microsoft Office Word</Application>
  <DocSecurity>0</DocSecurity>
  <Lines>10</Lines>
  <Paragraphs>2</Paragraphs>
  <ScaleCrop>false</ScaleCrop>
  <Company>Springer Nature</Company>
  <LinksUpToDate>false</LinksUpToDate>
  <CharactersWithSpaces>1428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2024-12-11T17:31:00Z</dcterms:created>
  <dcterms:modified xsi:type="dcterms:W3CDTF">2024-12-11T17:31:00Z</dcterms:modified>
</cp:coreProperties>
</file>