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contextualSpacing/>
        <w:jc w:val="left"/>
        <w:rPr>
          <w:rFonts w:ascii="Times New Roman" w:eastAsia="ＭＳ Ｐゴシック" w:hAnsi="Times New Roman"/>
          <w:bCs/>
          <w:color w:val="000000"/>
          <w:kern w:val="0"/>
          <w:sz w:val="24"/>
        </w:rPr>
      </w:pPr>
      <w:r>
        <w:rPr>
          <w:rFonts w:ascii="Times New Roman" w:eastAsia="ＭＳ Ｐゴシック" w:hAnsi="Times New Roman"/>
          <w:b/>
          <w:bCs/>
          <w:color w:val="000000"/>
          <w:kern w:val="0"/>
          <w:sz w:val="24"/>
        </w:rPr>
        <w:t>Appendix Table 1.</w:t>
      </w: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 xml:space="preserve"> </w:t>
      </w:r>
    </w:p>
    <w:p>
      <w:pPr>
        <w:contextualSpacing/>
        <w:jc w:val="left"/>
        <w:rPr>
          <w:rFonts w:ascii="Times New Roman" w:eastAsia="ＭＳ Ｐゴシック" w:hAnsi="Times New Roman"/>
          <w:bCs/>
          <w:color w:val="000000"/>
          <w:kern w:val="0"/>
          <w:sz w:val="24"/>
        </w:rPr>
      </w:pP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>Results of the Probabilistic Sensitivity Analysis-1,000 individuals with 1,000 Monte Carlo Simulations</w:t>
      </w:r>
    </w:p>
    <w:tbl>
      <w:tblPr>
        <w:tblStyle w:val="a3"/>
        <w:tblW w:w="5000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79"/>
        <w:gridCol w:w="1806"/>
        <w:gridCol w:w="936"/>
        <w:gridCol w:w="804"/>
        <w:gridCol w:w="1464"/>
        <w:gridCol w:w="1138"/>
        <w:gridCol w:w="1445"/>
        <w:gridCol w:w="2458"/>
      </w:tblGrid>
      <w:tr>
        <w:tc>
          <w:tcPr>
            <w:tcW w:w="1193" w:type="pct"/>
            <w:gridSpan w:val="2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Population</w:t>
            </w:r>
          </w:p>
        </w:tc>
        <w:tc>
          <w:tcPr>
            <w:tcW w:w="432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Interval</w:t>
            </w:r>
          </w:p>
        </w:tc>
        <w:tc>
          <w:tcPr>
            <w:tcW w:w="371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QALY</w:t>
            </w:r>
          </w:p>
        </w:tc>
        <w:tc>
          <w:tcPr>
            <w:tcW w:w="676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Incremental QALY</w:t>
            </w:r>
          </w:p>
        </w:tc>
        <w:tc>
          <w:tcPr>
            <w:tcW w:w="525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Cost ($)</w:t>
            </w:r>
          </w:p>
        </w:tc>
        <w:tc>
          <w:tcPr>
            <w:tcW w:w="667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Incremental cost ($)</w:t>
            </w:r>
          </w:p>
        </w:tc>
        <w:tc>
          <w:tcPr>
            <w:tcW w:w="1135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ICER ($/QALY)</w:t>
            </w:r>
          </w:p>
        </w:tc>
      </w:tr>
      <w:tr>
        <w:tc>
          <w:tcPr>
            <w:tcW w:w="360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Age</w:t>
            </w:r>
          </w:p>
        </w:tc>
        <w:tc>
          <w:tcPr>
            <w:tcW w:w="834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BMI group</w:t>
            </w:r>
          </w:p>
        </w:tc>
        <w:tc>
          <w:tcPr>
            <w:tcW w:w="432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71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25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135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30-44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30.15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2,464.40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30.15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976.09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rPr>
          <w:trHeight w:val="199"/>
        </w:trP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10-year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426.58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30.13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2,495.39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0.002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1,117.75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395.94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181,321.36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6-year)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6-year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721.81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29.87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2,873.92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29.94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2,720.52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4-year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29.94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2,466.16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28.88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4,360.47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29.18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9,013.37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29.21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0.33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9,014.82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4,654.30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14,035.31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45-59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195,290.60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23.57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0.003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86,842.28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459.46</w:t>
            </w:r>
          </w:p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182,263.40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10-year)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10-year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40,896.47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23.42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2,055.86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1,491.09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6-year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1,137.62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23.16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2,790.12</w:t>
            </w:r>
          </w:p>
        </w:tc>
        <w:tc>
          <w:tcPr>
            <w:tcW w:w="667" w:type="pct"/>
            <w:shd w:val="clear" w:color="auto" w:fill="auto"/>
          </w:tcPr>
          <w:p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rPr>
          <w:trHeight w:val="47"/>
        </w:trP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23.26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3,098.03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235.80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26,771.81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23.25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0.09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2,862.22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72.10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802.17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 xml:space="preserve"> (vs Annual)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22.27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3,068.62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22.67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7,555.49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262.53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28</w:t>
            </w: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842.73</w:t>
            </w:r>
          </w:p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22.66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0.38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7,292.96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4,224.34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11</w:t>
            </w: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000.99</w:t>
            </w:r>
          </w:p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60-74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1330.28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0.004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661.71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194.53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47,742.19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6-year)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6-year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15.76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467.18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15.65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1366.64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15.70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1008.83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294.71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44026.83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7-year)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15.69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714.11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15.45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1,453.632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15.54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1,810.007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246.61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30,620.69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lastRenderedPageBreak/>
              <w:t>(vs 5-year)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5-year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15.53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0.08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1,563.397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109.7649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1,347.50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15.02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1,629.16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15.25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0.004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3,606.67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176.59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40,588.01</w:t>
            </w:r>
          </w:p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15.25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0.22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3,430.09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1,800.93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8,108.36</w:t>
            </w:r>
            <w:bookmarkStart w:id="0" w:name="_GoBack"/>
            <w:bookmarkEnd w:id="0"/>
          </w:p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(vs annual)</w:t>
            </w:r>
          </w:p>
        </w:tc>
      </w:tr>
    </w:tbl>
    <w:p>
      <w:pPr>
        <w:spacing w:line="480" w:lineRule="auto"/>
        <w:contextualSpacing/>
        <w:jc w:val="left"/>
        <w:rPr>
          <w:rFonts w:ascii="Times New Roman" w:eastAsia="ＭＳ Ｐゴシック" w:hAnsi="Times New Roman" w:cs="Arial"/>
          <w:b/>
          <w:bCs/>
          <w:color w:val="000000"/>
          <w:kern w:val="0"/>
          <w:sz w:val="24"/>
          <w:szCs w:val="20"/>
        </w:rPr>
      </w:pPr>
      <w:r>
        <w:rPr>
          <w:rFonts w:ascii="Times New Roman" w:eastAsia="ＭＳ Ｐゴシック" w:hAnsi="Times New Roman"/>
          <w:bCs/>
          <w:color w:val="000000"/>
          <w:kern w:val="0"/>
          <w:sz w:val="24"/>
          <w:u w:val="single"/>
        </w:rPr>
        <w:t>Underlined</w:t>
      </w: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 xml:space="preserve"> intervals are found to be the most cost effective strategies with a willingness-to-pay threshold of $50,000. Units of costs, incremental costs and ICER is in USD$.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r>
        <w:lastRenderedPageBreak/>
        <w:t>Appendix Figure 1: Age 30-44 years old: Outcomes of 1000 simulations from the societal perspective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90"/>
        <w:gridCol w:w="6926"/>
      </w:tblGrid>
      <w:tr>
        <w:trPr>
          <w:trHeight w:val="345"/>
        </w:trPr>
        <w:tc>
          <w:tcPr>
            <w:tcW w:w="2216" w:type="dxa"/>
            <w:gridSpan w:val="2"/>
          </w:tcPr>
          <w:p>
            <w:r>
              <w:t>Underweight</w:t>
            </w:r>
          </w:p>
        </w:tc>
        <w:tc>
          <w:tcPr>
            <w:tcW w:w="6926" w:type="dxa"/>
            <w:vMerge w:val="restart"/>
          </w:tcPr>
          <w:p>
            <w:r>
              <w:object w:dxaOrig="16650" w:dyaOrig="96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5.3pt;height:193.45pt" o:ole="">
                  <v:imagedata r:id="rId7" o:title=""/>
                </v:shape>
                <o:OLEObject Type="Embed" ProgID="PBrush" ShapeID="_x0000_i1025" DrawAspect="Content" ObjectID="_1657717398" r:id="rId8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10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1590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9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6365" w:dyaOrig="9600">
                <v:shape id="_x0000_i1026" type="#_x0000_t75" style="width:335.3pt;height:196.1pt" o:ole="">
                  <v:imagedata r:id="rId9" o:title=""/>
                </v:shape>
                <o:OLEObject Type="Embed" ProgID="PBrush" ShapeID="_x0000_i1026" DrawAspect="Content" ObjectID="_1657717399" r:id="rId10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Every 6 years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03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9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Overweight</w:t>
            </w:r>
          </w:p>
        </w:tc>
        <w:tc>
          <w:tcPr>
            <w:tcW w:w="6926" w:type="dxa"/>
            <w:vMerge w:val="restart"/>
            <w:tcBorders>
              <w:top w:val="single" w:sz="4" w:space="0" w:color="000000"/>
            </w:tcBorders>
          </w:tcPr>
          <w:p>
            <w:r>
              <w:object w:dxaOrig="16395" w:dyaOrig="9675">
                <v:shape id="_x0000_i1027" type="#_x0000_t75" style="width:335.3pt;height:197.75pt" o:ole="">
                  <v:imagedata r:id="rId11" o:title=""/>
                </v:shape>
                <o:OLEObject Type="Embed" ProgID="PBrush" ShapeID="_x0000_i1027" DrawAspect="Content" ObjectID="_1657717400" r:id="rId12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Obese</w:t>
            </w:r>
          </w:p>
        </w:tc>
        <w:tc>
          <w:tcPr>
            <w:tcW w:w="6926" w:type="dxa"/>
            <w:vMerge w:val="restart"/>
          </w:tcPr>
          <w:p>
            <w:r>
              <w:object w:dxaOrig="16395" w:dyaOrig="9630">
                <v:shape id="_x0000_i1028" type="#_x0000_t75" style="width:328.85pt;height:193.45pt" o:ole="">
                  <v:imagedata r:id="rId13" o:title=""/>
                </v:shape>
                <o:OLEObject Type="Embed" ProgID="PBrush" ShapeID="_x0000_i1028" DrawAspect="Content" ObjectID="_1657717401" r:id="rId14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2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</w:tcPr>
          <w:p/>
        </w:tc>
      </w:tr>
    </w:tbl>
    <w:p>
      <w:r>
        <w:lastRenderedPageBreak/>
        <w:t>Appendix Figure 2: Age 45-59 years old: Outcomes of 1000 simulations from the societal perspective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6946"/>
      </w:tblGrid>
      <w:tr>
        <w:trPr>
          <w:trHeight w:val="77"/>
        </w:trPr>
        <w:tc>
          <w:tcPr>
            <w:tcW w:w="2263" w:type="dxa"/>
            <w:gridSpan w:val="2"/>
          </w:tcPr>
          <w:p>
            <w:r>
              <w:t>Underweight</w:t>
            </w:r>
          </w:p>
        </w:tc>
        <w:tc>
          <w:tcPr>
            <w:tcW w:w="6946" w:type="dxa"/>
            <w:vMerge w:val="restart"/>
          </w:tcPr>
          <w:p>
            <w:r>
              <w:object w:dxaOrig="16395" w:dyaOrig="9540">
                <v:shape id="_x0000_i1029" type="#_x0000_t75" style="width:318.1pt;height:184.85pt" o:ole="">
                  <v:imagedata r:id="rId15" o:title=""/>
                </v:shape>
                <o:OLEObject Type="Embed" ProgID="PBrush" ShapeID="_x0000_i1029" DrawAspect="Content" ObjectID="_1657717402" r:id="rId16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10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Normal</w:t>
            </w:r>
          </w:p>
        </w:tc>
        <w:tc>
          <w:tcPr>
            <w:tcW w:w="6946" w:type="dxa"/>
            <w:vMerge w:val="restart"/>
          </w:tcPr>
          <w:p>
            <w:r>
              <w:object w:dxaOrig="16380" w:dyaOrig="9645">
                <v:shape id="_x0000_i1030" type="#_x0000_t75" style="width:318pt;height:188pt" o:ole="">
                  <v:imagedata r:id="rId17" o:title=""/>
                </v:shape>
                <o:OLEObject Type="Embed" ProgID="PBrush" ShapeID="_x0000_i1030" DrawAspect="Content" ObjectID="_1657717403" r:id="rId18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Overweight</w:t>
            </w:r>
          </w:p>
        </w:tc>
        <w:tc>
          <w:tcPr>
            <w:tcW w:w="6946" w:type="dxa"/>
            <w:vMerge w:val="restart"/>
          </w:tcPr>
          <w:p>
            <w:r>
              <w:object w:dxaOrig="16455" w:dyaOrig="9555">
                <v:shape id="_x0000_i1031" type="#_x0000_t75" style="width:318.5pt;height:185.5pt" o:ole="">
                  <v:imagedata r:id="rId19" o:title=""/>
                </v:shape>
                <o:OLEObject Type="Embed" ProgID="PBrush" ShapeID="_x0000_i1031" DrawAspect="Content" ObjectID="_1657717404" r:id="rId20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Obese</w:t>
            </w:r>
          </w:p>
        </w:tc>
        <w:tc>
          <w:tcPr>
            <w:tcW w:w="6946" w:type="dxa"/>
            <w:vMerge w:val="restart"/>
          </w:tcPr>
          <w:p>
            <w:r>
              <w:object w:dxaOrig="16410" w:dyaOrig="9570">
                <v:shape id="_x0000_i1032" type="#_x0000_t75" style="width:318.5pt;height:186.5pt" o:ole="">
                  <v:imagedata r:id="rId21" o:title=""/>
                </v:shape>
                <o:OLEObject Type="Embed" ProgID="PBrush" ShapeID="_x0000_i1032" DrawAspect="Content" ObjectID="_1657717405" r:id="rId22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</w:tbl>
    <w:p>
      <w:pPr>
        <w:widowControl/>
        <w:jc w:val="left"/>
      </w:pPr>
      <w:r>
        <w:br w:type="page"/>
      </w:r>
      <w:r>
        <w:lastRenderedPageBreak/>
        <w:t>Appendix Figure 3: Age 60-74 years old: Outcomes of 1000 simulations from the societal perspective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1842"/>
        <w:gridCol w:w="6941"/>
      </w:tblGrid>
      <w:tr>
        <w:trPr>
          <w:trHeight w:val="164"/>
        </w:trPr>
        <w:tc>
          <w:tcPr>
            <w:tcW w:w="2268" w:type="dxa"/>
            <w:gridSpan w:val="2"/>
          </w:tcPr>
          <w:p>
            <w:r>
              <w:t>Underweight</w:t>
            </w:r>
          </w:p>
        </w:tc>
        <w:tc>
          <w:tcPr>
            <w:tcW w:w="6941" w:type="dxa"/>
            <w:vMerge w:val="restart"/>
          </w:tcPr>
          <w:p>
            <w:r>
              <w:object w:dxaOrig="16395" w:dyaOrig="9555">
                <v:shape id="_x0000_i1033" type="#_x0000_t75" style="width:336pt;height:195pt" o:ole="">
                  <v:imagedata r:id="rId23" o:title=""/>
                </v:shape>
                <o:OLEObject Type="Embed" ProgID="PBrush" ShapeID="_x0000_i1033" DrawAspect="Content" ObjectID="_1657717406" r:id="rId24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Normal</w:t>
            </w:r>
          </w:p>
        </w:tc>
        <w:tc>
          <w:tcPr>
            <w:tcW w:w="6941" w:type="dxa"/>
            <w:vMerge w:val="restart"/>
          </w:tcPr>
          <w:p>
            <w:r>
              <w:object w:dxaOrig="16500" w:dyaOrig="9495">
                <v:shape id="_x0000_i1034" type="#_x0000_t75" style="width:334.75pt;height:193.45pt" o:ole="">
                  <v:imagedata r:id="rId25" o:title=""/>
                </v:shape>
                <o:OLEObject Type="Embed" ProgID="PBrush" ShapeID="_x0000_i1034" DrawAspect="Content" ObjectID="_1657717407" r:id="rId26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7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Overweight</w:t>
            </w:r>
          </w:p>
        </w:tc>
        <w:tc>
          <w:tcPr>
            <w:tcW w:w="6941" w:type="dxa"/>
            <w:vMerge w:val="restart"/>
          </w:tcPr>
          <w:p>
            <w:r>
              <w:object w:dxaOrig="16410" w:dyaOrig="9510">
                <v:shape id="_x0000_i1035" type="#_x0000_t75" style="width:335.8pt;height:194.5pt" o:ole="">
                  <v:imagedata r:id="rId27" o:title=""/>
                </v:shape>
                <o:OLEObject Type="Embed" ProgID="PBrush" ShapeID="_x0000_i1035" DrawAspect="Content" ObjectID="_1657717408" r:id="rId28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5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Obese</w:t>
            </w:r>
          </w:p>
        </w:tc>
        <w:tc>
          <w:tcPr>
            <w:tcW w:w="6941" w:type="dxa"/>
            <w:vMerge w:val="restart"/>
          </w:tcPr>
          <w:p>
            <w:r>
              <w:object w:dxaOrig="16410" w:dyaOrig="9585">
                <v:shape id="_x0000_i1036" type="#_x0000_t75" style="width:335.5pt;height:195.5pt" o:ole="">
                  <v:imagedata r:id="rId29" o:title=""/>
                </v:shape>
                <o:OLEObject Type="Embed" ProgID="PBrush" ShapeID="_x0000_i1036" DrawAspect="Content" ObjectID="_1657717409" r:id="rId30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</w:tbl>
    <w:p>
      <w:r>
        <w:lastRenderedPageBreak/>
        <w:t>Appendix Figure 4: Age 30-44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90"/>
        <w:gridCol w:w="6866"/>
      </w:tblGrid>
      <w:tr>
        <w:trPr>
          <w:trHeight w:val="345"/>
        </w:trPr>
        <w:tc>
          <w:tcPr>
            <w:tcW w:w="221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6380" w:dyaOrig="9675">
                <v:shape id="_x0000_i1037" type="#_x0000_t75" style="width:314.5pt;height:186pt" o:ole="">
                  <v:imagedata r:id="rId31" o:title=""/>
                </v:shape>
                <o:OLEObject Type="Embed" ProgID="PBrush" ShapeID="_x0000_i1037" DrawAspect="Content" ObjectID="_1657717410" r:id="rId32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10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08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6320" w:dyaOrig="9675">
                <v:shape id="_x0000_i1038" type="#_x0000_t75" style="width:309.5pt;height:184pt" o:ole="">
                  <v:imagedata r:id="rId33" o:title=""/>
                </v:shape>
                <o:OLEObject Type="Embed" ProgID="PBrush" ShapeID="_x0000_i1038" DrawAspect="Content" ObjectID="_1657717411" r:id="rId34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666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6275" w:dyaOrig="9600">
                <v:shape id="_x0000_i1039" type="#_x0000_t75" style="width:309pt;height:183pt" o:ole="">
                  <v:imagedata r:id="rId35" o:title=""/>
                </v:shape>
                <o:OLEObject Type="Embed" ProgID="PBrush" ShapeID="_x0000_i1039" DrawAspect="Content" ObjectID="_1657717412" r:id="rId36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6365" w:dyaOrig="9615">
                <v:shape id="_x0000_i1040" type="#_x0000_t75" style="width:296.05pt;height:174.65pt" o:ole="">
                  <v:imagedata r:id="rId37" o:title=""/>
                </v:shape>
                <o:OLEObject Type="Embed" ProgID="PBrush" ShapeID="_x0000_i1040" DrawAspect="Content" ObjectID="_1657717413" r:id="rId38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2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/>
    <w:p>
      <w:pPr>
        <w:widowControl/>
        <w:jc w:val="left"/>
      </w:pPr>
      <w:r>
        <w:br w:type="page"/>
      </w:r>
      <w:r>
        <w:lastRenderedPageBreak/>
        <w:t>Appendix Figure 5: Age 45-59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90"/>
        <w:gridCol w:w="6866"/>
      </w:tblGrid>
      <w:tr>
        <w:trPr>
          <w:trHeight w:val="345"/>
        </w:trPr>
        <w:tc>
          <w:tcPr>
            <w:tcW w:w="221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3890" w:dyaOrig="8130">
                <v:shape id="_x0000_i1041" type="#_x0000_t75" style="width:329.9pt;height:194.5pt" o:ole="">
                  <v:imagedata r:id="rId39" o:title=""/>
                </v:shape>
                <o:OLEObject Type="Embed" ProgID="PBrush" ShapeID="_x0000_i1041" DrawAspect="Content" ObjectID="_1657717414" r:id="rId40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10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52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3800" w:dyaOrig="8175">
                <v:shape id="_x0000_i1042" type="#_x0000_t75" style="width:329.9pt;height:196.65pt" o:ole="">
                  <v:imagedata r:id="rId41" o:title=""/>
                </v:shape>
                <o:OLEObject Type="Embed" ProgID="PBrush" ShapeID="_x0000_i1042" DrawAspect="Content" ObjectID="_1657717415" r:id="rId42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03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3905" w:dyaOrig="8220">
                <v:shape id="_x0000_i1043" type="#_x0000_t75" style="width:330.45pt;height:194.5pt" o:ole="">
                  <v:imagedata r:id="rId43" o:title=""/>
                </v:shape>
                <o:OLEObject Type="Embed" ProgID="PBrush" ShapeID="_x0000_i1043" DrawAspect="Content" ObjectID="_1657717416" r:id="rId44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3890" w:dyaOrig="8175">
                <v:shape id="_x0000_i1044" type="#_x0000_t75" style="width:321.3pt;height:188.6pt" o:ole="">
                  <v:imagedata r:id="rId45" o:title=""/>
                </v:shape>
                <o:OLEObject Type="Embed" ProgID="PBrush" ShapeID="_x0000_i1044" DrawAspect="Content" ObjectID="_1657717417" r:id="rId46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>
      <w:r>
        <w:lastRenderedPageBreak/>
        <w:t>Appendix Figure 6: Age 60-74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90"/>
        <w:gridCol w:w="6866"/>
      </w:tblGrid>
      <w:tr>
        <w:trPr>
          <w:trHeight w:val="345"/>
        </w:trPr>
        <w:tc>
          <w:tcPr>
            <w:tcW w:w="221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6275" w:dyaOrig="9570">
                <v:shape id="_x0000_i1045" type="#_x0000_t75" style="width:317.55pt;height:186.45pt" o:ole="">
                  <v:imagedata r:id="rId47" o:title=""/>
                </v:shape>
                <o:OLEObject Type="Embed" ProgID="PBrush" ShapeID="_x0000_i1045" DrawAspect="Content" ObjectID="_1657717418" r:id="rId48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382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3890" w:dyaOrig="8175">
                <v:shape id="_x0000_i1046" type="#_x0000_t75" style="width:316.5pt;height:185.35pt" o:ole="">
                  <v:imagedata r:id="rId49" o:title=""/>
                </v:shape>
                <o:OLEObject Type="Embed" ProgID="PBrush" ShapeID="_x0000_i1046" DrawAspect="Content" ObjectID="_1657717419" r:id="rId50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7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70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3860" w:dyaOrig="8310">
                <v:shape id="_x0000_i1047" type="#_x0000_t75" style="width:322.4pt;height:193.45pt" o:ole="">
                  <v:imagedata r:id="rId51" o:title=""/>
                </v:shape>
                <o:OLEObject Type="Embed" ProgID="PBrush" ShapeID="_x0000_i1047" DrawAspect="Content" ObjectID="_1657717420" r:id="rId52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5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3860" w:dyaOrig="8130">
                <v:shape id="_x0000_i1048" type="#_x0000_t75" style="width:322.4pt;height:189.15pt" o:ole="">
                  <v:imagedata r:id="rId53" o:title=""/>
                </v:shape>
                <o:OLEObject Type="Embed" ProgID="PBrush" ShapeID="_x0000_i1048" DrawAspect="Content" ObjectID="_1657717421" r:id="rId54"/>
              </w:object>
            </w:r>
          </w:p>
        </w:tc>
      </w:tr>
      <w:tr>
        <w:trPr>
          <w:trHeight w:val="129"/>
        </w:trPr>
        <w:tc>
          <w:tcPr>
            <w:tcW w:w="426" w:type="dxa"/>
            <w:tcBorders>
              <w:bottom w:val="single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ted" w:sz="12" w:space="0" w:color="auto"/>
              <w:right w:val="nil"/>
            </w:tcBorders>
          </w:tcPr>
          <w:p/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ted" w:sz="12" w:space="0" w:color="auto"/>
              <w:bottom w:val="single" w:sz="4" w:space="0" w:color="auto"/>
              <w:right w:val="nil"/>
            </w:tcBorders>
          </w:tcPr>
          <w:p/>
        </w:tc>
        <w:tc>
          <w:tcPr>
            <w:tcW w:w="1790" w:type="dxa"/>
            <w:vMerge/>
            <w:tcBorders>
              <w:left w:val="nil"/>
            </w:tcBorders>
            <w:vAlign w:val="center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bottom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 w:val="restart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129"/>
        </w:trPr>
        <w:tc>
          <w:tcPr>
            <w:tcW w:w="426" w:type="dxa"/>
            <w:tcBorders>
              <w:top w:val="dotDotDash" w:sz="12" w:space="0" w:color="auto"/>
              <w:right w:val="nil"/>
            </w:tcBorders>
          </w:tcPr>
          <w:p>
            <w:pPr>
              <w:rPr>
                <w:shd w:val="pct15" w:color="auto" w:fill="FFFFFF"/>
              </w:rPr>
            </w:pPr>
          </w:p>
        </w:tc>
        <w:tc>
          <w:tcPr>
            <w:tcW w:w="1790" w:type="dxa"/>
            <w:vMerge/>
            <w:tcBorders>
              <w:left w:val="nil"/>
            </w:tcBorders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>
      <w:r>
        <w:br w:type="page"/>
      </w:r>
    </w:p>
    <w:sectPr>
      <w:pgSz w:w="11906" w:h="16838"/>
      <w:pgMar w:top="284" w:right="567" w:bottom="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EC00B621-1BB7-4CB9-8AE3-63C90483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png"/><Relationship Id="rId21" Type="http://schemas.openxmlformats.org/officeDocument/2006/relationships/image" Target="media/image8.png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png"/><Relationship Id="rId50" Type="http://schemas.openxmlformats.org/officeDocument/2006/relationships/oleObject" Target="embeddings/oleObject22.bin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png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png"/><Relationship Id="rId40" Type="http://schemas.openxmlformats.org/officeDocument/2006/relationships/oleObject" Target="embeddings/oleObject17.bin"/><Relationship Id="rId45" Type="http://schemas.openxmlformats.org/officeDocument/2006/relationships/image" Target="media/image20.png"/><Relationship Id="rId53" Type="http://schemas.openxmlformats.org/officeDocument/2006/relationships/image" Target="media/image24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2.bin"/><Relationship Id="rId35" Type="http://schemas.openxmlformats.org/officeDocument/2006/relationships/image" Target="media/image15.png"/><Relationship Id="rId43" Type="http://schemas.openxmlformats.org/officeDocument/2006/relationships/image" Target="media/image19.png"/><Relationship Id="rId48" Type="http://schemas.openxmlformats.org/officeDocument/2006/relationships/oleObject" Target="embeddings/oleObject21.bin"/><Relationship Id="rId56" Type="http://schemas.openxmlformats.org/officeDocument/2006/relationships/theme" Target="theme/theme1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pn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png"/><Relationship Id="rId54" Type="http://schemas.openxmlformats.org/officeDocument/2006/relationships/oleObject" Target="embeddings/oleObject24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A5784-0BEE-42A7-BDAB-8E73B3CE7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736</Words>
  <Characters>4196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大出　幸子</dc:creator>
  <cp:keywords/>
  <dc:description/>
  <cp:lastModifiedBy>大出　幸子</cp:lastModifiedBy>
  <cp:revision>7</cp:revision>
  <dcterms:created xsi:type="dcterms:W3CDTF">2020-07-28T23:22:00Z</dcterms:created>
  <dcterms:modified xsi:type="dcterms:W3CDTF">2020-07-31T07:15:00Z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44040.7635416667</vt:r8>
  </property>
  <property fmtid="{D5CDD505-2E9C-101B-9397-08002B2CF9AE}" pid="4" name="EditTotal">
    <vt:i4>0</vt:i4>
  </property>
</Properties>
</file>