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B4B71B" w14:textId="77777777" w:rsidR="006472E3" w:rsidRDefault="006472E3" w:rsidP="003D5D4E">
      <w:pPr>
        <w:spacing w:after="0" w:line="240" w:lineRule="auto"/>
        <w:jc w:val="both"/>
        <w:rPr>
          <w:rFonts w:ascii="Times New Roman" w:eastAsia="Times New Roman" w:hAnsi="Times New Roman" w:cs="Times New Roman"/>
          <w:b/>
          <w:sz w:val="20"/>
          <w:szCs w:val="18"/>
          <w:lang w:val="en-US" w:eastAsia="fr-FR"/>
        </w:rPr>
      </w:pPr>
      <w:r w:rsidRPr="00105908">
        <w:rPr>
          <w:rFonts w:ascii="Times New Roman" w:eastAsia="Times New Roman" w:hAnsi="Times New Roman" w:cs="Times New Roman"/>
          <w:b/>
          <w:sz w:val="20"/>
          <w:szCs w:val="18"/>
          <w:lang w:val="en-US" w:eastAsia="fr-FR"/>
        </w:rPr>
        <w:t>Supplementary data:</w:t>
      </w:r>
    </w:p>
    <w:p w14:paraId="70E152A2" w14:textId="77777777" w:rsidR="00411806" w:rsidRDefault="00411806" w:rsidP="003D5D4E">
      <w:pPr>
        <w:spacing w:after="0" w:line="240" w:lineRule="auto"/>
        <w:jc w:val="both"/>
        <w:rPr>
          <w:rFonts w:ascii="Times New Roman" w:eastAsia="Times New Roman" w:hAnsi="Times New Roman" w:cs="Times New Roman"/>
          <w:b/>
          <w:sz w:val="20"/>
          <w:szCs w:val="18"/>
          <w:lang w:val="en-US" w:eastAsia="fr-FR"/>
        </w:rPr>
      </w:pPr>
    </w:p>
    <w:p w14:paraId="0F2C0A2A" w14:textId="4CEA601D" w:rsidR="008C63FF" w:rsidRPr="008C63FF" w:rsidRDefault="004A76DF" w:rsidP="00411806">
      <w:pPr>
        <w:jc w:val="both"/>
        <w:rPr>
          <w:rFonts w:ascii="Times New Roman" w:hAnsi="Times New Roman" w:cs="Times New Roman"/>
          <w:b/>
          <w:sz w:val="20"/>
          <w:szCs w:val="20"/>
          <w:lang w:val="en-US"/>
        </w:rPr>
      </w:pPr>
      <w:r w:rsidRPr="008C63FF">
        <w:rPr>
          <w:rFonts w:ascii="Times New Roman" w:hAnsi="Times New Roman" w:cs="Times New Roman"/>
          <w:b/>
          <w:sz w:val="20"/>
          <w:szCs w:val="20"/>
          <w:lang w:val="en-US"/>
        </w:rPr>
        <w:t>Materials</w:t>
      </w:r>
      <w:r w:rsidR="008C63FF" w:rsidRPr="008C63FF">
        <w:rPr>
          <w:rFonts w:ascii="Times New Roman" w:hAnsi="Times New Roman" w:cs="Times New Roman"/>
          <w:b/>
          <w:sz w:val="20"/>
          <w:szCs w:val="20"/>
          <w:lang w:val="en-US"/>
        </w:rPr>
        <w:t xml:space="preserve"> and methods:</w:t>
      </w:r>
    </w:p>
    <w:p w14:paraId="5869C762" w14:textId="2140E111" w:rsidR="00411806" w:rsidRDefault="00BF74E7" w:rsidP="003D5D4E">
      <w:pPr>
        <w:spacing w:after="0" w:line="240" w:lineRule="auto"/>
        <w:jc w:val="both"/>
        <w:rPr>
          <w:rFonts w:ascii="Times New Roman" w:eastAsia="Times New Roman" w:hAnsi="Times New Roman" w:cs="Times New Roman"/>
          <w:b/>
          <w:sz w:val="20"/>
          <w:szCs w:val="18"/>
          <w:lang w:val="en-US" w:eastAsia="fr-FR"/>
        </w:rPr>
      </w:pPr>
      <w:r>
        <w:rPr>
          <w:rFonts w:ascii="Times New Roman" w:eastAsia="Times New Roman" w:hAnsi="Times New Roman" w:cs="Times New Roman"/>
          <w:b/>
          <w:sz w:val="20"/>
          <w:szCs w:val="18"/>
          <w:lang w:val="en-US" w:eastAsia="fr-FR"/>
        </w:rPr>
        <w:t xml:space="preserve">Supplementary table 1: </w:t>
      </w:r>
    </w:p>
    <w:p w14:paraId="4FF0A66B" w14:textId="77777777" w:rsidR="0092469B" w:rsidRPr="00105908" w:rsidRDefault="0092469B" w:rsidP="003D5D4E">
      <w:pPr>
        <w:spacing w:after="0" w:line="240" w:lineRule="auto"/>
        <w:jc w:val="both"/>
        <w:rPr>
          <w:rFonts w:ascii="Times New Roman" w:eastAsia="Times New Roman" w:hAnsi="Times New Roman" w:cs="Times New Roman"/>
          <w:b/>
          <w:sz w:val="20"/>
          <w:szCs w:val="18"/>
          <w:lang w:val="en-US" w:eastAsia="fr-FR"/>
        </w:rPr>
      </w:pPr>
    </w:p>
    <w:tbl>
      <w:tblPr>
        <w:tblStyle w:val="Grilledutableau"/>
        <w:tblW w:w="0" w:type="auto"/>
        <w:tblLook w:val="04A0" w:firstRow="1" w:lastRow="0" w:firstColumn="1" w:lastColumn="0" w:noHBand="0" w:noVBand="1"/>
      </w:tblPr>
      <w:tblGrid>
        <w:gridCol w:w="4146"/>
        <w:gridCol w:w="4147"/>
      </w:tblGrid>
      <w:tr w:rsidR="00B87CFB" w14:paraId="784380EE" w14:textId="77777777" w:rsidTr="00B87CFB">
        <w:trPr>
          <w:trHeight w:val="227"/>
        </w:trPr>
        <w:tc>
          <w:tcPr>
            <w:tcW w:w="4146" w:type="dxa"/>
          </w:tcPr>
          <w:p w14:paraId="6D12D2F1" w14:textId="77777777" w:rsidR="00B87CFB" w:rsidRDefault="00B87CFB" w:rsidP="003D5D4E">
            <w:pPr>
              <w:jc w:val="both"/>
              <w:rPr>
                <w:rFonts w:ascii="Times New Roman" w:eastAsia="Times New Roman" w:hAnsi="Times New Roman" w:cs="Times New Roman"/>
                <w:b/>
                <w:sz w:val="20"/>
                <w:szCs w:val="18"/>
                <w:lang w:val="en-US" w:eastAsia="fr-FR"/>
              </w:rPr>
            </w:pPr>
            <w:r>
              <w:rPr>
                <w:rFonts w:ascii="Times New Roman" w:eastAsia="Times New Roman" w:hAnsi="Times New Roman" w:cs="Times New Roman"/>
                <w:b/>
                <w:sz w:val="20"/>
                <w:szCs w:val="18"/>
                <w:lang w:val="en-US" w:eastAsia="fr-FR"/>
              </w:rPr>
              <w:t>Leukemia cell lines</w:t>
            </w:r>
          </w:p>
        </w:tc>
        <w:tc>
          <w:tcPr>
            <w:tcW w:w="4147" w:type="dxa"/>
          </w:tcPr>
          <w:p w14:paraId="06334750" w14:textId="77777777" w:rsidR="00B87CFB" w:rsidRDefault="00B87CFB" w:rsidP="003D5D4E">
            <w:pPr>
              <w:jc w:val="both"/>
              <w:rPr>
                <w:rFonts w:ascii="Times New Roman" w:eastAsia="Times New Roman" w:hAnsi="Times New Roman" w:cs="Times New Roman"/>
                <w:b/>
                <w:sz w:val="20"/>
                <w:szCs w:val="18"/>
                <w:lang w:val="en-US" w:eastAsia="fr-FR"/>
              </w:rPr>
            </w:pPr>
            <w:r>
              <w:rPr>
                <w:rFonts w:ascii="Times New Roman" w:eastAsia="Times New Roman" w:hAnsi="Times New Roman" w:cs="Times New Roman"/>
                <w:b/>
                <w:sz w:val="20"/>
                <w:szCs w:val="18"/>
                <w:lang w:val="en-US" w:eastAsia="fr-FR"/>
              </w:rPr>
              <w:t>Mutations found</w:t>
            </w:r>
          </w:p>
        </w:tc>
      </w:tr>
      <w:tr w:rsidR="00B87CFB" w:rsidRPr="004A76DF" w14:paraId="27BBDD2D" w14:textId="77777777" w:rsidTr="00754AB4">
        <w:trPr>
          <w:trHeight w:val="490"/>
        </w:trPr>
        <w:tc>
          <w:tcPr>
            <w:tcW w:w="4146" w:type="dxa"/>
          </w:tcPr>
          <w:p w14:paraId="50B6257E" w14:textId="77777777" w:rsidR="00B87CFB" w:rsidRPr="004A76DF" w:rsidRDefault="00B87CFB"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HEL</w:t>
            </w:r>
          </w:p>
        </w:tc>
        <w:tc>
          <w:tcPr>
            <w:tcW w:w="4147" w:type="dxa"/>
          </w:tcPr>
          <w:p w14:paraId="76C93680" w14:textId="72F2A300" w:rsidR="00B87CFB" w:rsidRPr="004A76DF" w:rsidRDefault="00B87CFB" w:rsidP="00B87CFB">
            <w:pPr>
              <w:jc w:val="both"/>
              <w:rPr>
                <w:rFonts w:ascii="Times New Roman" w:hAnsi="Times New Roman" w:cs="Times New Roman"/>
                <w:bCs/>
                <w:color w:val="000000"/>
                <w:sz w:val="20"/>
                <w:szCs w:val="20"/>
                <w:lang w:val="en-US"/>
              </w:rPr>
            </w:pPr>
            <w:r w:rsidRPr="004A76DF">
              <w:rPr>
                <w:rFonts w:ascii="Times New Roman" w:hAnsi="Times New Roman" w:cs="Times New Roman"/>
                <w:bCs/>
                <w:color w:val="000000"/>
                <w:sz w:val="20"/>
                <w:szCs w:val="20"/>
                <w:lang w:val="en-US"/>
              </w:rPr>
              <w:t>JAK2</w:t>
            </w:r>
            <w:proofErr w:type="gramStart"/>
            <w:r w:rsidR="004A76DF" w:rsidRPr="004A76DF">
              <w:rPr>
                <w:rFonts w:ascii="Times New Roman" w:hAnsi="Times New Roman" w:cs="Times New Roman"/>
                <w:bCs/>
                <w:color w:val="000000"/>
                <w:sz w:val="20"/>
                <w:szCs w:val="20"/>
                <w:lang w:val="en-US"/>
              </w:rPr>
              <w:t>p.(</w:t>
            </w:r>
            <w:proofErr w:type="gramEnd"/>
            <w:r w:rsidR="004A76DF" w:rsidRPr="004A76DF">
              <w:rPr>
                <w:rFonts w:ascii="Times New Roman" w:hAnsi="Times New Roman" w:cs="Times New Roman"/>
                <w:bCs/>
                <w:color w:val="000000"/>
                <w:sz w:val="20"/>
                <w:szCs w:val="20"/>
                <w:lang w:val="en-US"/>
              </w:rPr>
              <w:t>Val</w:t>
            </w:r>
            <w:r w:rsidRPr="004A76DF">
              <w:rPr>
                <w:rFonts w:ascii="Times New Roman" w:hAnsi="Times New Roman" w:cs="Times New Roman"/>
                <w:bCs/>
                <w:color w:val="000000"/>
                <w:sz w:val="20"/>
                <w:szCs w:val="20"/>
                <w:lang w:val="en-US"/>
              </w:rPr>
              <w:t>617</w:t>
            </w:r>
            <w:r w:rsidR="004A76DF" w:rsidRPr="004A76DF">
              <w:rPr>
                <w:rFonts w:ascii="Times New Roman" w:hAnsi="Times New Roman" w:cs="Times New Roman"/>
                <w:bCs/>
                <w:color w:val="000000"/>
                <w:sz w:val="20"/>
                <w:szCs w:val="20"/>
                <w:lang w:val="en-US"/>
              </w:rPr>
              <w:t>Phe)</w:t>
            </w:r>
          </w:p>
          <w:p w14:paraId="562A16DC" w14:textId="1473FF7F" w:rsidR="00B87CFB" w:rsidRPr="00754AB4" w:rsidRDefault="00B87CFB" w:rsidP="003D5D4E">
            <w:pPr>
              <w:jc w:val="both"/>
              <w:rPr>
                <w:rFonts w:ascii="Times New Roman" w:hAnsi="Times New Roman" w:cs="Times New Roman"/>
                <w:bCs/>
                <w:color w:val="000000"/>
                <w:sz w:val="20"/>
                <w:szCs w:val="20"/>
                <w:lang w:val="en-US"/>
              </w:rPr>
            </w:pPr>
            <w:r w:rsidRPr="004A76DF">
              <w:rPr>
                <w:rFonts w:ascii="Times New Roman" w:hAnsi="Times New Roman" w:cs="Times New Roman"/>
                <w:bCs/>
                <w:color w:val="000000"/>
                <w:sz w:val="20"/>
                <w:szCs w:val="20"/>
                <w:lang w:val="en-US"/>
              </w:rPr>
              <w:t xml:space="preserve">TP53 </w:t>
            </w:r>
            <w:proofErr w:type="gramStart"/>
            <w:r w:rsidR="0082249A" w:rsidRPr="004A76DF">
              <w:rPr>
                <w:rFonts w:ascii="Times New Roman" w:hAnsi="Times New Roman" w:cs="Times New Roman"/>
                <w:bCs/>
                <w:color w:val="000000"/>
                <w:sz w:val="20"/>
                <w:szCs w:val="20"/>
                <w:lang w:val="en-US"/>
              </w:rPr>
              <w:t>p.(</w:t>
            </w:r>
            <w:proofErr w:type="gramEnd"/>
            <w:r w:rsidR="0082249A" w:rsidRPr="004A76DF">
              <w:rPr>
                <w:rFonts w:ascii="Times New Roman" w:hAnsi="Times New Roman" w:cs="Times New Roman"/>
                <w:bCs/>
                <w:color w:val="000000"/>
                <w:sz w:val="20"/>
                <w:szCs w:val="20"/>
                <w:lang w:val="en-US"/>
              </w:rPr>
              <w:t>Met133Lys)</w:t>
            </w:r>
          </w:p>
        </w:tc>
      </w:tr>
      <w:tr w:rsidR="00B87CFB" w14:paraId="073DB6B5" w14:textId="77777777" w:rsidTr="00B87CFB">
        <w:trPr>
          <w:trHeight w:val="227"/>
        </w:trPr>
        <w:tc>
          <w:tcPr>
            <w:tcW w:w="4146" w:type="dxa"/>
          </w:tcPr>
          <w:p w14:paraId="6D20C65C" w14:textId="77777777" w:rsidR="00B87CFB" w:rsidRPr="004A76DF" w:rsidRDefault="00B87CFB"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HL60</w:t>
            </w:r>
          </w:p>
        </w:tc>
        <w:tc>
          <w:tcPr>
            <w:tcW w:w="4147" w:type="dxa"/>
          </w:tcPr>
          <w:p w14:paraId="1D66AE69" w14:textId="77777777" w:rsidR="00B87CFB" w:rsidRPr="004A76DF" w:rsidRDefault="00B87CFB"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 xml:space="preserve">NRAS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Gln61Leu)</w:t>
            </w:r>
          </w:p>
        </w:tc>
      </w:tr>
      <w:tr w:rsidR="00B87CFB" w14:paraId="29EB4EA4" w14:textId="77777777" w:rsidTr="00B87CFB">
        <w:trPr>
          <w:trHeight w:val="227"/>
        </w:trPr>
        <w:tc>
          <w:tcPr>
            <w:tcW w:w="4146" w:type="dxa"/>
          </w:tcPr>
          <w:p w14:paraId="6596F8F2" w14:textId="77777777" w:rsidR="00B87CFB" w:rsidRPr="004A76DF" w:rsidRDefault="0082249A"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K562</w:t>
            </w:r>
          </w:p>
        </w:tc>
        <w:tc>
          <w:tcPr>
            <w:tcW w:w="4147" w:type="dxa"/>
          </w:tcPr>
          <w:p w14:paraId="6BD948C8" w14:textId="77777777" w:rsidR="00B87CFB" w:rsidRPr="004A76DF" w:rsidRDefault="0082249A"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 xml:space="preserve">ASXL1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Tyr591*)</w:t>
            </w:r>
          </w:p>
          <w:p w14:paraId="09CA1DF1" w14:textId="77777777" w:rsidR="0082249A" w:rsidRPr="004A76DF" w:rsidRDefault="0082249A"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TP53</w:t>
            </w:r>
            <w:r w:rsidRPr="004A76DF">
              <w:rPr>
                <w:rFonts w:ascii="Times New Roman" w:hAnsi="Times New Roman" w:cs="Times New Roman"/>
                <w:bCs/>
                <w:sz w:val="20"/>
                <w:szCs w:val="20"/>
              </w:rPr>
              <w:t xml:space="preserve">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Gln136Profs*13)</w:t>
            </w:r>
          </w:p>
        </w:tc>
      </w:tr>
      <w:tr w:rsidR="00B87CFB" w:rsidRPr="00B47148" w14:paraId="1890D6EB" w14:textId="77777777" w:rsidTr="00B87CFB">
        <w:trPr>
          <w:trHeight w:val="227"/>
        </w:trPr>
        <w:tc>
          <w:tcPr>
            <w:tcW w:w="4146" w:type="dxa"/>
          </w:tcPr>
          <w:p w14:paraId="4334A3DF" w14:textId="2CA435FE" w:rsidR="00B87CFB" w:rsidRPr="004A76DF" w:rsidRDefault="00BF74E7"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KG1</w:t>
            </w:r>
          </w:p>
        </w:tc>
        <w:tc>
          <w:tcPr>
            <w:tcW w:w="4147" w:type="dxa"/>
          </w:tcPr>
          <w:p w14:paraId="557F87FD" w14:textId="4061E208" w:rsidR="00B87CFB" w:rsidRPr="004A76DF" w:rsidRDefault="00BF74E7"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TP53 c.672+1G&gt;A splicing variant</w:t>
            </w:r>
          </w:p>
        </w:tc>
      </w:tr>
      <w:tr w:rsidR="00B87CFB" w:rsidRPr="00BF74E7" w14:paraId="42456B74" w14:textId="77777777" w:rsidTr="00B87CFB">
        <w:trPr>
          <w:trHeight w:val="227"/>
        </w:trPr>
        <w:tc>
          <w:tcPr>
            <w:tcW w:w="4146" w:type="dxa"/>
          </w:tcPr>
          <w:p w14:paraId="0791BF54" w14:textId="4426364E" w:rsidR="00B87CFB" w:rsidRPr="004A76DF" w:rsidRDefault="004A76DF"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OCI-AML3</w:t>
            </w:r>
          </w:p>
        </w:tc>
        <w:tc>
          <w:tcPr>
            <w:tcW w:w="4147" w:type="dxa"/>
          </w:tcPr>
          <w:p w14:paraId="2E88BAFD" w14:textId="0EDE2F1C" w:rsidR="00B87CFB" w:rsidRPr="004A76DF" w:rsidRDefault="004A76DF"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 xml:space="preserve">NPM1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Trp288Cysfs*?)</w:t>
            </w:r>
          </w:p>
          <w:p w14:paraId="0FAE536F" w14:textId="340A6029" w:rsidR="004A76DF" w:rsidRPr="004A76DF" w:rsidRDefault="004A76DF"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 xml:space="preserve">DNMT3A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Arg882Cys)</w:t>
            </w:r>
          </w:p>
          <w:p w14:paraId="7D65B7B4" w14:textId="5907732B" w:rsidR="004A76DF" w:rsidRPr="004A76DF" w:rsidRDefault="004A76DF" w:rsidP="003D5D4E">
            <w:pPr>
              <w:jc w:val="both"/>
              <w:rPr>
                <w:rFonts w:ascii="Times New Roman" w:eastAsia="Times New Roman" w:hAnsi="Times New Roman" w:cs="Times New Roman"/>
                <w:bCs/>
                <w:sz w:val="20"/>
                <w:szCs w:val="20"/>
                <w:lang w:val="en-US" w:eastAsia="fr-FR"/>
              </w:rPr>
            </w:pPr>
            <w:r w:rsidRPr="004A76DF">
              <w:rPr>
                <w:rFonts w:ascii="Times New Roman" w:eastAsia="Times New Roman" w:hAnsi="Times New Roman" w:cs="Times New Roman"/>
                <w:bCs/>
                <w:sz w:val="20"/>
                <w:szCs w:val="20"/>
                <w:lang w:val="en-US" w:eastAsia="fr-FR"/>
              </w:rPr>
              <w:t xml:space="preserve">NRAS </w:t>
            </w:r>
            <w:proofErr w:type="gramStart"/>
            <w:r w:rsidRPr="004A76DF">
              <w:rPr>
                <w:rFonts w:ascii="Times New Roman" w:eastAsia="Times New Roman" w:hAnsi="Times New Roman" w:cs="Times New Roman"/>
                <w:bCs/>
                <w:sz w:val="20"/>
                <w:szCs w:val="20"/>
                <w:lang w:val="en-US" w:eastAsia="fr-FR"/>
              </w:rPr>
              <w:t>p.(</w:t>
            </w:r>
            <w:proofErr w:type="gramEnd"/>
            <w:r w:rsidRPr="004A76DF">
              <w:rPr>
                <w:rFonts w:ascii="Times New Roman" w:eastAsia="Times New Roman" w:hAnsi="Times New Roman" w:cs="Times New Roman"/>
                <w:bCs/>
                <w:sz w:val="20"/>
                <w:szCs w:val="20"/>
                <w:lang w:val="en-US" w:eastAsia="fr-FR"/>
              </w:rPr>
              <w:t>Gln61Leu)</w:t>
            </w:r>
          </w:p>
        </w:tc>
      </w:tr>
    </w:tbl>
    <w:p w14:paraId="7CDB4509" w14:textId="235DDA2E" w:rsidR="00BF74E7" w:rsidRPr="008C63FF" w:rsidRDefault="0092469B" w:rsidP="00BF74E7">
      <w:pPr>
        <w:jc w:val="both"/>
        <w:rPr>
          <w:rFonts w:ascii="Times New Roman" w:hAnsi="Times New Roman" w:cs="Times New Roman"/>
          <w:sz w:val="20"/>
          <w:szCs w:val="20"/>
          <w:lang w:val="en-US"/>
        </w:rPr>
      </w:pPr>
      <w:r>
        <w:rPr>
          <w:rFonts w:ascii="Times New Roman" w:hAnsi="Times New Roman" w:cs="Times New Roman"/>
          <w:sz w:val="20"/>
          <w:szCs w:val="20"/>
          <w:lang w:val="en-US"/>
        </w:rPr>
        <w:t>T</w:t>
      </w:r>
      <w:r w:rsidR="00BF74E7" w:rsidRPr="008C63FF">
        <w:rPr>
          <w:rFonts w:ascii="Times New Roman" w:hAnsi="Times New Roman" w:cs="Times New Roman"/>
          <w:sz w:val="20"/>
          <w:szCs w:val="20"/>
          <w:lang w:val="en-US"/>
        </w:rPr>
        <w:t xml:space="preserve">he 43 genes (94,84 kb) analyzed </w:t>
      </w:r>
      <w:r w:rsidRPr="008C63FF">
        <w:rPr>
          <w:rFonts w:ascii="Times New Roman" w:hAnsi="Times New Roman" w:cs="Times New Roman"/>
          <w:sz w:val="20"/>
          <w:szCs w:val="20"/>
          <w:lang w:val="en-US"/>
        </w:rPr>
        <w:t xml:space="preserve">are </w:t>
      </w:r>
      <w:r w:rsidR="00BF74E7" w:rsidRPr="008C63FF">
        <w:rPr>
          <w:rFonts w:ascii="Times New Roman" w:hAnsi="Times New Roman" w:cs="Times New Roman"/>
          <w:sz w:val="20"/>
          <w:szCs w:val="20"/>
          <w:lang w:val="en-US"/>
        </w:rPr>
        <w:t>list</w:t>
      </w:r>
      <w:r>
        <w:rPr>
          <w:rFonts w:ascii="Times New Roman" w:hAnsi="Times New Roman" w:cs="Times New Roman"/>
          <w:sz w:val="20"/>
          <w:szCs w:val="20"/>
          <w:lang w:val="en-US"/>
        </w:rPr>
        <w:t>ed</w:t>
      </w:r>
      <w:r w:rsidR="00BF74E7" w:rsidRPr="008C63FF">
        <w:rPr>
          <w:rFonts w:ascii="Times New Roman" w:hAnsi="Times New Roman" w:cs="Times New Roman"/>
          <w:sz w:val="20"/>
          <w:szCs w:val="20"/>
          <w:lang w:val="en-US"/>
        </w:rPr>
        <w:t xml:space="preserve"> </w:t>
      </w:r>
      <w:proofErr w:type="gramStart"/>
      <w:r w:rsidR="00BF74E7" w:rsidRPr="008C63FF">
        <w:rPr>
          <w:rFonts w:ascii="Times New Roman" w:hAnsi="Times New Roman" w:cs="Times New Roman"/>
          <w:sz w:val="20"/>
          <w:szCs w:val="20"/>
          <w:lang w:val="en-US"/>
        </w:rPr>
        <w:t>behind</w:t>
      </w:r>
      <w:r>
        <w:rPr>
          <w:rFonts w:ascii="Times New Roman" w:hAnsi="Times New Roman" w:cs="Times New Roman"/>
          <w:sz w:val="20"/>
          <w:szCs w:val="20"/>
          <w:lang w:val="en-US"/>
        </w:rPr>
        <w:t xml:space="preserve"> :</w:t>
      </w:r>
      <w:proofErr w:type="gramEnd"/>
    </w:p>
    <w:p w14:paraId="02F45545" w14:textId="77777777" w:rsidR="00BF74E7" w:rsidRPr="008C63FF" w:rsidRDefault="00BF74E7" w:rsidP="00BF74E7">
      <w:pPr>
        <w:jc w:val="both"/>
        <w:rPr>
          <w:rFonts w:ascii="Times New Roman" w:hAnsi="Times New Roman" w:cs="Times New Roman"/>
          <w:sz w:val="20"/>
          <w:szCs w:val="20"/>
          <w:lang w:val="en-US"/>
        </w:rPr>
      </w:pPr>
      <w:r w:rsidRPr="008C63FF">
        <w:rPr>
          <w:rFonts w:ascii="Times New Roman" w:hAnsi="Times New Roman" w:cs="Times New Roman"/>
          <w:sz w:val="20"/>
          <w:szCs w:val="20"/>
          <w:lang w:val="en-US"/>
        </w:rPr>
        <w:t xml:space="preserve"> ASXL1 (NM_015338 ; exons 11-12), ASXL2 (NM_018263 ; exons 11-12), BCOR (NM_001123385 ; exons 3-16), BCORL1 (NM_001184772 ; exons 1-13), CALR (NM_004343 ; exon 9), CBL (NM_005188 ; exons 8-9), CEBPA (NM_001287424 ; exon 1), CREBBP (NM_004380 ; exons 1-31), CSF3R (NM_156039 ; exons 14-17), CUX1 (NM_001202543 ; exons 1-24), DNMT3A (NM_022552 ; exons 2-23), ETNK1 (NM_018638 ; exon 3), ETV6 (NM_001987 ; exons 1-8), EZH2 (NM_004456 ; exons 2-20), FLT3 (NM_004119 ; exons 8-21), GATA2 (NM_032638 ; exons 2-6), HRAS (NM_005343 ; exons 2-3, codon 117 exon 4), IDH1 (NM_005896 ; exon 4), IDH2 (NM_002168 ; exon 4), JAK2 (NM_004972 ; exons 3-25), KDM6A (NM_001291415 ; exons 1-30), KIT (NM_000222 ; exons 4-11, 17), KRAS (NM_033360 ; exons 2-4), MPL (NM_005373 ; exons 1-12), NPM1 (NM_002520 ; exon 11), NRAS (NM_002524 ; exons 2-3), PHF6 (NM_001015877 ; exons 2-10), PPM1D (NM_003620 ; exons 5-6), PTPN11 (NM_002834 ; exons 3 et 13), RAD21 (NM_006265 ; exons 2-14), RUNX1 (NM_001001890 ; exons 1-6), SETBP1 (NM_015559 ; exon 4), SF3B1 (NM_012433 ; exons 13-16), SH2B3 (NM_005475 ; exons 2-8), SMC1A (NM_006306 ; exons 1-25), SMC3 (NM_005445 ; exons 1-29), SRSF2 (NM_003016 ; exon 1), STAG2 (NM_001042749 ; exons 3-35), TET2 (NM_001127208 ; exons 3-11), TP53 (NM_001126112 ; exons 2-11), U2AF1 (NM_006758 ; exon 2 codon 34 et exon 6 codon 157), WT1 (NM_024426 ; exons 7 et 9), ZRSR2 (NM_005089, exons 1-11).</w:t>
      </w:r>
    </w:p>
    <w:p w14:paraId="7277FA3A" w14:textId="659A611E" w:rsidR="00BF74E7" w:rsidRPr="008C63FF" w:rsidRDefault="00BF74E7" w:rsidP="00BF74E7">
      <w:pPr>
        <w:spacing w:after="0" w:line="240" w:lineRule="auto"/>
        <w:jc w:val="both"/>
        <w:rPr>
          <w:rFonts w:ascii="Times New Roman" w:eastAsia="Times New Roman" w:hAnsi="Times New Roman" w:cs="Times New Roman"/>
          <w:sz w:val="20"/>
          <w:szCs w:val="20"/>
          <w:lang w:val="en-US" w:eastAsia="fr-FR"/>
        </w:rPr>
      </w:pPr>
      <w:r w:rsidRPr="008C63FF">
        <w:rPr>
          <w:rFonts w:ascii="Times New Roman" w:eastAsia="Times New Roman" w:hAnsi="Times New Roman" w:cs="Times New Roman"/>
          <w:sz w:val="20"/>
          <w:szCs w:val="20"/>
          <w:lang w:val="en-US" w:eastAsia="fr-FR"/>
        </w:rPr>
        <w:t xml:space="preserve">Library preparation was carried with Myeloid Custom Solution v1.1 kit (Sophia Genetics), analyzed on Illumina </w:t>
      </w:r>
      <w:proofErr w:type="spellStart"/>
      <w:r w:rsidRPr="008C63FF">
        <w:rPr>
          <w:rFonts w:ascii="Times New Roman" w:eastAsia="Times New Roman" w:hAnsi="Times New Roman" w:cs="Times New Roman"/>
          <w:sz w:val="20"/>
          <w:szCs w:val="20"/>
          <w:lang w:val="en-US" w:eastAsia="fr-FR"/>
        </w:rPr>
        <w:t>NextSeq</w:t>
      </w:r>
      <w:proofErr w:type="spellEnd"/>
      <w:r w:rsidRPr="008C63FF">
        <w:rPr>
          <w:rFonts w:ascii="Times New Roman" w:eastAsia="Times New Roman" w:hAnsi="Times New Roman" w:cs="Times New Roman"/>
          <w:sz w:val="20"/>
          <w:szCs w:val="20"/>
          <w:lang w:val="en-US" w:eastAsia="fr-FR"/>
        </w:rPr>
        <w:t xml:space="preserve"> 500/550 (Mid Output Kit, 2 * 150bp) Sequencer. Bioinformatics analysis was done though Sophia DDM analytical platform aligned with GRCh37 / hg19reference genome. Classification of variants and interpretation was performed according to international recommendations </w:t>
      </w:r>
      <w:r w:rsidR="004A76DF">
        <w:rPr>
          <w:rFonts w:ascii="Times New Roman" w:eastAsia="Times New Roman" w:hAnsi="Times New Roman" w:cs="Times New Roman"/>
          <w:sz w:val="20"/>
          <w:szCs w:val="20"/>
          <w:lang w:val="en-US" w:eastAsia="fr-FR"/>
        </w:rPr>
        <w:fldChar w:fldCharType="begin"/>
      </w:r>
      <w:r w:rsidR="004A76DF">
        <w:rPr>
          <w:rFonts w:ascii="Times New Roman" w:eastAsia="Times New Roman" w:hAnsi="Times New Roman" w:cs="Times New Roman"/>
          <w:sz w:val="20"/>
          <w:szCs w:val="20"/>
          <w:lang w:val="en-US" w:eastAsia="fr-FR"/>
        </w:rPr>
        <w:instrText xml:space="preserve"> ADDIN ZOTERO_ITEM CSL_CITATION {"citationID":"vuy1OtHh","properties":{"formattedCitation":"(1)","plainCitation":"(1)","noteIndex":0},"citationItems":[{"id":2865,"uris":["http://zotero.org/users/3941976/items/TAAWTL9K"],"uri":["http://zotero.org/users/3941976/items/TAAWTL9K"],"itemData":{"id":2865,"type":"article-journal","abstract":"Widespread clinical laboratory implementation of next-generation sequencing-based cancer testing has highlighted the importance and potential benefits of standardizing the interpretation and reporting of molecular results among laboratories. A multidisciplinary working group tasked to assess the current status of next-generation sequencing-based cancer testing and establish standardized consensus classification, annotation, interpretation, and reporting conventions for somatic sequence variants was convened by the Association for Molecular Pathology with liaison representation from the American College of Medical Genetics and Genomics, American Society of Clinical Oncology, and College of American Pathologists. On the basis of the results of professional surveys, literature review, and the Working Group's subject matter expert consensus, a four-tiered system to categorize somatic sequence variations based on their clinical significances is proposed: tier I, variants with strong clinical significance; tier II, variants with potential clinical significance; tier III, variants of unknown clinical significance; and tier IV, variants deemed benign or likely benign. Cancer genomics is a rapidly evolving field; therefore, the clinical significance of any variant in therapy, diagnosis, or prognosis should be reevaluated on an ongoing basis. Reporting of genomic variants should follow standard nomenclature, with testing method and limitations clearly described. Clinical recommendations should be concise and correlate with histological and clinical findings.","container-title":"The Journal of molecular diagnostics: JMD","DOI":"10.1016/j.jmoldx.2016.10.002","ISSN":"1943-7811","issue":"1","journalAbbreviation":"J Mol Diagn","language":"eng","note":"PMID: 27993330\nPMCID: PMC5707196","page":"4-23","source":"PubMed","title":"Standards and Guidelines for the Interpretation and Reporting of Sequence Variants in Cancer: A Joint Consensus Recommendation of the Association for Molecular Pathology, American Society of Clinical Oncology, and College of American Pathologists","title-short":"Standards and Guidelines for the Interpretation and Reporting of Sequence Variants in Cancer","volume":"19","author":[{"family":"Li","given":"Marilyn M."},{"family":"Datto","given":"Michael"},{"family":"Duncavage","given":"Eric J."},{"family":"Kulkarni","given":"Shashikant"},{"family":"Lindeman","given":"Neal I."},{"family":"Roy","given":"Somak"},{"family":"Tsimberidou","given":"Apostolia M."},{"family":"Vnencak-Jones","given":"Cindy L."},{"family":"Wolff","given":"Daynna J."},{"family":"Younes","given":"Anas"},{"family":"Nikiforova","given":"Marina N."}],"issued":{"date-parts":[["2017"]]}}}],"schema":"https://github.com/citation-style-language/schema/raw/master/csl-citation.json"} </w:instrText>
      </w:r>
      <w:r w:rsidR="004A76DF">
        <w:rPr>
          <w:rFonts w:ascii="Times New Roman" w:eastAsia="Times New Roman" w:hAnsi="Times New Roman" w:cs="Times New Roman"/>
          <w:sz w:val="20"/>
          <w:szCs w:val="20"/>
          <w:lang w:val="en-US" w:eastAsia="fr-FR"/>
        </w:rPr>
        <w:fldChar w:fldCharType="separate"/>
      </w:r>
      <w:r w:rsidR="004A76DF" w:rsidRPr="004A76DF">
        <w:rPr>
          <w:rFonts w:ascii="Times New Roman" w:hAnsi="Times New Roman" w:cs="Times New Roman"/>
          <w:sz w:val="20"/>
          <w:lang w:val="en-US"/>
        </w:rPr>
        <w:t>(1)</w:t>
      </w:r>
      <w:r w:rsidR="004A76DF">
        <w:rPr>
          <w:rFonts w:ascii="Times New Roman" w:eastAsia="Times New Roman" w:hAnsi="Times New Roman" w:cs="Times New Roman"/>
          <w:sz w:val="20"/>
          <w:szCs w:val="20"/>
          <w:lang w:val="en-US" w:eastAsia="fr-FR"/>
        </w:rPr>
        <w:fldChar w:fldCharType="end"/>
      </w:r>
      <w:r w:rsidRPr="008C63FF">
        <w:rPr>
          <w:rFonts w:ascii="Times New Roman" w:eastAsia="Times New Roman" w:hAnsi="Times New Roman" w:cs="Times New Roman"/>
          <w:sz w:val="20"/>
          <w:szCs w:val="20"/>
          <w:lang w:val="en-US" w:eastAsia="fr-FR"/>
        </w:rPr>
        <w:t xml:space="preserve"> and the </w:t>
      </w:r>
      <w:proofErr w:type="spellStart"/>
      <w:r w:rsidRPr="008C63FF">
        <w:rPr>
          <w:rFonts w:ascii="Times New Roman" w:eastAsia="Times New Roman" w:hAnsi="Times New Roman" w:cs="Times New Roman"/>
          <w:sz w:val="20"/>
          <w:szCs w:val="20"/>
          <w:lang w:val="en-US" w:eastAsia="fr-FR"/>
        </w:rPr>
        <w:t>Ensembl</w:t>
      </w:r>
      <w:proofErr w:type="spellEnd"/>
      <w:r w:rsidRPr="008C63FF">
        <w:rPr>
          <w:rFonts w:ascii="Times New Roman" w:eastAsia="Times New Roman" w:hAnsi="Times New Roman" w:cs="Times New Roman"/>
          <w:sz w:val="20"/>
          <w:szCs w:val="20"/>
          <w:lang w:val="en-US" w:eastAsia="fr-FR"/>
        </w:rPr>
        <w:t xml:space="preserve">, </w:t>
      </w:r>
      <w:proofErr w:type="spellStart"/>
      <w:r w:rsidRPr="008C63FF">
        <w:rPr>
          <w:rFonts w:ascii="Times New Roman" w:eastAsia="Times New Roman" w:hAnsi="Times New Roman" w:cs="Times New Roman"/>
          <w:sz w:val="20"/>
          <w:szCs w:val="20"/>
          <w:lang w:val="en-US" w:eastAsia="fr-FR"/>
        </w:rPr>
        <w:t>ClinVar</w:t>
      </w:r>
      <w:proofErr w:type="spellEnd"/>
      <w:r w:rsidRPr="008C63FF">
        <w:rPr>
          <w:rFonts w:ascii="Times New Roman" w:eastAsia="Times New Roman" w:hAnsi="Times New Roman" w:cs="Times New Roman"/>
          <w:sz w:val="20"/>
          <w:szCs w:val="20"/>
          <w:lang w:val="en-US" w:eastAsia="fr-FR"/>
        </w:rPr>
        <w:t xml:space="preserve">, COSMIC, IARC TP53, </w:t>
      </w:r>
      <w:proofErr w:type="spellStart"/>
      <w:r w:rsidRPr="008C63FF">
        <w:rPr>
          <w:rFonts w:ascii="Times New Roman" w:eastAsia="Times New Roman" w:hAnsi="Times New Roman" w:cs="Times New Roman"/>
          <w:sz w:val="20"/>
          <w:szCs w:val="20"/>
          <w:lang w:val="en-US" w:eastAsia="fr-FR"/>
        </w:rPr>
        <w:t>dbSNP</w:t>
      </w:r>
      <w:proofErr w:type="spellEnd"/>
      <w:r w:rsidRPr="008C63FF">
        <w:rPr>
          <w:rFonts w:ascii="Times New Roman" w:eastAsia="Times New Roman" w:hAnsi="Times New Roman" w:cs="Times New Roman"/>
          <w:sz w:val="20"/>
          <w:szCs w:val="20"/>
          <w:lang w:val="en-US" w:eastAsia="fr-FR"/>
        </w:rPr>
        <w:t xml:space="preserve"> databases, depending on the current data available. Only non-polymorphic variants with an allelic frequency (VAF) greater than 2% are reported.</w:t>
      </w:r>
    </w:p>
    <w:p w14:paraId="5B953CA3" w14:textId="77777777" w:rsidR="004A76DF" w:rsidRDefault="004A76DF" w:rsidP="004A76DF">
      <w:pPr>
        <w:rPr>
          <w:rFonts w:ascii="Times New Roman" w:hAnsi="Times New Roman" w:cs="Times New Roman"/>
          <w:u w:val="single"/>
          <w:lang w:val="en-US"/>
        </w:rPr>
      </w:pPr>
    </w:p>
    <w:p w14:paraId="28F3E131" w14:textId="340C6BED" w:rsidR="004A76DF" w:rsidRPr="004A76DF" w:rsidRDefault="004A76DF" w:rsidP="004A76DF">
      <w:pPr>
        <w:rPr>
          <w:rFonts w:ascii="Times New Roman" w:hAnsi="Times New Roman" w:cs="Times New Roman"/>
          <w:u w:val="single"/>
          <w:lang w:val="en-US"/>
        </w:rPr>
      </w:pPr>
      <w:r w:rsidRPr="004A76DF">
        <w:rPr>
          <w:rFonts w:ascii="Times New Roman" w:hAnsi="Times New Roman" w:cs="Times New Roman"/>
          <w:u w:val="single"/>
          <w:lang w:val="en-US"/>
        </w:rPr>
        <w:t>Reference:</w:t>
      </w:r>
    </w:p>
    <w:p w14:paraId="2F12D9E3" w14:textId="77777777" w:rsidR="004A76DF" w:rsidRPr="004A76DF" w:rsidRDefault="004A76DF" w:rsidP="004A76DF">
      <w:pPr>
        <w:pStyle w:val="Bibliographie"/>
        <w:rPr>
          <w:rFonts w:ascii="Times New Roman" w:hAnsi="Times New Roman" w:cs="Times New Roman"/>
          <w:lang w:val="en-US"/>
        </w:rPr>
      </w:pPr>
      <w:r w:rsidRPr="004A76DF">
        <w:rPr>
          <w:rFonts w:ascii="Times New Roman" w:hAnsi="Times New Roman" w:cs="Times New Roman"/>
          <w:lang w:val="en-US"/>
        </w:rPr>
        <w:fldChar w:fldCharType="begin"/>
      </w:r>
      <w:r w:rsidRPr="004A76DF">
        <w:rPr>
          <w:rFonts w:ascii="Times New Roman" w:hAnsi="Times New Roman" w:cs="Times New Roman"/>
          <w:lang w:val="en-US"/>
        </w:rPr>
        <w:instrText xml:space="preserve"> ADDIN ZOTERO_BIBL {"uncited":[],"omitted":[],"custom":[]} CSL_BIBLIOGRAPHY </w:instrText>
      </w:r>
      <w:r w:rsidRPr="004A76DF">
        <w:rPr>
          <w:rFonts w:ascii="Times New Roman" w:hAnsi="Times New Roman" w:cs="Times New Roman"/>
          <w:lang w:val="en-US"/>
        </w:rPr>
        <w:fldChar w:fldCharType="separate"/>
      </w:r>
      <w:r w:rsidRPr="004A76DF">
        <w:rPr>
          <w:rFonts w:ascii="Times New Roman" w:hAnsi="Times New Roman" w:cs="Times New Roman"/>
          <w:lang w:val="en-US"/>
        </w:rPr>
        <w:t xml:space="preserve">1. </w:t>
      </w:r>
      <w:r w:rsidRPr="004A76DF">
        <w:rPr>
          <w:rFonts w:ascii="Times New Roman" w:hAnsi="Times New Roman" w:cs="Times New Roman"/>
          <w:lang w:val="en-US"/>
        </w:rPr>
        <w:tab/>
        <w:t xml:space="preserve">Li MM, Datto M, Duncavage EJ, Kulkarni S, Lindeman NI, Roy S, et al. Standards and Guidelines for the Interpretation and Reporting of Sequence Variants in Cancer: A Joint Consensus Recommendation of the Association for Molecular Pathology, American Society of Clinical Oncology, and College of American Pathologists. J Mol Diagn JMD. 2017;19(1):4‑23. </w:t>
      </w:r>
    </w:p>
    <w:p w14:paraId="269753FB" w14:textId="013D9F14" w:rsidR="004A76DF" w:rsidRDefault="004A76DF" w:rsidP="004A76DF">
      <w:pPr>
        <w:rPr>
          <w:rFonts w:ascii="Times New Roman" w:eastAsia="Times New Roman" w:hAnsi="Times New Roman" w:cs="Times New Roman"/>
          <w:b/>
          <w:sz w:val="20"/>
          <w:szCs w:val="18"/>
          <w:lang w:val="en-US" w:eastAsia="fr-FR"/>
        </w:rPr>
      </w:pPr>
      <w:r w:rsidRPr="004A76DF">
        <w:rPr>
          <w:rFonts w:ascii="Times New Roman" w:hAnsi="Times New Roman" w:cs="Times New Roman"/>
          <w:lang w:val="en-US"/>
        </w:rPr>
        <w:fldChar w:fldCharType="end"/>
      </w:r>
      <w:r>
        <w:rPr>
          <w:rFonts w:ascii="Times New Roman" w:eastAsia="Times New Roman" w:hAnsi="Times New Roman" w:cs="Times New Roman"/>
          <w:b/>
          <w:sz w:val="20"/>
          <w:szCs w:val="18"/>
          <w:lang w:val="en-US" w:eastAsia="fr-FR"/>
        </w:rPr>
        <w:br w:type="page"/>
      </w:r>
    </w:p>
    <w:p w14:paraId="69CD7C2C" w14:textId="77777777" w:rsidR="00B47148" w:rsidRPr="00574B5E" w:rsidRDefault="00B47148" w:rsidP="00B47148">
      <w:pPr>
        <w:rPr>
          <w:rFonts w:ascii="Times New Roman" w:hAnsi="Times New Roman" w:cs="Times New Roman"/>
          <w:b/>
          <w:sz w:val="20"/>
          <w:szCs w:val="18"/>
          <w:lang w:val="en-US"/>
        </w:rPr>
      </w:pPr>
      <w:r w:rsidRPr="00574B5E">
        <w:rPr>
          <w:rFonts w:ascii="Times New Roman" w:hAnsi="Times New Roman" w:cs="Times New Roman"/>
          <w:b/>
          <w:sz w:val="20"/>
          <w:szCs w:val="18"/>
          <w:lang w:val="en-US"/>
        </w:rPr>
        <w:lastRenderedPageBreak/>
        <w:t>Supplementary figure 1:</w:t>
      </w:r>
    </w:p>
    <w:p w14:paraId="0B2186F8" w14:textId="77777777" w:rsidR="00B47148" w:rsidRPr="00574B5E" w:rsidRDefault="00B47148" w:rsidP="00B47148">
      <w:pPr>
        <w:rPr>
          <w:rFonts w:ascii="Times New Roman" w:hAnsi="Times New Roman" w:cs="Times New Roman"/>
          <w:sz w:val="24"/>
          <w:szCs w:val="20"/>
          <w:lang w:val="en-US"/>
        </w:rPr>
      </w:pPr>
      <w:r w:rsidRPr="00574B5E">
        <w:rPr>
          <w:rFonts w:ascii="Times New Roman" w:hAnsi="Times New Roman" w:cs="Times New Roman"/>
          <w:sz w:val="20"/>
          <w:szCs w:val="18"/>
          <w:lang w:val="en-US"/>
        </w:rPr>
        <w:t xml:space="preserve">An example of the mitochondrial parameters. The red outline allowed to calculate the mitochondrial area with the </w:t>
      </w:r>
      <w:proofErr w:type="spellStart"/>
      <w:r w:rsidRPr="00574B5E">
        <w:rPr>
          <w:rFonts w:ascii="Times New Roman" w:hAnsi="Times New Roman" w:cs="Times New Roman"/>
          <w:sz w:val="20"/>
          <w:szCs w:val="18"/>
          <w:lang w:val="en-US"/>
        </w:rPr>
        <w:t>iTEM</w:t>
      </w:r>
      <w:proofErr w:type="spellEnd"/>
      <w:r w:rsidRPr="00574B5E">
        <w:rPr>
          <w:rFonts w:ascii="Times New Roman" w:hAnsi="Times New Roman" w:cs="Times New Roman"/>
          <w:sz w:val="20"/>
          <w:szCs w:val="18"/>
          <w:lang w:val="en-US"/>
        </w:rPr>
        <w:t xml:space="preserve"> software, * represents each crista, and the space between the two arrows-head represents the cristae diameter.</w:t>
      </w:r>
    </w:p>
    <w:p w14:paraId="2043898C" w14:textId="28BD60D5" w:rsidR="00574B5E" w:rsidRDefault="00B47148" w:rsidP="00B47148">
      <w:pPr>
        <w:rPr>
          <w:lang w:val="en-US"/>
        </w:rPr>
      </w:pPr>
      <w:r>
        <w:rPr>
          <w:noProof/>
        </w:rPr>
        <w:drawing>
          <wp:inline distT="0" distB="0" distL="0" distR="0" wp14:anchorId="5D03D78C" wp14:editId="3CE47F6E">
            <wp:extent cx="3506470" cy="3275965"/>
            <wp:effectExtent l="0" t="0" r="0" b="63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06470" cy="3275965"/>
                    </a:xfrm>
                    <a:prstGeom prst="rect">
                      <a:avLst/>
                    </a:prstGeom>
                    <a:noFill/>
                    <a:ln>
                      <a:noFill/>
                    </a:ln>
                  </pic:spPr>
                </pic:pic>
              </a:graphicData>
            </a:graphic>
          </wp:inline>
        </w:drawing>
      </w:r>
    </w:p>
    <w:p w14:paraId="04389F14" w14:textId="77777777" w:rsidR="00574B5E" w:rsidRDefault="00574B5E">
      <w:pPr>
        <w:rPr>
          <w:lang w:val="en-US"/>
        </w:rPr>
      </w:pPr>
      <w:r>
        <w:rPr>
          <w:lang w:val="en-US"/>
        </w:rPr>
        <w:br w:type="page"/>
      </w:r>
    </w:p>
    <w:p w14:paraId="5A009534" w14:textId="77777777" w:rsidR="00B47148" w:rsidRPr="00574B5E" w:rsidRDefault="00B47148" w:rsidP="00B47148">
      <w:pPr>
        <w:rPr>
          <w:rFonts w:ascii="Times New Roman" w:hAnsi="Times New Roman" w:cs="Times New Roman"/>
          <w:sz w:val="20"/>
          <w:szCs w:val="20"/>
          <w:lang w:val="en-US"/>
        </w:rPr>
      </w:pPr>
      <w:r w:rsidRPr="00574B5E">
        <w:rPr>
          <w:rFonts w:ascii="Times New Roman" w:hAnsi="Times New Roman" w:cs="Times New Roman"/>
          <w:b/>
          <w:bCs/>
          <w:sz w:val="20"/>
          <w:szCs w:val="20"/>
          <w:lang w:val="en-US"/>
        </w:rPr>
        <w:lastRenderedPageBreak/>
        <w:t>Supplementary figure 2:</w:t>
      </w:r>
      <w:r w:rsidRPr="00574B5E">
        <w:rPr>
          <w:rFonts w:ascii="Times New Roman" w:hAnsi="Times New Roman" w:cs="Times New Roman"/>
          <w:sz w:val="20"/>
          <w:szCs w:val="20"/>
          <w:lang w:val="en-US"/>
        </w:rPr>
        <w:t xml:space="preserve"> </w:t>
      </w:r>
    </w:p>
    <w:p w14:paraId="6368C175" w14:textId="4087BD29" w:rsidR="00B47148" w:rsidRPr="00574B5E" w:rsidRDefault="00B47148" w:rsidP="00B47148">
      <w:pPr>
        <w:rPr>
          <w:rFonts w:ascii="Times New Roman" w:hAnsi="Times New Roman" w:cs="Times New Roman"/>
          <w:sz w:val="20"/>
          <w:szCs w:val="20"/>
          <w:lang w:val="en-US"/>
        </w:rPr>
      </w:pPr>
      <w:r w:rsidRPr="00574B5E">
        <w:rPr>
          <w:rFonts w:ascii="Times New Roman" w:hAnsi="Times New Roman" w:cs="Times New Roman"/>
          <w:sz w:val="20"/>
          <w:szCs w:val="20"/>
          <w:lang w:val="en-US"/>
        </w:rPr>
        <w:t>Ultrastructural photographs of K562s’mitochondria with “messy” aspects</w:t>
      </w:r>
    </w:p>
    <w:p w14:paraId="44D28FFA" w14:textId="6CD9C68E" w:rsidR="00B47148" w:rsidRDefault="00B47148" w:rsidP="00B47148">
      <w:pPr>
        <w:rPr>
          <w:b/>
          <w:bCs/>
          <w:sz w:val="20"/>
          <w:lang w:val="en-US"/>
        </w:rPr>
      </w:pPr>
      <w:r>
        <w:rPr>
          <w:b/>
          <w:noProof/>
          <w:sz w:val="20"/>
        </w:rPr>
        <w:lastRenderedPageBreak/>
        <w:drawing>
          <wp:inline distT="0" distB="0" distL="0" distR="0" wp14:anchorId="777107BF" wp14:editId="798B376A">
            <wp:extent cx="5760720" cy="576072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r>
        <w:rPr>
          <w:b/>
          <w:noProof/>
          <w:sz w:val="20"/>
        </w:rPr>
        <w:lastRenderedPageBreak/>
        <w:drawing>
          <wp:inline distT="0" distB="0" distL="0" distR="0" wp14:anchorId="46432E2F" wp14:editId="69F7809D">
            <wp:extent cx="5760720" cy="576072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5CEA47EE" w14:textId="6B1BA583" w:rsidR="00574B5E" w:rsidRDefault="00B47148" w:rsidP="00B47148">
      <w:pPr>
        <w:rPr>
          <w:b/>
          <w:bCs/>
          <w:sz w:val="20"/>
          <w:lang w:val="en-US"/>
        </w:rPr>
      </w:pPr>
      <w:r>
        <w:rPr>
          <w:b/>
          <w:noProof/>
          <w:sz w:val="20"/>
        </w:rPr>
        <w:lastRenderedPageBreak/>
        <w:drawing>
          <wp:inline distT="0" distB="0" distL="0" distR="0" wp14:anchorId="1A4FAE66" wp14:editId="6FEBD3ED">
            <wp:extent cx="5760720" cy="576072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1EA9902C" w14:textId="77777777" w:rsidR="00574B5E" w:rsidRDefault="00574B5E">
      <w:pPr>
        <w:rPr>
          <w:b/>
          <w:bCs/>
          <w:sz w:val="20"/>
          <w:lang w:val="en-US"/>
        </w:rPr>
      </w:pPr>
      <w:r>
        <w:rPr>
          <w:b/>
          <w:bCs/>
          <w:sz w:val="20"/>
          <w:lang w:val="en-US"/>
        </w:rPr>
        <w:br w:type="page"/>
      </w:r>
    </w:p>
    <w:p w14:paraId="2829EAA6" w14:textId="77777777" w:rsidR="00B47148" w:rsidRPr="00574B5E" w:rsidRDefault="00B47148" w:rsidP="00B47148">
      <w:pPr>
        <w:rPr>
          <w:rFonts w:ascii="Times New Roman" w:hAnsi="Times New Roman" w:cs="Times New Roman"/>
          <w:b/>
          <w:bCs/>
          <w:sz w:val="20"/>
          <w:szCs w:val="20"/>
          <w:lang w:val="en-US"/>
        </w:rPr>
      </w:pPr>
    </w:p>
    <w:p w14:paraId="22D654B2" w14:textId="77777777" w:rsidR="00B47148" w:rsidRPr="00574B5E" w:rsidRDefault="00B47148" w:rsidP="00B47148">
      <w:pPr>
        <w:rPr>
          <w:rFonts w:ascii="Times New Roman" w:hAnsi="Times New Roman" w:cs="Times New Roman"/>
          <w:b/>
          <w:bCs/>
          <w:sz w:val="20"/>
          <w:szCs w:val="20"/>
          <w:lang w:val="en-US"/>
        </w:rPr>
      </w:pPr>
      <w:r w:rsidRPr="00574B5E">
        <w:rPr>
          <w:rFonts w:ascii="Times New Roman" w:hAnsi="Times New Roman" w:cs="Times New Roman"/>
          <w:b/>
          <w:bCs/>
          <w:sz w:val="20"/>
          <w:szCs w:val="20"/>
          <w:lang w:val="en-US"/>
        </w:rPr>
        <w:t>Supplementary data figure 4:</w:t>
      </w:r>
    </w:p>
    <w:p w14:paraId="137C0556" w14:textId="77777777" w:rsidR="00B47148" w:rsidRPr="00574B5E" w:rsidRDefault="00B47148" w:rsidP="00B47148">
      <w:pPr>
        <w:rPr>
          <w:rFonts w:ascii="Times New Roman" w:hAnsi="Times New Roman" w:cs="Times New Roman"/>
          <w:sz w:val="20"/>
          <w:szCs w:val="20"/>
          <w:lang w:val="en-US"/>
        </w:rPr>
      </w:pPr>
      <w:r w:rsidRPr="00574B5E">
        <w:rPr>
          <w:rFonts w:ascii="Times New Roman" w:hAnsi="Times New Roman" w:cs="Times New Roman"/>
          <w:sz w:val="20"/>
          <w:szCs w:val="20"/>
          <w:lang w:val="en-US"/>
        </w:rPr>
        <w:t>Percentage of mitochondria close to endoplasmic reticulum according to cell lines. Distance between mitochondria and endoplasmic reticulum under 0,1µm was defined as close. Chi-square test used, *** means p-value&lt;0,001</w:t>
      </w:r>
    </w:p>
    <w:p w14:paraId="17E57176" w14:textId="77777777" w:rsidR="00B47148" w:rsidRDefault="00B47148" w:rsidP="00B47148">
      <w:pPr>
        <w:rPr>
          <w:b/>
          <w:bCs/>
          <w:sz w:val="20"/>
          <w:lang w:val="en-US"/>
        </w:rPr>
      </w:pPr>
      <w:r>
        <w:rPr>
          <w:rFonts w:ascii="Times New Roman" w:eastAsia="Times New Roman" w:hAnsi="Times New Roman" w:cs="Times New Roman"/>
          <w:sz w:val="24"/>
          <w:szCs w:val="20"/>
        </w:rPr>
        <w:object w:dxaOrig="9060" w:dyaOrig="7080" w14:anchorId="7DE233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353.75pt" o:ole="">
            <v:imagedata r:id="rId8" o:title=""/>
          </v:shape>
          <o:OLEObject Type="Embed" ProgID="Prism5.Document" ShapeID="_x0000_i1025" DrawAspect="Content" ObjectID="_1657641290" r:id="rId9"/>
        </w:object>
      </w:r>
    </w:p>
    <w:p w14:paraId="583E7EB4" w14:textId="77777777" w:rsidR="00B47148" w:rsidRDefault="00B47148" w:rsidP="00B47148">
      <w:pPr>
        <w:rPr>
          <w:sz w:val="24"/>
          <w:szCs w:val="24"/>
          <w:highlight w:val="yellow"/>
          <w:lang w:val="en-US"/>
        </w:rPr>
      </w:pPr>
    </w:p>
    <w:p w14:paraId="7B63B16D" w14:textId="77777777" w:rsidR="006472E3" w:rsidRPr="00105908" w:rsidRDefault="006472E3" w:rsidP="003D5D4E">
      <w:pPr>
        <w:spacing w:after="0" w:line="240" w:lineRule="auto"/>
        <w:jc w:val="both"/>
        <w:rPr>
          <w:rFonts w:ascii="Times New Roman" w:eastAsia="Times New Roman" w:hAnsi="Times New Roman" w:cs="Times New Roman"/>
          <w:b/>
          <w:sz w:val="20"/>
          <w:szCs w:val="18"/>
          <w:lang w:val="en-US" w:eastAsia="fr-FR"/>
        </w:rPr>
      </w:pPr>
    </w:p>
    <w:p w14:paraId="70835ECB" w14:textId="0BBD9FB2" w:rsidR="002A2DBD" w:rsidRPr="005048A9" w:rsidRDefault="002A2DBD">
      <w:pPr>
        <w:rPr>
          <w:rFonts w:ascii="Times New Roman" w:hAnsi="Times New Roman" w:cs="Times New Roman"/>
          <w:b/>
          <w:bCs/>
          <w:sz w:val="20"/>
          <w:szCs w:val="20"/>
          <w:lang w:val="en-US"/>
        </w:rPr>
      </w:pPr>
    </w:p>
    <w:sectPr w:rsidR="002A2DBD" w:rsidRPr="005048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D4E"/>
    <w:rsid w:val="00105908"/>
    <w:rsid w:val="002A2DBD"/>
    <w:rsid w:val="003D5D4E"/>
    <w:rsid w:val="003E6FF1"/>
    <w:rsid w:val="00411806"/>
    <w:rsid w:val="004A76DF"/>
    <w:rsid w:val="0050337C"/>
    <w:rsid w:val="005048A9"/>
    <w:rsid w:val="00574B5E"/>
    <w:rsid w:val="006472E3"/>
    <w:rsid w:val="00754AB4"/>
    <w:rsid w:val="0082249A"/>
    <w:rsid w:val="008C63FF"/>
    <w:rsid w:val="0092469B"/>
    <w:rsid w:val="0092615E"/>
    <w:rsid w:val="0097339A"/>
    <w:rsid w:val="00B47148"/>
    <w:rsid w:val="00B84228"/>
    <w:rsid w:val="00B87CFB"/>
    <w:rsid w:val="00BB6ADA"/>
    <w:rsid w:val="00BF0402"/>
    <w:rsid w:val="00BF74E7"/>
    <w:rsid w:val="00CE3B30"/>
    <w:rsid w:val="00D07746"/>
    <w:rsid w:val="00DA37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B2A32"/>
  <w15:docId w15:val="{D3B48D05-5E8A-40F6-8842-837A6CB5E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link w:val="CommentaireCar"/>
    <w:uiPriority w:val="99"/>
    <w:semiHidden/>
    <w:unhideWhenUsed/>
    <w:rsid w:val="003D5D4E"/>
    <w:pPr>
      <w:spacing w:line="240" w:lineRule="auto"/>
    </w:pPr>
    <w:rPr>
      <w:sz w:val="20"/>
      <w:szCs w:val="20"/>
    </w:rPr>
  </w:style>
  <w:style w:type="character" w:customStyle="1" w:styleId="CommentaireCar">
    <w:name w:val="Commentaire Car"/>
    <w:basedOn w:val="Policepardfaut"/>
    <w:link w:val="Commentaire"/>
    <w:uiPriority w:val="99"/>
    <w:semiHidden/>
    <w:rsid w:val="003D5D4E"/>
    <w:rPr>
      <w:sz w:val="20"/>
      <w:szCs w:val="20"/>
    </w:rPr>
  </w:style>
  <w:style w:type="character" w:styleId="Marquedecommentaire">
    <w:name w:val="annotation reference"/>
    <w:basedOn w:val="Policepardfaut"/>
    <w:uiPriority w:val="99"/>
    <w:semiHidden/>
    <w:unhideWhenUsed/>
    <w:rsid w:val="003D5D4E"/>
    <w:rPr>
      <w:sz w:val="16"/>
      <w:szCs w:val="16"/>
    </w:rPr>
  </w:style>
  <w:style w:type="paragraph" w:styleId="Textedebulles">
    <w:name w:val="Balloon Text"/>
    <w:basedOn w:val="Normal"/>
    <w:link w:val="TextedebullesCar"/>
    <w:uiPriority w:val="99"/>
    <w:semiHidden/>
    <w:unhideWhenUsed/>
    <w:rsid w:val="003D5D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D5D4E"/>
    <w:rPr>
      <w:rFonts w:ascii="Tahoma" w:hAnsi="Tahoma" w:cs="Tahoma"/>
      <w:sz w:val="16"/>
      <w:szCs w:val="16"/>
    </w:rPr>
  </w:style>
  <w:style w:type="table" w:styleId="Grilledutableau">
    <w:name w:val="Table Grid"/>
    <w:basedOn w:val="TableauNormal"/>
    <w:uiPriority w:val="59"/>
    <w:rsid w:val="00B87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ie">
    <w:name w:val="Bibliography"/>
    <w:basedOn w:val="Normal"/>
    <w:next w:val="Normal"/>
    <w:uiPriority w:val="37"/>
    <w:unhideWhenUsed/>
    <w:rsid w:val="004A76DF"/>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9640295">
      <w:bodyDiv w:val="1"/>
      <w:marLeft w:val="0"/>
      <w:marRight w:val="0"/>
      <w:marTop w:val="0"/>
      <w:marBottom w:val="0"/>
      <w:divBdr>
        <w:top w:val="none" w:sz="0" w:space="0" w:color="auto"/>
        <w:left w:val="none" w:sz="0" w:space="0" w:color="auto"/>
        <w:bottom w:val="none" w:sz="0" w:space="0" w:color="auto"/>
        <w:right w:val="none" w:sz="0" w:space="0" w:color="auto"/>
      </w:divBdr>
    </w:div>
    <w:div w:id="157497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oleObject" Target="embeddings/oleObject1.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1014</Words>
  <Characters>5578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CHU de Grenoble</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Mondet , Julie</dc:creator>
  <cp:lastModifiedBy>Julie Mondet</cp:lastModifiedBy>
  <cp:revision>2</cp:revision>
  <dcterms:created xsi:type="dcterms:W3CDTF">2020-07-30T17:08:00Z</dcterms:created>
  <dcterms:modified xsi:type="dcterms:W3CDTF">2020-07-30T17:08:00Z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id="CerjIKVh"/&gt;&lt;style id="http://www.zotero.org/styles/vancouver" locale="fr-FR"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