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5F4F74" w14:textId="77777777" w:rsidR="000B139D" w:rsidRPr="00846D9C" w:rsidRDefault="000B139D" w:rsidP="000B139D">
      <w:pPr>
        <w:rPr>
          <w:b/>
          <w:bCs/>
          <w:sz w:val="28"/>
          <w:szCs w:val="28"/>
        </w:rPr>
      </w:pPr>
      <w:r w:rsidRPr="00846D9C">
        <w:rPr>
          <w:b/>
          <w:bCs/>
          <w:sz w:val="28"/>
          <w:szCs w:val="28"/>
        </w:rPr>
        <w:t>Supplementary Information</w:t>
      </w:r>
    </w:p>
    <w:p w14:paraId="4777F7BF" w14:textId="77777777" w:rsidR="000B139D" w:rsidRDefault="000B139D" w:rsidP="000B139D">
      <w:pPr>
        <w:rPr>
          <w:u w:val="single"/>
        </w:rPr>
      </w:pPr>
      <w:r>
        <w:rPr>
          <w:u w:val="single"/>
        </w:rPr>
        <w:t>Detailed discussion of entry points considered in the EU case study.</w:t>
      </w:r>
    </w:p>
    <w:p w14:paraId="606835B9" w14:textId="77777777" w:rsidR="000B139D" w:rsidRDefault="000B139D" w:rsidP="000B139D">
      <w:pPr>
        <w:spacing w:before="240"/>
      </w:pPr>
      <w:r>
        <w:t xml:space="preserve">In developing this assertion we begin with consideration of the 2021 European Climate Law, which explicitly describes ‘Polluter Pays’, ‘Precaution’ and ‘Do no harm’ as key foundational principles </w:t>
      </w:r>
      <w:r>
        <w:fldChar w:fldCharType="begin"/>
      </w:r>
      <w:r>
        <w:instrText xml:space="preserve"> ADDIN ZOTERO_ITEM CSL_CITATION {"citationID":"Z9skKC4D","properties":{"formattedCitation":"(Regulation (EU) 2021/1119 of the European Parliament and of the Council of 30 June 2021 Establishing the Framework for Achieving Climate Neutrality and Amending Regulations (EC) No 401/2009 and (EU) 2018/1999 (\\uc0\\u8216{}European Climate Law\\uc0\\u8217{}), 2021)","plainCitation":"(Regulation (EU) 2021/1119 of the European Parliament and of the Council of 30 June 2021 Establishing the Framework for Achieving Climate Neutrality and Amending Regulations (EC) No 401/2009 and (EU) 2018/1999 (‘European Climate Law’), 2021)","noteIndex":0},"citationItems":[{"id":173,"uris":["http://zotero.org/users/2848826/items/SQQQ5FCV"],"itemData":{"id":173,"type":"legislation","container-title":"OJ L 243, 9.7.2021, p. 1–17","title":"Regulation (EU) 2021/1119 of the European Parliament and of the Council of 30 June 2021 establishing the framework for achieving climate neutrality and amending Regulations (EC) No 401/2009 and (EU) 2018/1999 (‘European Climate Law’)","author":[{"family":"Regulation (EU)","given":""}],"issued":{"date-parts":[["2021"]]}}}],"schema":"https://github.com/citation-style-language/schema/raw/master/csl-citation.json"} </w:instrText>
      </w:r>
      <w:r>
        <w:fldChar w:fldCharType="separate"/>
      </w:r>
      <w:r w:rsidRPr="00225092">
        <w:rPr>
          <w:lang w:val="en-GB"/>
        </w:rPr>
        <w:t>(Regulation (EU) 2021/1119 of the European Parliament and of the Council of 30 June 2021 Establishing the Framework for Achieving Climate Neutrality and Amending Regulations (EC) No 401/2009 and (EU) 2018/1999 (‘European Climate Law’), 2021)</w:t>
      </w:r>
      <w:r>
        <w:fldChar w:fldCharType="end"/>
      </w:r>
      <w:r>
        <w:t>. Countries in the European Union are also signatories to the Paris Agreement, thereby acknowledging the principle of ‘common but differentiated responsibilities and respective capabilities, in the light of different national circumstances’ (CBDR-RC) contained therein. We consider this set of principles to be complementary to one another.</w:t>
      </w:r>
    </w:p>
    <w:p w14:paraId="18E1E429" w14:textId="77777777" w:rsidR="000B139D" w:rsidRDefault="000B139D" w:rsidP="000B139D">
      <w:pPr>
        <w:pBdr>
          <w:top w:val="nil"/>
          <w:left w:val="nil"/>
          <w:bottom w:val="nil"/>
          <w:right w:val="nil"/>
          <w:between w:val="nil"/>
        </w:pBdr>
      </w:pPr>
      <w:r>
        <w:t>Following the long-term temperature goal of the Paris Agreement to keep global warming well- below 2°C and pursue efforts to limit it to 1.5°C relative to preindustrial levels as well as the ‘do no harm’ and ‘precautionary’ principles, we select a remaining carbon budget consistent with limiting global warming to 1.5°C with a 50% likelihood. This remaining carbon budget is estimated to be 247 Gt</w:t>
      </w:r>
      <w:r w:rsidRPr="00EB2A67">
        <w:t xml:space="preserve"> </w:t>
      </w:r>
      <w:r>
        <w:t>CO</w:t>
      </w:r>
      <w:r w:rsidRPr="00AE65A4">
        <w:rPr>
          <w:vertAlign w:val="subscript"/>
        </w:rPr>
        <w:t>2</w:t>
      </w:r>
      <w:r>
        <w:t xml:space="preserve"> starting from 2023 </w:t>
      </w:r>
      <w:r>
        <w:fldChar w:fldCharType="begin"/>
      </w:r>
      <w:r>
        <w:instrText xml:space="preserve"> ADDIN ZOTERO_ITEM CSL_CITATION {"citationID":"iFHM6KIr","properties":{"formattedCitation":"(Lamboll et al., 2023)","plainCitation":"(Lamboll et al., 2023)","noteIndex":0},"citationItems":[{"id":640,"uris":["http://zotero.org/users/2848826/items/48FAS8JW"],"itemData":{"id":640,"type":"article-journal","abstract":"Abstract\n            \n              The remaining carbon budget (RCB), the net amount of CO\n              2\n              humans can still emit without exceeding a chosen global warming limit, is often used to evaluate political action against the goals of the Paris Agreement. RCB estimates for 1.5 °C are small, and minor changes in their calculation can therefore result in large relative adjustments. Here we evaluate recent RCB assessments by the IPCC and present more recent data, calculation refinements and robustness checks that increase confidence in them. We conclude that the RCB for a 50% chance of keeping warming to 1.5 °C is around 250 GtCO\n              2\n              as of January 2023, equal to around six years of current CO\n              2\n              emissions. For a 50% chance of 2 °C the RCB is around 1,200 GtCO\n              2\n              . Key uncertainties affecting RCB estimates are the contribution of non-CO\n              2\n              emissions, which depends on socioeconomic projections as much as on geophysical uncertainty, and potential warming after net zero CO\n              2\n              .","container-title":"Nature Climate Change","DOI":"10.1038/s41558-023-01848-5","ISSN":"1758-678X, 1758-6798","journalAbbreviation":"Nat. Clim. Chang.","language":"en","source":"DOI.org (Crossref)","title":"Assessing the size and uncertainty of remaining carbon budgets","URL":"https://www.nature.com/articles/s41558-023-01848-5","author":[{"family":"Lamboll","given":"Robin D."},{"family":"Nicholls","given":"Zebedee R. J."},{"family":"Smith","given":"Christopher J."},{"family":"Kikstra","given":"Jarmo S."},{"family":"Byers","given":"Edward"},{"family":"Rogelj","given":"Joeri"}],"accessed":{"date-parts":[["2023",11,23]]},"issued":{"date-parts":[["2023",10,30]]}}}],"schema":"https://github.com/citation-style-language/schema/raw/master/csl-citation.json"} </w:instrText>
      </w:r>
      <w:r>
        <w:fldChar w:fldCharType="separate"/>
      </w:r>
      <w:r>
        <w:rPr>
          <w:noProof/>
        </w:rPr>
        <w:t>(Lamboll et al., 2023)</w:t>
      </w:r>
      <w:r>
        <w:fldChar w:fldCharType="end"/>
      </w:r>
      <w:r>
        <w:t>. We recognise that this is a value judgement and note that higher likelihoods (e.g. 67% or 90%) may be better aligned with the referenced principles. We convert this to a budget from the year 2020 by adding in all CO</w:t>
      </w:r>
      <w:r w:rsidRPr="00473A9F">
        <w:rPr>
          <w:vertAlign w:val="subscript"/>
        </w:rPr>
        <w:t>2</w:t>
      </w:r>
      <w:r>
        <w:t xml:space="preserve"> emissions 2020-2022 (117 GtCO</w:t>
      </w:r>
      <w:r w:rsidRPr="00473A9F">
        <w:rPr>
          <w:vertAlign w:val="subscript"/>
        </w:rPr>
        <w:t>2</w:t>
      </w:r>
      <w:r>
        <w:t>), resulting in a remaining budget in the year 2020 of 364 GtCO</w:t>
      </w:r>
      <w:r w:rsidRPr="00473A9F">
        <w:rPr>
          <w:vertAlign w:val="subscript"/>
        </w:rPr>
        <w:t>2</w:t>
      </w:r>
      <w:r>
        <w:t>, a substantial downward revision from the original budget for the equivalent temperature threshold and likelihood provided in the IPCC AR6 (500 GtCO</w:t>
      </w:r>
      <w:r w:rsidRPr="00E61D3C">
        <w:rPr>
          <w:vertAlign w:val="subscript"/>
        </w:rPr>
        <w:t>2</w:t>
      </w:r>
      <w:r>
        <w:t>).</w:t>
      </w:r>
    </w:p>
    <w:p w14:paraId="2CFAA63A" w14:textId="77777777" w:rsidR="000B139D" w:rsidRDefault="000B139D" w:rsidP="000B139D">
      <w:pPr>
        <w:pBdr>
          <w:top w:val="nil"/>
          <w:left w:val="nil"/>
          <w:bottom w:val="nil"/>
          <w:right w:val="nil"/>
          <w:between w:val="nil"/>
        </w:pBdr>
      </w:pPr>
      <w:r>
        <w:t>In line with the C1</w:t>
      </w:r>
      <w:r w:rsidRPr="005D7EA3">
        <w:rPr>
          <w:rStyle w:val="FootnoteReference"/>
        </w:rPr>
        <w:footnoteReference w:id="1"/>
      </w:r>
      <w:r>
        <w:t xml:space="preserve"> set of scenarios in the IPCC’s AR6, we conservatively assume Land Use, Land Use Change and Forestry (LULUCF) CO</w:t>
      </w:r>
      <w:r w:rsidRPr="00AE65A4">
        <w:rPr>
          <w:vertAlign w:val="subscript"/>
        </w:rPr>
        <w:t>2</w:t>
      </w:r>
      <w:r>
        <w:rPr>
          <w:vertAlign w:val="subscript"/>
        </w:rPr>
        <w:t xml:space="preserve"> </w:t>
      </w:r>
      <w:r>
        <w:t>emissions are cumulatively net zero in the period 2020-2050. Thus, we do not consider future allocations to this sector (or sinks arising through this sector), nor do we consider historical contributions through this sector. The latter decision is based on the uncertainty in quantifying and attributing historical anthropogenic LULUCF CO</w:t>
      </w:r>
      <w:r w:rsidRPr="00AE65A4">
        <w:rPr>
          <w:vertAlign w:val="subscript"/>
        </w:rPr>
        <w:t>2</w:t>
      </w:r>
      <w:r>
        <w:rPr>
          <w:vertAlign w:val="subscript"/>
        </w:rPr>
        <w:t xml:space="preserve"> </w:t>
      </w:r>
      <w:r>
        <w:t xml:space="preserve">emissions, which remains subject to active discussion </w:t>
      </w:r>
      <w:r>
        <w:fldChar w:fldCharType="begin"/>
      </w:r>
      <w:r>
        <w:instrText xml:space="preserve"> ADDIN ZOTERO_ITEM CSL_CITATION {"citationID":"YAWvMXH4","properties":{"formattedCitation":"(Ellis, 2021; Friedlingstein et al., 2022)","plainCitation":"(Ellis, 2021; Friedlingstein et al., 2022)","noteIndex":0},"citationItems":[{"id":"IV2NQujQ/eAmaBLyc","uris":["http://zotero.org/users/2848826/items/NM478MGG"],"itemData":{"id":2187,"type":"article-journal","abstract":"Human use of land has been transforming Earth's ecology for millennia. From hunting and foraging to burning the land to farming to industrial agriculture, increasingly intensive human use of land has reshaped global patterns of biodiversity, ecosystems, landscapes, and climate. This review examines recent evidence from archaeology, paleoecology, environmental history, and model-based reconstructions that reveal a planet largely transformed by land use over more than 10,000 years. Although land use has always sustained human societies, its ecological consequences are diverse and sometimes opposing, both degrading and enriching soils, shrinking wild habitats and shaping novel ones, causing extinctions of some species while propagating and domesticating others, and both emitting and absorbing the greenhouse gases that cause global climate change. By transforming Earth's ecology, land use has literally paved the way for the Anthropocene. Now, a better future depends on land use strategies that can effectively sustain people together with the rest of terrestrial nature on Earth's limited land.","container-title":"Annual Review of Environment and Resources","DOI":"10.1146/annurev-environ-012220-010822","ISSN":"1543-5938, 1545-2050","issue":"1","journalAbbreviation":"Annu. Rev. Environ. Resour.","language":"en","page":"1-33","source":"DOI.org (Crossref)","title":"Land Use and Ecological Change: A 12,000-Year History","title-short":"Land Use and Ecological Change","volume":"46","author":[{"family":"Ellis","given":"Erle C."}],"issued":{"date-parts":[["2021",10,18]]}}},{"id":169,"uris":["http://zotero.org/users/2848826/items/KQBZ6LI6"],"itemData":{"id":169,"type":"article-journal","container-title":"Earth System Science Data","DOI":"10.5194/essd-14-1917-2022","ISSN":"1866-3508","issue":"4","language":"English","note":"publisher: Copernicus GmbH","page":"1917–2005","title":"Global Carbon Budget 2021","volume":"14","author":[{"family":"Friedlingstein","given":"Pierre"},{"family":"Jones","given":"Matthew W."},{"family":"O’Sullivan","given":"Michael"},{"family":"Andrew","given":"Robbie M."},{"family":"Bakker","given":"Dorothee C. E."},{"family":"Hauck","given":"Judith"},{"family":"Le Quéré","given":"Corinne"},{"family":"Peters","given":"Glen P."},{"family":"Peters","given":"Wouter"},{"family":"Pongratz","given":"Julia"},{"family":"Sitch","given":"Stephen"},{"family":"Canadell","given":"Josep G."},{"family":"Ciais","given":"Philippe"},{"family":"Jackson","given":"Rob B."},{"family":"Alin","given":"Simone R."},{"family":"Anthoni","given":"Peter"},{"family":"Bates","given":"Nicholas R."},{"family":"Becker","given":"Meike"},{"family":"Bellouin","given":"Nicolas"},{"family":"Bopp","given":"Laurent"},{"family":"Chau","given":"Thi Tuyet Trang"},{"family":"Chevallier","given":"Frédéric"},{"family":"Chini","given":"Louise P."},{"family":"Cronin","given":"Margot"},{"family":"Currie","given":"Kim I."},{"family":"Decharme","given":"Bertrand"},{"family":"Djeutchouang","given":"Laique M."},{"family":"Dou","given":"Xinyu"},{"family":"Evans","given":"Wiley"},{"family":"Feely","given":"Richard A."},{"family":"Feng","given":"Liang"},{"family":"Gasser","given":"Thomas"},{"family":"Gilfillan","given":"Dennis"},{"family":"Gkritzalis","given":"Thanos"},{"family":"Grassi","given":"Giacomo"},{"family":"Gregor","given":"Luke"},{"family":"Gruber","given":"Nicolas"},{"family":"Gürses","given":"Özgür"},{"family":"Harris","given":"Ian"},{"family":"Houghton","given":"Richard A."},{"family":"Hurtt","given":"George C."},{"family":"Iida","given":"Yosuke"},{"family":"Ilyina","given":"Tatiana"},{"family":"Luijkx","given":"Ingrid T."},{"family":"Jain","given":"Atul"},{"family":"Jones","given":"Steve D."},{"family":"Kato","given":"Etsushi"},{"family":"Kennedy","given":"Daniel"},{"family":"Klein Goldewijk","given":"Kees"},{"family":"Knauer","given":"Jürgen"},{"family":"Korsbakken","given":"Jan Ivar"},{"family":"Körtzinger","given":"Arne"},{"family":"Landschützer","given":"Peter"},{"family":"Lauvset","given":"Siv K."},{"family":"Lefèvre","given":"Nathalie"},{"family":"Lienert","given":"Sebastian"},{"family":"Liu","given":"Junjie"},{"family":"Marland","given":"Gregg"},{"family":"McGuire","given":"Patrick C."},{"family":"Melton","given":"Joe R."},{"family":"Munro","given":"David R."},{"family":"Nabel","given":"Julia E. M. S."},{"family":"Nakaoka","given":"Shin-Ichiro"},{"family":"Niwa","given":"Yosuke"},{"family":"Ono","given":"Tsuneo"},{"family":"Pierrot","given":"Denis"},{"family":"Poulter","given":"Benjamin"},{"family":"Rehder","given":"Gregor"},{"family":"Resplandy","given":"Laure"},{"family":"Robertson","given":"Eddy"},{"family":"Rödenbeck","given":"Christian"},{"family":"Rosan","given":"Thais M."},{"family":"Schwinger","given":"Jörg"},{"family":"Schwingshackl","given":"Clemens"},{"family":"Séférian","given":"Roland"},{"family":"Sutton","given":"Adrienne J."},{"family":"Sweeney","given":"Colm"},{"family":"Tanhua","given":"Toste"},{"family":"Tans","given":"Pieter P."},{"family":"Tian","given":"Hanqin"},{"family":"Tilbrook","given":"Bronte"},{"family":"Tubiello","given":"Francesco"},{"family":"Werf","given":"Guido R.","non-dropping-particle":"van der"},{"family":"Vuichard","given":"Nicolas"},{"family":"Wada","given":"Chisato"},{"family":"Wanninkhof","given":"Rik"},{"family":"Watson","given":"Andrew J."},{"family":"Willis","given":"David"},{"family":"Wiltshire","given":"Andrew J."},{"family":"Yuan","given":"Wenping"},{"family":"Yue","given":"Chao"},{"family":"Yue","given":"Xu"},{"family":"Zaehle","given":"Sönke"},{"family":"Zeng","given":"Jiye"}],"issued":{"date-parts":[["2022",4]]}}}],"schema":"https://github.com/citation-style-language/schema/raw/master/csl-citation.json"} </w:instrText>
      </w:r>
      <w:r>
        <w:fldChar w:fldCharType="separate"/>
      </w:r>
      <w:r>
        <w:rPr>
          <w:noProof/>
        </w:rPr>
        <w:t>(Ellis, 2021; Friedlingstein et al., 2022)</w:t>
      </w:r>
      <w:r>
        <w:fldChar w:fldCharType="end"/>
      </w:r>
      <w:r>
        <w:t>. Historical and recent non-CO</w:t>
      </w:r>
      <w:r w:rsidRPr="00AE65A4">
        <w:rPr>
          <w:vertAlign w:val="subscript"/>
        </w:rPr>
        <w:t>2</w:t>
      </w:r>
      <w:r>
        <w:rPr>
          <w:vertAlign w:val="subscript"/>
        </w:rPr>
        <w:t xml:space="preserve"> </w:t>
      </w:r>
      <w:r>
        <w:t>emissions are also not considered. Here, we refer to the ongoing active academic debate regarding fair sectoral emissions floors (e.g., in the agricultural sector) and how to include warming contributions of non-</w:t>
      </w:r>
      <w:r w:rsidRPr="00EB2A67">
        <w:t xml:space="preserve"> </w:t>
      </w:r>
      <w:r>
        <w:t>CO</w:t>
      </w:r>
      <w:r w:rsidRPr="00AE65A4">
        <w:rPr>
          <w:vertAlign w:val="subscript"/>
        </w:rPr>
        <w:t>2</w:t>
      </w:r>
      <w:r>
        <w:rPr>
          <w:vertAlign w:val="subscript"/>
        </w:rPr>
        <w:t xml:space="preserve"> </w:t>
      </w:r>
      <w:r>
        <w:t>GHGs (in particular, when they have life spans shorter than CO</w:t>
      </w:r>
      <w:r w:rsidRPr="00AE65A4">
        <w:rPr>
          <w:vertAlign w:val="subscript"/>
        </w:rPr>
        <w:t>2</w:t>
      </w:r>
      <w:r>
        <w:t xml:space="preserve">), a complex topic subject to active scientific discussion </w:t>
      </w:r>
      <w:r>
        <w:fldChar w:fldCharType="begin"/>
      </w:r>
      <w:r>
        <w:instrText xml:space="preserve"> ADDIN ZOTERO_ITEM CSL_CITATION {"citationID":"I7R2xaLi","properties":{"formattedCitation":"(Cain et al., 2021; Dhakal et al., 2022; Meinshausen &amp; Nicholls, 2022; Reisinger et al., 2021; Rogelj &amp; Schleussner, 2019, 2021)","plainCitation":"(Cain et al., 2021; Dhakal et al., 2022; Meinshausen &amp; Nicholls, 2022; Reisinger et al., 2021; Rogelj &amp; Schleussner, 2019, 2021)","noteIndex":0},"citationItems":[{"id":102,"uris":["http://zotero.org/users/2848826/items/AA2WLJFV"],"itemData":{"id":102,"type":"article-journal","container-title":"Environmental Research Letters","DOI":"10.1088/1748-9326/ac02eb","ISSN":"1748-9326","issue":"6","journalAbbreviation":"Environ. Res. Lett.","page":"068001","source":"DOI.org (Crossref)","title":"Comment on ‘Unintentional unfairness when applying new greenhouse gas emissions metrics at country level’","volume":"16","author":[{"family":"Cain","given":"Michelle"},{"family":"Shine","given":"Keith"},{"family":"Frame","given":"David"},{"family":"Lynch","given":"John"},{"family":"Macey","given":"Adrian"},{"family":"Pierrehumbert","given":"Ray"},{"family":"Allen","given":"Myles"}],"issued":{"date-parts":[["2021",6,1]]}}},{"id":504,"uris":["http://zotero.org/users/2848826/items/5XK35FRB"],"itemData":{"id":504,"type":"chapter","container-title":"Climate Change 2022: Mitigation of Climate Change. Contribution of Working Group III to the Sixth Assessment Report of the Intergovernmental Panel on Climate Change","publisher":"IPCC","title":"Emissions Trends and Drivers Supplementary Material","URL":"https://www.ipcc.ch/report/ar6/wg3/","author":[{"family":"Dhakal","given":"Shobhakar"},{"family":"Minx","given":"Jan C."},{"family":"Toth","given":"Ferenc L."},{"family":"Reisinger","given":"Andrew"},{"family":"Lamb","given":"William F."},{"family":"Döbbeling","given":"Nico"},{"family":"Wiedmann","given":"Thomas"},{"family":"Hubacek","given":"Klaus"},{"family":"Andrew","given":"Robbie M."},{"family":"Crippa","given":"Monica"},{"family":"Forster","given":"Piers M."},{"family":"Olivier","given":"Jos G. J."},{"family":"Peters","given":"Glen P."},{"family":"Pongratz","given":"Julia"},{"family":"Rigby","given":"Matt"},{"family":"Saunois","given":"Marielle"},{"family":"Smith","given":"Steven J."},{"family":"Solazzo","given":"Efisio"},{"family":"Tian","given":"Hanqin"},{"family":"Blok","given":"Kornelis"},{"family":"Clark","given":"Hannah"},{"family":"Cowie","given":"Annette"},{"family":"Fuglestvedt","given":"Jan S."},{"family":"Geden","given":"Oliver"},{"family":"Ginzburg","given":"Vitaly"},{"family":"Guivarch","given":"Céline"},{"family":"House","given":"Joanna I."},{"family":"Mrabet","given":"Rachid"},{"family":"Nabuurs","given":"Gert-Jan"},{"family":"Riahi","given":"Keywan"},{"family":"Strømman","given":"Anders H."},{"family":"Schaeffer","given":"Michiel"},{"family":"Vuuren","given":"Detlef P.","non-dropping-particle":"van"},{"family":"Al Khourdajie","given":"Ayman"},{"family":"Slade","given":"Raphael"}],"editor":[{"family":"Shukla","given":"P.R."},{"family":"Skea","given":"Jim"},{"family":"Slade","given":"Raphael"},{"family":"Al Khourdajie","given":"Ayman"},{"family":"Diemen","given":"René","non-dropping-particle":"van"},{"family":"McCollum","given":"David"},{"family":"Pathak","given":"Mahendra"},{"family":"Some","given":"Surabi"},{"family":"Vyas","given":"Prabodh"},{"family":"Fradera","given":"Roger"},{"family":"Belkacemi","given":"Mehdi"},{"family":"Hasija","given":"Anmol"},{"family":"Lisboa","given":"Gabriel"},{"family":"Luz","given":"Sônia"},{"family":"Malley","given":"Jim"}],"issued":{"date-parts":[["2022"]]}}},{"id":506,"uris":["http://zotero.org/users/2848826/items/5YS9PLTK"],"itemData":{"id":506,"type":"article-journal","container-title":"Environmental Research Letters","DOI":"10.1088/1748-9326/ac5930","ISSN":"1748-9326","issue":"4","journalAbbreviation":"Environ. Res. Lett.","page":"041002","source":"DOI.org (Crossref)","title":"GWP*is a model, not a metric","volume":"17","author":[{"family":"Meinshausen","given":"Malte"},{"family":"Nicholls","given":"Zebedee"}],"issued":{"date-parts":[["2022",4,1]]}}},{"id":505,"uris":["http://zotero.org/users/2848826/items/IUSB7J4S"],"itemData":{"id":505,"type":"article-journal","abstract":"Agriculture is the largest single source of global anthropogenic methane (CH\n              4\n              ) emissions, with ruminants the dominant contributor. Livestock CH\n              4\n              emissions are projected to grow another 30% by 2050 under current policies, yet few countries have set targets or are implementing policies to reduce emissions in absolute terms. The reason for this limited ambition may be linked not only to the underpinning role of livestock for nutrition and livelihoods in many countries but also diverging perspectives on the importance of mitigating these emissions, given the short atmospheric lifetime of CH\n              4\n              . Here, we show that in mitigation pathways that limit warming to 1.5°C, which include cost-effective reductions from all emission sources, the contribution of future livestock CH\n              4\n              emissions to global warming in 2050 is about one-third of that from future net carbon dioxide emissions. Future livestock CH\n              4\n              emissions, therefore, significantly constrain the remaining carbon budget and the ability to meet stringent temperature limits. We review options to address livestock CH\n              4\n              emissions through more efficient production, technological advances and demand-side changes, and their interactions with land-based carbon sequestration. We conclude that bringing livestock into mainstream mitigation policies, while recognizing their unique social, cultural and economic roles, would make an important contribution towards reaching the temperature goal of the Paris Agreement and is vital for a limit of 1.5°C.\n            \n            This article is part of a discussion meeting issue 'Rising methane: is warming feeding warming? (part 1)'.","container-title":"Philosophical Transactions of the Royal Society A: Mathematical, Physical and Engineering Sciences","DOI":"10.1098/rsta.2020.0452","ISSN":"1364-503X, 1471-2962","issue":"2210","journalAbbreviation":"Phil. Trans. R. Soc. A.","language":"en","page":"20200452","source":"DOI.org (Crossref)","title":"How necessary and feasible are reductions of methane emissions from livestock to support stringent temperature goals?","volume":"379","author":[{"family":"Reisinger","given":"Andy"},{"family":"Clark","given":"Harry"},{"family":"Cowie","given":"Annette L."},{"family":"Emmet-Booth","given":"Jeremy"},{"family":"Gonzalez Fischer","given":"Carlos"},{"family":"Herrero","given":"Mario"},{"family":"Howden","given":"Mark"},{"family":"Leahy","given":"Sinead"}],"issued":{"date-parts":[["2021",11,15]]}}},{"id":103,"uris":["http://zotero.org/users/2848826/items/XSZCKWWV"],"itemData":{"id":103,"type":"article-journal","abstract":"Abstract\n            \n              The 2015 Paris Agreement sets out that rapid reductions in greenhouse gas (GHG) emissions are needed to keep global warming to safe levels. A new approach (known as\n              GWP\n              *) has been suggested to compare contributions of long- and short-lived GHGs, providing a close link between cumulative CO\n              2\n              -equivalent emissions and total warming. However, comparison factors for non-CO\n              2\n              GHGs under the\n              GWP\n              * metric depend on past emissions, and hence raise questions of equity and fairness when applied at any but the global level. The use of\n              GWP\n              * would put most developing countries at a disadvantage compared to developed countries, because when using\n              GWP\n              * countries with high historical emissions of short-lived GHGs are exempted from accounting for avoidable future warming that is caused by sustaining these emissions. We show that when various established equity or fairness criteria are applied to\n              GWP\n              * (defined here as\n              eGWP\n              *), perceived national non-CO\n              2\n              emissions vary by more than an order of magnitude, particularly in countries with high methane emissions like New Zealand. We show that national emission estimates that use\n              GWP\n              * are very sensitive to arbitrary choices made by countries and therewith facilitate the creation of loopholes when CO\n              2\n              -equivalent emissions based on the\n              GWP\n              * concept are traded between countries that use different approaches. In light of such equity-dependent accounting differences, GHG metrics like\n              GWP\n              * should only be used at the global level. A common, transparent and equity-neutral accounting metric is vital for the Paris Agreement’s effectiveness and its environmental integrity.","container-title":"Environmental Research Letters","DOI":"10.1088/1748-9326/ab4928","ISSN":"1748-9326","issue":"11","journalAbbreviation":"Environ. Res. Lett.","page":"114039","source":"DOI.org (Crossref)","title":"Unintentional unfairness when applying new greenhouse gas emissions metrics at country level","volume":"14","author":[{"family":"Rogelj","given":"Joeri"},{"family":"Schleussner","given":"Carl-Friedrich"}],"issued":{"date-parts":[["2019",11,1]]}}},{"id":515,"uris":["http://zotero.org/users/2848826/items/LKWLEGBH"],"itemData":{"id":515,"type":"article-journal","container-title":"Environmental Research Letters","DOI":"10.1088/1748-9326/ac02ec","ISSN":"1748-9326","issue":"6","journalAbbreviation":"Environ. Res. Lett.","page":"068002","source":"DOI.org (Crossref)","title":"Reply to Comment on ‘Unintentional unfairness when applying new greenhouse gas emissions metrics at country level’","volume":"16","author":[{"family":"Rogelj","given":"Joeri"},{"family":"Schleussner","given":"Carl-Friedrich"}],"issued":{"date-parts":[["2021",6,1]]}}}],"schema":"https://github.com/citation-style-language/schema/raw/master/csl-citation.json"} </w:instrText>
      </w:r>
      <w:r>
        <w:fldChar w:fldCharType="separate"/>
      </w:r>
      <w:r w:rsidRPr="00332C89">
        <w:rPr>
          <w:noProof/>
          <w:lang w:val="de-AT"/>
        </w:rPr>
        <w:t xml:space="preserve">(Cain et al., 2021; Dhakal et al., 2022; Meinshausen &amp; Nicholls, 2022; Reisinger et </w:t>
      </w:r>
      <w:r w:rsidRPr="00332C89">
        <w:rPr>
          <w:noProof/>
          <w:lang w:val="de-AT"/>
        </w:rPr>
        <w:lastRenderedPageBreak/>
        <w:t>al., 2021; Rogelj &amp; Schleussner, 2019, 2021)</w:t>
      </w:r>
      <w:r>
        <w:fldChar w:fldCharType="end"/>
      </w:r>
      <w:r w:rsidRPr="00332C89">
        <w:rPr>
          <w:lang w:val="de-AT"/>
        </w:rPr>
        <w:t xml:space="preserve">. </w:t>
      </w:r>
      <w:r>
        <w:t>While ‘fair share’ studies employing the Global Warming Potential (GWP) metric to include non-CO</w:t>
      </w:r>
      <w:r w:rsidRPr="00AE65A4">
        <w:rPr>
          <w:vertAlign w:val="subscript"/>
        </w:rPr>
        <w:t>2</w:t>
      </w:r>
      <w:r>
        <w:rPr>
          <w:vertAlign w:val="subscript"/>
        </w:rPr>
        <w:t xml:space="preserve"> </w:t>
      </w:r>
      <w:r>
        <w:t>GHGs exist, the evolving debate surrounding this issue cautions against relying on this for near-term fairness calculations (from 1990). Consequently, we concentrate solely on historical and remaining CO</w:t>
      </w:r>
      <w:r w:rsidRPr="00AE65A4">
        <w:rPr>
          <w:vertAlign w:val="subscript"/>
        </w:rPr>
        <w:t>2</w:t>
      </w:r>
      <w:r>
        <w:rPr>
          <w:vertAlign w:val="subscript"/>
        </w:rPr>
        <w:t xml:space="preserve"> </w:t>
      </w:r>
      <w:r>
        <w:t xml:space="preserve">budgets, where the literature is more established. Finally, as our work draws on national estimates provided by the Global Carbon Budget project, it excludes emissions attributable to international bunkers </w:t>
      </w:r>
      <w:r>
        <w:fldChar w:fldCharType="begin"/>
      </w:r>
      <w:r>
        <w:instrText xml:space="preserve"> ADDIN ZOTERO_ITEM CSL_CITATION {"citationID":"wtsqTKGk","properties":{"formattedCitation":"(Friedlingstein et al., 2022)","plainCitation":"(Friedlingstein et al., 2022)","noteIndex":0},"citationItems":[{"id":169,"uris":["http://zotero.org/users/2848826/items/KQBZ6LI6"],"itemData":{"id":169,"type":"article-journal","container-title":"Earth System Science Data","DOI":"10.5194/essd-14-1917-2022","ISSN":"1866-3508","issue":"4","language":"English","note":"publisher: Copernicus GmbH","page":"1917–2005","title":"Global Carbon Budget 2021","volume":"14","author":[{"family":"Friedlingstein","given":"Pierre"},{"family":"Jones","given":"Matthew W."},{"family":"O’Sullivan","given":"Michael"},{"family":"Andrew","given":"Robbie M."},{"family":"Bakker","given":"Dorothee C. E."},{"family":"Hauck","given":"Judith"},{"family":"Le Quéré","given":"Corinne"},{"family":"Peters","given":"Glen P."},{"family":"Peters","given":"Wouter"},{"family":"Pongratz","given":"Julia"},{"family":"Sitch","given":"Stephen"},{"family":"Canadell","given":"Josep G."},{"family":"Ciais","given":"Philippe"},{"family":"Jackson","given":"Rob B."},{"family":"Alin","given":"Simone R."},{"family":"Anthoni","given":"Peter"},{"family":"Bates","given":"Nicholas R."},{"family":"Becker","given":"Meike"},{"family":"Bellouin","given":"Nicolas"},{"family":"Bopp","given":"Laurent"},{"family":"Chau","given":"Thi Tuyet Trang"},{"family":"Chevallier","given":"Frédéric"},{"family":"Chini","given":"Louise P."},{"family":"Cronin","given":"Margot"},{"family":"Currie","given":"Kim I."},{"family":"Decharme","given":"Bertrand"},{"family":"Djeutchouang","given":"Laique M."},{"family":"Dou","given":"Xinyu"},{"family":"Evans","given":"Wiley"},{"family":"Feely","given":"Richard A."},{"family":"Feng","given":"Liang"},{"family":"Gasser","given":"Thomas"},{"family":"Gilfillan","given":"Dennis"},{"family":"Gkritzalis","given":"Thanos"},{"family":"Grassi","given":"Giacomo"},{"family":"Gregor","given":"Luke"},{"family":"Gruber","given":"Nicolas"},{"family":"Gürses","given":"Özgür"},{"family":"Harris","given":"Ian"},{"family":"Houghton","given":"Richard A."},{"family":"Hurtt","given":"George C."},{"family":"Iida","given":"Yosuke"},{"family":"Ilyina","given":"Tatiana"},{"family":"Luijkx","given":"Ingrid T."},{"family":"Jain","given":"Atul"},{"family":"Jones","given":"Steve D."},{"family":"Kato","given":"Etsushi"},{"family":"Kennedy","given":"Daniel"},{"family":"Klein Goldewijk","given":"Kees"},{"family":"Knauer","given":"Jürgen"},{"family":"Korsbakken","given":"Jan Ivar"},{"family":"Körtzinger","given":"Arne"},{"family":"Landschützer","given":"Peter"},{"family":"Lauvset","given":"Siv K."},{"family":"Lefèvre","given":"Nathalie"},{"family":"Lienert","given":"Sebastian"},{"family":"Liu","given":"Junjie"},{"family":"Marland","given":"Gregg"},{"family":"McGuire","given":"Patrick C."},{"family":"Melton","given":"Joe R."},{"family":"Munro","given":"David R."},{"family":"Nabel","given":"Julia E. M. S."},{"family":"Nakaoka","given":"Shin-Ichiro"},{"family":"Niwa","given":"Yosuke"},{"family":"Ono","given":"Tsuneo"},{"family":"Pierrot","given":"Denis"},{"family":"Poulter","given":"Benjamin"},{"family":"Rehder","given":"Gregor"},{"family":"Resplandy","given":"Laure"},{"family":"Robertson","given":"Eddy"},{"family":"Rödenbeck","given":"Christian"},{"family":"Rosan","given":"Thais M."},{"family":"Schwinger","given":"Jörg"},{"family":"Schwingshackl","given":"Clemens"},{"family":"Séférian","given":"Roland"},{"family":"Sutton","given":"Adrienne J."},{"family":"Sweeney","given":"Colm"},{"family":"Tanhua","given":"Toste"},{"family":"Tans","given":"Pieter P."},{"family":"Tian","given":"Hanqin"},{"family":"Tilbrook","given":"Bronte"},{"family":"Tubiello","given":"Francesco"},{"family":"Werf","given":"Guido R.","non-dropping-particle":"van der"},{"family":"Vuichard","given":"Nicolas"},{"family":"Wada","given":"Chisato"},{"family":"Wanninkhof","given":"Rik"},{"family":"Watson","given":"Andrew J."},{"family":"Willis","given":"David"},{"family":"Wiltshire","given":"Andrew J."},{"family":"Yuan","given":"Wenping"},{"family":"Yue","given":"Chao"},{"family":"Yue","given":"Xu"},{"family":"Zaehle","given":"Sönke"},{"family":"Zeng","given":"Jiye"}],"issued":{"date-parts":[["2022",4]]}}}],"schema":"https://github.com/citation-style-language/schema/raw/master/csl-citation.json"} </w:instrText>
      </w:r>
      <w:r>
        <w:fldChar w:fldCharType="separate"/>
      </w:r>
      <w:r>
        <w:rPr>
          <w:noProof/>
        </w:rPr>
        <w:t>(Friedlingstein et al., 2022)</w:t>
      </w:r>
      <w:r>
        <w:fldChar w:fldCharType="end"/>
      </w:r>
      <w:r>
        <w:t>. To address this, we subtract projected median international bunker emissions CO</w:t>
      </w:r>
      <w:r w:rsidRPr="002C426C">
        <w:rPr>
          <w:vertAlign w:val="subscript"/>
        </w:rPr>
        <w:t>2</w:t>
      </w:r>
      <w:r>
        <w:t xml:space="preserve"> emissions across C1 scenarios assessed under the IPCC AR6 (~46 GtCO</w:t>
      </w:r>
      <w:r w:rsidRPr="00711219">
        <w:rPr>
          <w:vertAlign w:val="subscript"/>
        </w:rPr>
        <w:t>2</w:t>
      </w:r>
      <w:r>
        <w:t>) from the remaining carbon budget as a first approximation.</w:t>
      </w:r>
    </w:p>
    <w:p w14:paraId="26C7D4CA" w14:textId="77777777" w:rsidR="000B139D" w:rsidRDefault="000B139D" w:rsidP="000B139D">
      <w:pPr>
        <w:pBdr>
          <w:top w:val="nil"/>
          <w:left w:val="nil"/>
          <w:bottom w:val="nil"/>
          <w:right w:val="nil"/>
          <w:between w:val="nil"/>
        </w:pBdr>
      </w:pPr>
      <w:r>
        <w:t>We subsequently consider two allocation approaches aligned to different degrees with our stated foundational principles, shown in Table 2, motivated by the year of the first IPCC report (1990) where the relationship between CO</w:t>
      </w:r>
      <w:r w:rsidRPr="00DE0299">
        <w:rPr>
          <w:vertAlign w:val="subscript"/>
        </w:rPr>
        <w:t>2</w:t>
      </w:r>
      <w:r>
        <w:t xml:space="preserve"> emissions and global mean temperature was systematically communicated. In our first allocation approach we consider responsibility alone, neglecting quantitative assessment of capability. In our second allocation approach we scale the first cumulative per capita allocation in proportion to the relative cumulative per capita GDP in market exchange rates over the period 1990-2019 (the last year of consistently available global GDP data in our dataset). The use of relative cumulative per capita GDP proxies changing national capabilities over the period for which data is available and could be updated with each new year of data. Both approaches represent operationalisations of the selected principles to different degrees in terms of the period of relevance and the consideration of capabilities. They are not intended to provide a ‘range’ and do not cover all possible interpretations. The mathematical formulations of these allocation approaches and decisions taken on the inverse transformation are provided in the next section.</w:t>
      </w:r>
    </w:p>
    <w:p w14:paraId="5B3B1B6E" w14:textId="77777777" w:rsidR="000B139D" w:rsidRDefault="000B139D" w:rsidP="000B139D">
      <w:pPr>
        <w:pBdr>
          <w:top w:val="nil"/>
          <w:left w:val="nil"/>
          <w:bottom w:val="nil"/>
          <w:right w:val="nil"/>
          <w:between w:val="nil"/>
        </w:pBdr>
      </w:pPr>
      <w:r>
        <w:t>To operationalise these allocation approaches we define a total remaining carbon budget from the year of allocation (1990). We add the estimated historical global fossil-fuel and industry carbon dioxide emissions (CO</w:t>
      </w:r>
      <w:r w:rsidRPr="00AE65A4">
        <w:rPr>
          <w:vertAlign w:val="subscript"/>
        </w:rPr>
        <w:t>2</w:t>
      </w:r>
      <w:r>
        <w:t xml:space="preserve">-FFI) </w:t>
      </w:r>
      <w:sdt>
        <w:sdtPr>
          <w:tag w:val="goog_rdk_8"/>
          <w:id w:val="-2035029306"/>
        </w:sdtPr>
        <w:sdtContent/>
      </w:sdt>
      <w:r>
        <w:t>emissions over the period 1990-2019 (inclusive) to the estimated remaining carbon budget from the year 2020. We then proceed by allocating this total remaining carbon budget to each party as defined in Table 2. From these allocations in the year 1990, we subtract estimated cumulative national CO</w:t>
      </w:r>
      <w:r w:rsidRPr="00AE65A4">
        <w:rPr>
          <w:vertAlign w:val="subscript"/>
        </w:rPr>
        <w:t>2</w:t>
      </w:r>
      <w:r>
        <w:t>-FFI emissions to the year 2022 (inclusive). This results in our estimate of a remaining national carbon budget for each party from 2023 onwards. We aggregate this to the level of the EU27 in Table 2 and provide further results for member countries and other regions in the supplementary information.</w:t>
      </w:r>
    </w:p>
    <w:p w14:paraId="059820D5" w14:textId="77777777" w:rsidR="000B139D" w:rsidRDefault="000B139D" w:rsidP="000B139D">
      <w:pPr>
        <w:spacing w:line="240" w:lineRule="auto"/>
        <w:jc w:val="left"/>
        <w:rPr>
          <w:u w:val="single"/>
        </w:rPr>
      </w:pPr>
      <w:r>
        <w:rPr>
          <w:u w:val="single"/>
        </w:rPr>
        <w:br w:type="page"/>
      </w:r>
    </w:p>
    <w:p w14:paraId="38304500" w14:textId="77777777" w:rsidR="000B139D" w:rsidRPr="00846D9C" w:rsidRDefault="000B139D" w:rsidP="000B139D">
      <w:pPr>
        <w:rPr>
          <w:u w:val="single"/>
        </w:rPr>
      </w:pPr>
      <w:r w:rsidRPr="00846D9C">
        <w:rPr>
          <w:u w:val="single"/>
        </w:rPr>
        <w:lastRenderedPageBreak/>
        <w:t>Mathematical formulation of the allocation approaches considered in the EU case study</w:t>
      </w:r>
    </w:p>
    <w:p w14:paraId="2ED3DEA1" w14:textId="77777777" w:rsidR="000B139D" w:rsidRPr="00A55512" w:rsidRDefault="000B139D" w:rsidP="000B139D">
      <w:pPr>
        <w:pBdr>
          <w:top w:val="nil"/>
          <w:left w:val="nil"/>
          <w:bottom w:val="nil"/>
          <w:right w:val="nil"/>
          <w:between w:val="nil"/>
        </w:pBdr>
        <w:spacing w:before="200"/>
        <w:rPr>
          <w:iCs/>
        </w:rPr>
      </w:pPr>
      <w:r>
        <w:t xml:space="preserve">Allocation approach 1 allocates emissions equally per capita from the year 1990 to the year 2050, subtracting from the resulting country-level allocations over this period their respective known </w:t>
      </w:r>
      <w:sdt>
        <w:sdtPr>
          <w:tag w:val="goog_rdk_13"/>
          <w:id w:val="-1759976301"/>
        </w:sdtPr>
        <w:sdtContent/>
      </w:sdt>
      <w:r>
        <w:t>consumption-based CO</w:t>
      </w:r>
      <w:r w:rsidRPr="000C6388">
        <w:rPr>
          <w:vertAlign w:val="subscript"/>
        </w:rPr>
        <w:t>2</w:t>
      </w:r>
      <w:r>
        <w:t xml:space="preserve">-FFI emissions from 1990 to 2022, the year before which estimated remaining carbon budgets are defined (2023). This approach disregards cumulative emissions prior to 1990 and does not capture distinct regional capabilities, thus not necessarily aligning with interpretations of the CBDR&amp;RC and ‘do no harm’ principles. Equation (1) describes the allocation approach in mathematical terms, where </w:t>
      </w:r>
      <w:r>
        <w:rPr>
          <w:i/>
        </w:rPr>
        <w:t>y</w:t>
      </w:r>
      <w:r>
        <w:t xml:space="preserve"> indicates the starting year of allocation (1990), </w:t>
      </w:r>
      <w:r>
        <w:rPr>
          <w:i/>
          <w:iCs/>
        </w:rPr>
        <w:t>p</w:t>
      </w:r>
      <w:r>
        <w:t xml:space="preserve"> indicates the year from which the remaining carbon budget is determined (2020), </w:t>
      </w:r>
      <w:r>
        <w:rPr>
          <w:i/>
        </w:rPr>
        <w:t>z</w:t>
      </w:r>
      <w:r>
        <w:t xml:space="preserve"> indicates the final year of allocation (2050), </w:t>
      </w:r>
      <w:r>
        <w:rPr>
          <w:i/>
        </w:rPr>
        <w:t>c</w:t>
      </w:r>
      <w:r>
        <w:t xml:space="preserve"> designates the study country of total countries </w:t>
      </w:r>
      <w:r>
        <w:rPr>
          <w:i/>
        </w:rPr>
        <w:t>n</w:t>
      </w:r>
      <w:r>
        <w:rPr>
          <w:iCs/>
        </w:rPr>
        <w:t>, and</w:t>
      </w:r>
      <w:r>
        <w:rPr>
          <w:i/>
        </w:rPr>
        <w:t xml:space="preserve"> p-1 </w:t>
      </w:r>
      <w:r>
        <w:t>denotes the year before the remaining carbon budget is calculated (2019)</w:t>
      </w:r>
      <w:r>
        <w:rPr>
          <w:i/>
        </w:rPr>
        <w:t xml:space="preserve">. </w:t>
      </w:r>
    </w:p>
    <w:tbl>
      <w:tblPr>
        <w:tblW w:w="9016" w:type="dxa"/>
        <w:tblBorders>
          <w:top w:val="nil"/>
          <w:left w:val="nil"/>
          <w:bottom w:val="nil"/>
          <w:right w:val="nil"/>
          <w:insideH w:val="nil"/>
          <w:insideV w:val="nil"/>
        </w:tblBorders>
        <w:tblLayout w:type="fixed"/>
        <w:tblCellMar>
          <w:top w:w="100" w:type="dxa"/>
          <w:left w:w="100" w:type="dxa"/>
          <w:bottom w:w="100" w:type="dxa"/>
          <w:right w:w="100" w:type="dxa"/>
        </w:tblCellMar>
        <w:tblLook w:val="0400" w:firstRow="0" w:lastRow="0" w:firstColumn="0" w:lastColumn="0" w:noHBand="0" w:noVBand="1"/>
      </w:tblPr>
      <w:tblGrid>
        <w:gridCol w:w="284"/>
        <w:gridCol w:w="8221"/>
        <w:gridCol w:w="511"/>
      </w:tblGrid>
      <w:tr w:rsidR="000B139D" w:rsidRPr="008A10D0" w14:paraId="54CA6814" w14:textId="77777777" w:rsidTr="00887CBE">
        <w:tc>
          <w:tcPr>
            <w:tcW w:w="284" w:type="dxa"/>
            <w:vAlign w:val="center"/>
          </w:tcPr>
          <w:p w14:paraId="111080DC" w14:textId="77777777" w:rsidR="000B139D" w:rsidRPr="008A10D0" w:rsidRDefault="000B139D" w:rsidP="00887CBE">
            <w:pPr>
              <w:rPr>
                <w:sz w:val="18"/>
                <w:szCs w:val="18"/>
              </w:rPr>
            </w:pPr>
          </w:p>
        </w:tc>
        <w:tc>
          <w:tcPr>
            <w:tcW w:w="8221" w:type="dxa"/>
            <w:vAlign w:val="center"/>
          </w:tcPr>
          <w:p w14:paraId="412C3E81" w14:textId="77777777" w:rsidR="000B139D" w:rsidRPr="008A10D0" w:rsidRDefault="000B139D" w:rsidP="00887CBE">
            <w:pPr>
              <w:jc w:val="center"/>
              <w:rPr>
                <w:rFonts w:ascii="Cambria Math" w:eastAsia="Cambria Math" w:hAnsi="Cambria Math" w:cs="Cambria Math"/>
                <w:sz w:val="18"/>
                <w:szCs w:val="18"/>
              </w:rPr>
            </w:pPr>
            <m:oMathPara>
              <m:oMath>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RemainingBudget</m:t>
                    </m:r>
                  </m:e>
                  <m:sub>
                    <m:r>
                      <w:rPr>
                        <w:rFonts w:ascii="Cambria Math" w:eastAsia="Cambria Math" w:hAnsi="Cambria Math" w:cs="Cambria Math"/>
                        <w:sz w:val="18"/>
                        <w:szCs w:val="18"/>
                      </w:rPr>
                      <m:t>p,z,c</m:t>
                    </m:r>
                  </m:sub>
                </m:sSub>
                <m:r>
                  <w:rPr>
                    <w:rFonts w:ascii="Cambria Math" w:eastAsia="Cambria Math" w:hAnsi="Cambria Math" w:cs="Cambria Math"/>
                    <w:sz w:val="18"/>
                    <w:szCs w:val="18"/>
                  </w:rPr>
                  <m:t>=</m:t>
                </m:r>
                <m:f>
                  <m:fPr>
                    <m:ctrlPr>
                      <w:rPr>
                        <w:rFonts w:ascii="Cambria Math" w:eastAsia="Cambria Math" w:hAnsi="Cambria Math" w:cs="Cambria Math"/>
                        <w:sz w:val="18"/>
                        <w:szCs w:val="18"/>
                      </w:rPr>
                    </m:ctrlPr>
                  </m:fPr>
                  <m:num>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CumulativePopulation</m:t>
                        </m:r>
                      </m:e>
                      <m:sub>
                        <m:r>
                          <w:rPr>
                            <w:rFonts w:ascii="Cambria Math" w:eastAsia="Cambria Math" w:hAnsi="Cambria Math" w:cs="Cambria Math"/>
                            <w:sz w:val="18"/>
                            <w:szCs w:val="18"/>
                          </w:rPr>
                          <m:t>y,z,c</m:t>
                        </m:r>
                      </m:sub>
                    </m:sSub>
                  </m:num>
                  <m:den>
                    <m:nary>
                      <m:naryPr>
                        <m:chr m:val="∑"/>
                        <m:ctrlPr>
                          <w:rPr>
                            <w:rFonts w:ascii="Cambria Math" w:eastAsia="Cambria Math" w:hAnsi="Cambria Math" w:cs="Cambria Math"/>
                            <w:sz w:val="18"/>
                            <w:szCs w:val="18"/>
                          </w:rPr>
                        </m:ctrlPr>
                      </m:naryPr>
                      <m:sub>
                        <m:r>
                          <w:rPr>
                            <w:rFonts w:ascii="Cambria Math" w:eastAsia="Cambria Math" w:hAnsi="Cambria Math" w:cs="Cambria Math"/>
                            <w:sz w:val="18"/>
                            <w:szCs w:val="18"/>
                          </w:rPr>
                          <m:t>c</m:t>
                        </m:r>
                      </m:sub>
                      <m:sup>
                        <m:r>
                          <w:rPr>
                            <w:rFonts w:ascii="Cambria Math" w:eastAsia="Cambria Math" w:hAnsi="Cambria Math" w:cs="Cambria Math"/>
                            <w:sz w:val="18"/>
                            <w:szCs w:val="18"/>
                          </w:rPr>
                          <m:t>n</m:t>
                        </m:r>
                      </m:sup>
                      <m:e>
                        <m:d>
                          <m:dPr>
                            <m:ctrlPr>
                              <w:rPr>
                                <w:rFonts w:ascii="Cambria Math" w:eastAsia="Cambria Math" w:hAnsi="Cambria Math" w:cs="Cambria Math"/>
                                <w:sz w:val="18"/>
                                <w:szCs w:val="18"/>
                              </w:rPr>
                            </m:ctrlPr>
                          </m:dPr>
                          <m:e>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CumulativePopulation</m:t>
                                </m:r>
                              </m:e>
                              <m:sub>
                                <m:r>
                                  <w:rPr>
                                    <w:rFonts w:ascii="Cambria Math" w:eastAsia="Cambria Math" w:hAnsi="Cambria Math" w:cs="Cambria Math"/>
                                    <w:sz w:val="18"/>
                                    <w:szCs w:val="18"/>
                                  </w:rPr>
                                  <m:t>y,z,c</m:t>
                                </m:r>
                              </m:sub>
                            </m:sSub>
                          </m:e>
                        </m:d>
                      </m:e>
                    </m:nary>
                  </m:den>
                </m:f>
                <m:r>
                  <w:rPr>
                    <w:rFonts w:ascii="Cambria Math" w:eastAsia="Cambria Math" w:hAnsi="Cambria Math" w:cs="Cambria Math"/>
                    <w:sz w:val="18"/>
                    <w:szCs w:val="18"/>
                  </w:rPr>
                  <m:t>×</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GlobalBudget</m:t>
                    </m:r>
                  </m:e>
                  <m:sub>
                    <m:r>
                      <w:rPr>
                        <w:rFonts w:ascii="Cambria Math" w:eastAsia="Cambria Math" w:hAnsi="Cambria Math" w:cs="Cambria Math"/>
                        <w:sz w:val="18"/>
                        <w:szCs w:val="18"/>
                      </w:rPr>
                      <m:t>y,z</m:t>
                    </m:r>
                  </m:sub>
                </m:sSub>
                <m:r>
                  <w:rPr>
                    <w:rFonts w:ascii="Cambria Math" w:eastAsia="Cambria Math" w:hAnsi="Cambria Math" w:cs="Cambria Math"/>
                    <w:sz w:val="18"/>
                    <w:szCs w:val="18"/>
                  </w:rPr>
                  <m:t xml:space="preserve">- </m:t>
                </m:r>
                <m:sSub>
                  <m:sSubPr>
                    <m:ctrlPr>
                      <w:rPr>
                        <w:rFonts w:ascii="Cambria Math" w:eastAsia="Cambria Math" w:hAnsi="Cambria Math" w:cs="Cambria Math"/>
                        <w:i/>
                        <w:sz w:val="18"/>
                        <w:szCs w:val="18"/>
                      </w:rPr>
                    </m:ctrlPr>
                  </m:sSubPr>
                  <m:e>
                    <m:r>
                      <w:rPr>
                        <w:rFonts w:ascii="Cambria Math" w:eastAsia="Cambria Math" w:hAnsi="Cambria Math" w:cs="Cambria Math"/>
                        <w:sz w:val="18"/>
                        <w:szCs w:val="18"/>
                      </w:rPr>
                      <m:t>CO2</m:t>
                    </m:r>
                  </m:e>
                  <m:sub>
                    <m:r>
                      <w:rPr>
                        <w:rFonts w:ascii="Cambria Math" w:eastAsia="Cambria Math" w:hAnsi="Cambria Math" w:cs="Cambria Math"/>
                        <w:sz w:val="18"/>
                        <w:szCs w:val="18"/>
                      </w:rPr>
                      <m:t>y,p-1,c</m:t>
                    </m:r>
                  </m:sub>
                </m:sSub>
              </m:oMath>
            </m:oMathPara>
          </w:p>
        </w:tc>
        <w:tc>
          <w:tcPr>
            <w:tcW w:w="511" w:type="dxa"/>
            <w:vAlign w:val="center"/>
          </w:tcPr>
          <w:p w14:paraId="5966B8BF" w14:textId="77777777" w:rsidR="000B139D" w:rsidRPr="008A10D0" w:rsidRDefault="000B139D" w:rsidP="00887CBE">
            <w:pPr>
              <w:jc w:val="center"/>
              <w:rPr>
                <w:sz w:val="18"/>
                <w:szCs w:val="18"/>
              </w:rPr>
            </w:pPr>
            <w:r w:rsidRPr="008A10D0">
              <w:rPr>
                <w:sz w:val="18"/>
                <w:szCs w:val="18"/>
              </w:rPr>
              <w:t>(</w:t>
            </w:r>
            <w:sdt>
              <w:sdtPr>
                <w:rPr>
                  <w:sz w:val="18"/>
                  <w:szCs w:val="18"/>
                </w:rPr>
                <w:tag w:val="goog_rdk_16"/>
                <w:id w:val="1860244796"/>
              </w:sdtPr>
              <w:sdtContent/>
            </w:sdt>
            <w:r w:rsidRPr="008A10D0">
              <w:rPr>
                <w:sz w:val="18"/>
                <w:szCs w:val="18"/>
              </w:rPr>
              <w:t>1)</w:t>
            </w:r>
          </w:p>
        </w:tc>
      </w:tr>
    </w:tbl>
    <w:p w14:paraId="7407A84B" w14:textId="77777777" w:rsidR="000B139D" w:rsidRDefault="000B139D" w:rsidP="000B139D">
      <w:pPr>
        <w:pBdr>
          <w:top w:val="nil"/>
          <w:left w:val="nil"/>
          <w:bottom w:val="nil"/>
          <w:right w:val="nil"/>
          <w:between w:val="nil"/>
        </w:pBdr>
        <w:spacing w:before="200"/>
      </w:pPr>
      <w:r>
        <w:t xml:space="preserve">Allocation approach 2 scales a per capita allocation in inverse proportion to the relative cumulative per capita GDP from 1990-2019, the last available year with consistent data for the analysis countries. This is shown in Equation (2), where </w:t>
      </w:r>
      <m:oMath>
        <m:acc>
          <m:accPr>
            <m:ctrlPr>
              <w:rPr>
                <w:rFonts w:ascii="Cambria Math" w:hAnsi="Cambria Math"/>
              </w:rPr>
            </m:ctrlPr>
          </m:acc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x</m:t>
                </m:r>
              </m:e>
              <m:sub>
                <m:r>
                  <w:rPr>
                    <w:rFonts w:ascii="Cambria Math" w:eastAsia="Cambria Math" w:hAnsi="Cambria Math" w:cs="Cambria Math"/>
                    <w:sz w:val="20"/>
                    <w:szCs w:val="20"/>
                  </w:rPr>
                  <m:t>y,p-1,c</m:t>
                </m:r>
              </m:sub>
            </m:sSub>
          </m:e>
        </m:acc>
      </m:oMath>
      <w:r>
        <w:t xml:space="preserve"> reflects an inverse transformation of the cumulative GDP over cumulative population for country</w:t>
      </w:r>
      <w:r>
        <w:rPr>
          <w:i/>
        </w:rPr>
        <w:t xml:space="preserve"> c</w:t>
      </w:r>
      <w:r>
        <w:t xml:space="preserve"> from 1990-2019. In contrast to other studies using the per capita GDP indicator in a single year of allocation, we consider cumulative GDP over cumulative population to update capabilities changing over this period. Here a set of substitutable inverse transformations can be applied, each reflecting a distinct value judgement on the desired relationship between the range of the original indicator value and the corresponding inverse range. We suggest F(x) = 1/sqrt(x) in this work, taking this as the middle ground between the more severe F(x) = 1/x and more lenient F(x) = 1/asinh(x) alternatives amongst other normative approaches that may set upper bounds on the maximum adjustment.</w:t>
      </w:r>
    </w:p>
    <w:tbl>
      <w:tblPr>
        <w:tblW w:w="9016" w:type="dxa"/>
        <w:tblBorders>
          <w:top w:val="nil"/>
          <w:left w:val="nil"/>
          <w:bottom w:val="nil"/>
          <w:right w:val="nil"/>
          <w:insideH w:val="nil"/>
          <w:insideV w:val="nil"/>
        </w:tblBorders>
        <w:tblLayout w:type="fixed"/>
        <w:tblCellMar>
          <w:top w:w="100" w:type="dxa"/>
          <w:left w:w="100" w:type="dxa"/>
          <w:bottom w:w="100" w:type="dxa"/>
          <w:right w:w="100" w:type="dxa"/>
        </w:tblCellMar>
        <w:tblLook w:val="0400" w:firstRow="0" w:lastRow="0" w:firstColumn="0" w:lastColumn="0" w:noHBand="0" w:noVBand="1"/>
      </w:tblPr>
      <w:tblGrid>
        <w:gridCol w:w="284"/>
        <w:gridCol w:w="8221"/>
        <w:gridCol w:w="511"/>
      </w:tblGrid>
      <w:tr w:rsidR="000B139D" w:rsidRPr="00122588" w14:paraId="7E1E49F1" w14:textId="77777777" w:rsidTr="00887CBE">
        <w:tc>
          <w:tcPr>
            <w:tcW w:w="284" w:type="dxa"/>
            <w:vAlign w:val="center"/>
          </w:tcPr>
          <w:p w14:paraId="64D04E10" w14:textId="77777777" w:rsidR="000B139D" w:rsidRPr="00122588" w:rsidRDefault="000B139D" w:rsidP="00887CBE">
            <w:pPr>
              <w:rPr>
                <w:sz w:val="16"/>
                <w:szCs w:val="16"/>
              </w:rPr>
            </w:pPr>
          </w:p>
        </w:tc>
        <w:tc>
          <w:tcPr>
            <w:tcW w:w="8221" w:type="dxa"/>
            <w:vAlign w:val="center"/>
          </w:tcPr>
          <w:p w14:paraId="264FAFBA" w14:textId="77777777" w:rsidR="000B139D" w:rsidRPr="00F24B9F" w:rsidRDefault="000B139D" w:rsidP="00887CBE">
            <w:pPr>
              <w:jc w:val="center"/>
              <w:rPr>
                <w:rFonts w:ascii="Cambria Math" w:eastAsia="Cambria Math" w:hAnsi="Cambria Math" w:cs="Cambria Math"/>
                <w:sz w:val="18"/>
                <w:szCs w:val="18"/>
              </w:rPr>
            </w:pPr>
            <m:oMathPara>
              <m:oMath>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RemainingBudget</m:t>
                    </m:r>
                  </m:e>
                  <m:sub>
                    <m:r>
                      <w:rPr>
                        <w:rFonts w:ascii="Cambria Math" w:eastAsia="Cambria Math" w:hAnsi="Cambria Math" w:cs="Cambria Math"/>
                        <w:sz w:val="18"/>
                        <w:szCs w:val="18"/>
                      </w:rPr>
                      <m:t>p,z,c</m:t>
                    </m:r>
                  </m:sub>
                </m:sSub>
                <m:r>
                  <w:rPr>
                    <w:rFonts w:ascii="Cambria Math" w:eastAsia="Cambria Math" w:hAnsi="Cambria Math" w:cs="Cambria Math"/>
                    <w:sz w:val="18"/>
                    <w:szCs w:val="18"/>
                  </w:rPr>
                  <m:t>=</m:t>
                </m:r>
                <m:f>
                  <m:fPr>
                    <m:ctrlPr>
                      <w:rPr>
                        <w:rFonts w:ascii="Cambria Math" w:eastAsia="Cambria Math" w:hAnsi="Cambria Math" w:cs="Cambria Math"/>
                        <w:sz w:val="18"/>
                        <w:szCs w:val="18"/>
                      </w:rPr>
                    </m:ctrlPr>
                  </m:fPr>
                  <m:num>
                    <m:acc>
                      <m:accPr>
                        <m:ctrlPr>
                          <w:rPr>
                            <w:rFonts w:ascii="Cambria Math" w:eastAsia="Cambria Math" w:hAnsi="Cambria Math" w:cs="Cambria Math"/>
                            <w:sz w:val="18"/>
                            <w:szCs w:val="18"/>
                          </w:rPr>
                        </m:ctrlPr>
                      </m:accPr>
                      <m:e>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x</m:t>
                            </m:r>
                          </m:e>
                          <m:sub>
                            <m:r>
                              <w:rPr>
                                <w:rFonts w:ascii="Cambria Math" w:eastAsia="Cambria Math" w:hAnsi="Cambria Math" w:cs="Cambria Math"/>
                                <w:sz w:val="18"/>
                                <w:szCs w:val="18"/>
                              </w:rPr>
                              <m:t>y,p-1,c</m:t>
                            </m:r>
                          </m:sub>
                        </m:sSub>
                      </m:e>
                    </m:acc>
                    <m:r>
                      <w:rPr>
                        <w:rFonts w:ascii="Cambria Math" w:eastAsia="Cambria Math" w:hAnsi="Cambria Math" w:cs="Cambria Math"/>
                        <w:sz w:val="18"/>
                        <w:szCs w:val="18"/>
                      </w:rPr>
                      <m:t xml:space="preserve">× </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CumulativePopulation</m:t>
                        </m:r>
                      </m:e>
                      <m:sub>
                        <m:r>
                          <w:rPr>
                            <w:rFonts w:ascii="Cambria Math" w:eastAsia="Cambria Math" w:hAnsi="Cambria Math" w:cs="Cambria Math"/>
                            <w:sz w:val="18"/>
                            <w:szCs w:val="18"/>
                          </w:rPr>
                          <m:t>y,z,c</m:t>
                        </m:r>
                      </m:sub>
                    </m:sSub>
                  </m:num>
                  <m:den>
                    <m:nary>
                      <m:naryPr>
                        <m:chr m:val="∑"/>
                        <m:ctrlPr>
                          <w:rPr>
                            <w:rFonts w:ascii="Cambria Math" w:eastAsia="Cambria Math" w:hAnsi="Cambria Math" w:cs="Cambria Math"/>
                            <w:sz w:val="18"/>
                            <w:szCs w:val="18"/>
                          </w:rPr>
                        </m:ctrlPr>
                      </m:naryPr>
                      <m:sub>
                        <m:r>
                          <w:rPr>
                            <w:rFonts w:ascii="Cambria Math" w:eastAsia="Cambria Math" w:hAnsi="Cambria Math" w:cs="Cambria Math"/>
                            <w:sz w:val="18"/>
                            <w:szCs w:val="18"/>
                          </w:rPr>
                          <m:t>c</m:t>
                        </m:r>
                      </m:sub>
                      <m:sup>
                        <m:r>
                          <w:rPr>
                            <w:rFonts w:ascii="Cambria Math" w:eastAsia="Cambria Math" w:hAnsi="Cambria Math" w:cs="Cambria Math"/>
                            <w:sz w:val="18"/>
                            <w:szCs w:val="18"/>
                          </w:rPr>
                          <m:t>n</m:t>
                        </m:r>
                      </m:sup>
                      <m:e>
                        <m:d>
                          <m:dPr>
                            <m:ctrlPr>
                              <w:rPr>
                                <w:rFonts w:ascii="Cambria Math" w:eastAsia="Cambria Math" w:hAnsi="Cambria Math" w:cs="Cambria Math"/>
                                <w:sz w:val="18"/>
                                <w:szCs w:val="18"/>
                              </w:rPr>
                            </m:ctrlPr>
                          </m:dPr>
                          <m:e>
                            <m:acc>
                              <m:accPr>
                                <m:ctrlPr>
                                  <w:rPr>
                                    <w:rFonts w:ascii="Cambria Math" w:eastAsia="Cambria Math" w:hAnsi="Cambria Math" w:cs="Cambria Math"/>
                                    <w:sz w:val="18"/>
                                    <w:szCs w:val="18"/>
                                  </w:rPr>
                                </m:ctrlPr>
                              </m:accPr>
                              <m:e>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x</m:t>
                                    </m:r>
                                  </m:e>
                                  <m:sub>
                                    <m:r>
                                      <w:rPr>
                                        <w:rFonts w:ascii="Cambria Math" w:eastAsia="Cambria Math" w:hAnsi="Cambria Math" w:cs="Cambria Math"/>
                                        <w:sz w:val="18"/>
                                        <w:szCs w:val="18"/>
                                      </w:rPr>
                                      <m:t>y,p-1,c</m:t>
                                    </m:r>
                                  </m:sub>
                                </m:sSub>
                              </m:e>
                            </m:acc>
                            <m:r>
                              <w:rPr>
                                <w:rFonts w:ascii="Cambria Math" w:eastAsia="Cambria Math" w:hAnsi="Cambria Math" w:cs="Cambria Math"/>
                                <w:sz w:val="18"/>
                                <w:szCs w:val="18"/>
                              </w:rPr>
                              <m:t>×</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CumulativePopulation</m:t>
                                </m:r>
                              </m:e>
                              <m:sub>
                                <m:r>
                                  <w:rPr>
                                    <w:rFonts w:ascii="Cambria Math" w:eastAsia="Cambria Math" w:hAnsi="Cambria Math" w:cs="Cambria Math"/>
                                    <w:sz w:val="18"/>
                                    <w:szCs w:val="18"/>
                                  </w:rPr>
                                  <m:t>y,z,c</m:t>
                                </m:r>
                              </m:sub>
                            </m:sSub>
                          </m:e>
                        </m:d>
                      </m:e>
                    </m:nary>
                  </m:den>
                </m:f>
                <m:r>
                  <w:rPr>
                    <w:rFonts w:ascii="Cambria Math" w:eastAsia="Cambria Math" w:hAnsi="Cambria Math" w:cs="Cambria Math"/>
                    <w:sz w:val="18"/>
                    <w:szCs w:val="18"/>
                  </w:rPr>
                  <m:t>×</m:t>
                </m:r>
                <m:sSub>
                  <m:sSubPr>
                    <m:ctrlPr>
                      <w:rPr>
                        <w:rFonts w:ascii="Cambria Math" w:eastAsia="Cambria Math" w:hAnsi="Cambria Math" w:cs="Cambria Math"/>
                        <w:sz w:val="18"/>
                        <w:szCs w:val="18"/>
                      </w:rPr>
                    </m:ctrlPr>
                  </m:sSubPr>
                  <m:e>
                    <m:r>
                      <w:rPr>
                        <w:rFonts w:ascii="Cambria Math" w:eastAsia="Cambria Math" w:hAnsi="Cambria Math" w:cs="Cambria Math"/>
                        <w:sz w:val="18"/>
                        <w:szCs w:val="18"/>
                      </w:rPr>
                      <m:t>GlobalBudget</m:t>
                    </m:r>
                  </m:e>
                  <m:sub>
                    <m:r>
                      <w:rPr>
                        <w:rFonts w:ascii="Cambria Math" w:eastAsia="Cambria Math" w:hAnsi="Cambria Math" w:cs="Cambria Math"/>
                        <w:sz w:val="18"/>
                        <w:szCs w:val="18"/>
                      </w:rPr>
                      <m:t>y,z</m:t>
                    </m:r>
                  </m:sub>
                </m:sSub>
                <m:r>
                  <w:rPr>
                    <w:rFonts w:ascii="Cambria Math" w:eastAsia="Cambria Math" w:hAnsi="Cambria Math" w:cs="Cambria Math"/>
                    <w:sz w:val="18"/>
                    <w:szCs w:val="18"/>
                  </w:rPr>
                  <m:t xml:space="preserve">- </m:t>
                </m:r>
                <m:sSub>
                  <m:sSubPr>
                    <m:ctrlPr>
                      <w:rPr>
                        <w:rFonts w:ascii="Cambria Math" w:eastAsia="Cambria Math" w:hAnsi="Cambria Math" w:cs="Cambria Math"/>
                        <w:i/>
                        <w:sz w:val="18"/>
                        <w:szCs w:val="18"/>
                      </w:rPr>
                    </m:ctrlPr>
                  </m:sSubPr>
                  <m:e>
                    <m:r>
                      <w:rPr>
                        <w:rFonts w:ascii="Cambria Math" w:eastAsia="Cambria Math" w:hAnsi="Cambria Math" w:cs="Cambria Math"/>
                        <w:sz w:val="18"/>
                        <w:szCs w:val="18"/>
                      </w:rPr>
                      <m:t>CO2</m:t>
                    </m:r>
                  </m:e>
                  <m:sub>
                    <m:r>
                      <w:rPr>
                        <w:rFonts w:ascii="Cambria Math" w:eastAsia="Cambria Math" w:hAnsi="Cambria Math" w:cs="Cambria Math"/>
                        <w:sz w:val="18"/>
                        <w:szCs w:val="18"/>
                      </w:rPr>
                      <m:t>y,p-1,c</m:t>
                    </m:r>
                  </m:sub>
                </m:sSub>
              </m:oMath>
            </m:oMathPara>
          </w:p>
        </w:tc>
        <w:tc>
          <w:tcPr>
            <w:tcW w:w="511" w:type="dxa"/>
            <w:vAlign w:val="center"/>
          </w:tcPr>
          <w:p w14:paraId="5A154C55" w14:textId="77777777" w:rsidR="000B139D" w:rsidRPr="00122588" w:rsidRDefault="000B139D" w:rsidP="00887CBE">
            <w:pPr>
              <w:jc w:val="center"/>
              <w:rPr>
                <w:sz w:val="16"/>
                <w:szCs w:val="16"/>
              </w:rPr>
            </w:pPr>
            <w:r w:rsidRPr="00122588">
              <w:rPr>
                <w:sz w:val="16"/>
                <w:szCs w:val="16"/>
              </w:rPr>
              <w:t>(2)</w:t>
            </w:r>
          </w:p>
        </w:tc>
      </w:tr>
    </w:tbl>
    <w:p w14:paraId="6B07A66C" w14:textId="77777777" w:rsidR="000B139D" w:rsidRDefault="000B139D" w:rsidP="000B139D">
      <w:pPr>
        <w:pBdr>
          <w:top w:val="nil"/>
          <w:left w:val="nil"/>
          <w:bottom w:val="nil"/>
          <w:right w:val="nil"/>
          <w:between w:val="nil"/>
        </w:pBdr>
        <w:spacing w:before="200"/>
        <w:rPr>
          <w:lang w:val="en-US"/>
        </w:rPr>
      </w:pPr>
    </w:p>
    <w:p w14:paraId="1F887173" w14:textId="77777777" w:rsidR="000B139D" w:rsidRDefault="000B139D" w:rsidP="000B139D">
      <w:pPr>
        <w:spacing w:line="240" w:lineRule="auto"/>
        <w:jc w:val="left"/>
        <w:rPr>
          <w:lang w:val="en-US"/>
        </w:rPr>
      </w:pPr>
      <w:r>
        <w:rPr>
          <w:lang w:val="en-US"/>
        </w:rPr>
        <w:br w:type="page"/>
      </w:r>
    </w:p>
    <w:p w14:paraId="50751820" w14:textId="77777777" w:rsidR="000B139D" w:rsidRPr="00846D9C" w:rsidRDefault="000B139D" w:rsidP="000B139D">
      <w:pPr>
        <w:rPr>
          <w:u w:val="single"/>
        </w:rPr>
      </w:pPr>
      <w:r>
        <w:rPr>
          <w:u w:val="single"/>
        </w:rPr>
        <w:lastRenderedPageBreak/>
        <w:t>Illustrative findings from</w:t>
      </w:r>
      <w:r w:rsidRPr="00846D9C">
        <w:rPr>
          <w:u w:val="single"/>
        </w:rPr>
        <w:t xml:space="preserve"> the EU case study</w:t>
      </w:r>
    </w:p>
    <w:p w14:paraId="372B6B2D" w14:textId="77777777" w:rsidR="000B139D" w:rsidRPr="00E15F96" w:rsidRDefault="000B139D" w:rsidP="000B139D">
      <w:pPr>
        <w:pBdr>
          <w:top w:val="nil"/>
          <w:left w:val="nil"/>
          <w:bottom w:val="nil"/>
          <w:right w:val="nil"/>
          <w:between w:val="nil"/>
        </w:pBdr>
        <w:spacing w:before="200"/>
      </w:pPr>
      <w:r>
        <w:rPr>
          <w:lang w:val="en-US"/>
        </w:rPr>
        <w:t xml:space="preserve">Figure 1a </w:t>
      </w:r>
      <w:r>
        <w:t>describes how the EU’s ‘fair’ share of the remaining carbon budget has been consumed since the inaugural IPCC report in 1990, reaching</w:t>
      </w:r>
      <w:r w:rsidRPr="001D3487">
        <w:t xml:space="preserve"> net-negative allocations</w:t>
      </w:r>
      <w:r>
        <w:t xml:space="preserve"> </w:t>
      </w:r>
      <w:r w:rsidRPr="001D3487">
        <w:t>of -35.4 GtCO</w:t>
      </w:r>
      <w:r w:rsidRPr="004219CF">
        <w:rPr>
          <w:vertAlign w:val="subscript"/>
        </w:rPr>
        <w:t>2</w:t>
      </w:r>
      <w:r>
        <w:t>-FFI (1_ECPC1990)</w:t>
      </w:r>
      <w:r w:rsidRPr="001D3487">
        <w:t xml:space="preserve"> in the yea</w:t>
      </w:r>
      <w:r>
        <w:t>r 2023</w:t>
      </w:r>
      <w:r w:rsidRPr="001D3487">
        <w:t xml:space="preserve">. This </w:t>
      </w:r>
      <w:r>
        <w:t>overconsumption reflects</w:t>
      </w:r>
      <w:r w:rsidRPr="001D3487">
        <w:t xml:space="preserve"> the</w:t>
      </w:r>
      <w:r>
        <w:t xml:space="preserve"> steady</w:t>
      </w:r>
      <w:r w:rsidRPr="001D3487">
        <w:t xml:space="preserve"> accrual of ‘carbon debt’ (see Matthews</w:t>
      </w:r>
      <w:r>
        <w:t xml:space="preserve"> </w:t>
      </w:r>
      <w:r>
        <w:fldChar w:fldCharType="begin"/>
      </w:r>
      <w:r>
        <w:instrText xml:space="preserve"> ADDIN ZOTERO_ITEM CSL_CITATION {"citationID":"V5rEUMjO","properties":{"formattedCitation":"(2016)","plainCitation":"(2016)","noteIndex":0},"citationItems":[{"id":686,"uris":["http://zotero.org/users/2848826/items/4EYTCRAU"],"itemData":{"id":686,"type":"article-journal","container-title":"Nature Climate Change","DOI":"10.1038/nclimate2774","ISSN":"1758-678X, 1758-6798","issue":"1","journalAbbreviation":"Nature Clim Change","language":"en","page":"60-64","source":"DOI.org (Crossref)","title":"Quantifying historical carbon and climate debts among nations","volume":"6","author":[{"family":"Matthews","given":"H. Damon"}],"issued":{"date-parts":[["2016",1]]}},"suppress-author":true}],"schema":"https://github.com/citation-style-language/schema/raw/master/csl-citation.json"} </w:instrText>
      </w:r>
      <w:r>
        <w:fldChar w:fldCharType="separate"/>
      </w:r>
      <w:r w:rsidRPr="006929A6">
        <w:t>(2016)</w:t>
      </w:r>
      <w:r>
        <w:fldChar w:fldCharType="end"/>
      </w:r>
      <w:r w:rsidRPr="001D3487">
        <w:t>).</w:t>
      </w:r>
      <w:r>
        <w:t xml:space="preserve"> These aggregate trends subsume important intraregional differences that may result in some countries within a given region allocated a budget while others allocated a debt, as shown in Figure 1c. Implications for other illustrative regions are shown in Figure 1b, here we see that in contrast to the EU27</w:t>
      </w:r>
      <w:r w:rsidRPr="001D3487">
        <w:t xml:space="preserve">, countries grouped </w:t>
      </w:r>
      <w:r>
        <w:t>into</w:t>
      </w:r>
      <w:r w:rsidRPr="001D3487">
        <w:t xml:space="preserve"> the African region</w:t>
      </w:r>
      <w:r>
        <w:t xml:space="preserve"> </w:t>
      </w:r>
      <w:r w:rsidRPr="001D3487">
        <w:t>remain endowed with a carbon budget</w:t>
      </w:r>
      <w:r>
        <w:t xml:space="preserve"> in 2023</w:t>
      </w:r>
      <w:r w:rsidRPr="001D3487">
        <w:t xml:space="preserve"> of 142 GtCO</w:t>
      </w:r>
      <w:r w:rsidRPr="004219CF">
        <w:rPr>
          <w:vertAlign w:val="subscript"/>
        </w:rPr>
        <w:t>2</w:t>
      </w:r>
      <w:r>
        <w:t>-FFI</w:t>
      </w:r>
      <w:r w:rsidRPr="001D3487">
        <w:t xml:space="preserve"> under the same approach.</w:t>
      </w:r>
      <w:r>
        <w:t xml:space="preserve"> The steadily depleting regional carbon budget and subsequent growth of carbon debt in recent years highlights that the situation today is not a sudden turn of events</w:t>
      </w:r>
      <w:r>
        <w:rPr>
          <w:lang w:val="en-US"/>
        </w:rPr>
        <w:t>, but rather</w:t>
      </w:r>
      <w:r>
        <w:t xml:space="preserve">, </w:t>
      </w:r>
      <w:r>
        <w:rPr>
          <w:lang w:val="en-US"/>
        </w:rPr>
        <w:t>is the result of cumulative</w:t>
      </w:r>
      <w:r>
        <w:t xml:space="preserve"> </w:t>
      </w:r>
      <w:r>
        <w:rPr>
          <w:lang w:val="en-US"/>
        </w:rPr>
        <w:t>decisions made over time</w:t>
      </w:r>
      <w:r>
        <w:t xml:space="preserve"> since the year 1990. </w:t>
      </w:r>
    </w:p>
    <w:p w14:paraId="17BB783D" w14:textId="77777777" w:rsidR="000B139D" w:rsidRDefault="000B139D" w:rsidP="000B139D">
      <w:pPr>
        <w:pStyle w:val="Caption"/>
        <w:rPr>
          <w:noProof/>
        </w:rPr>
      </w:pPr>
      <w:r>
        <w:rPr>
          <w:noProof/>
        </w:rPr>
        <w:drawing>
          <wp:inline distT="0" distB="0" distL="0" distR="0" wp14:anchorId="6CB07260" wp14:editId="4820B40D">
            <wp:extent cx="5733256" cy="4586605"/>
            <wp:effectExtent l="0" t="0" r="1270" b="4445"/>
            <wp:docPr id="1513225147" name="Picture 5" descr="A figure describing the remaining fair shares for the EU27, EU27 member countries, and other illustrative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25147" name="Picture 5" descr="A figure describing the remaining fair shares for the EU27, EU27 member countries, and other illustrative regions."/>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733256" cy="4586605"/>
                    </a:xfrm>
                    <a:prstGeom prst="rect">
                      <a:avLst/>
                    </a:prstGeom>
                    <a:noFill/>
                    <a:ln>
                      <a:noFill/>
                    </a:ln>
                  </pic:spPr>
                </pic:pic>
              </a:graphicData>
            </a:graphic>
          </wp:inline>
        </w:drawing>
      </w:r>
    </w:p>
    <w:p w14:paraId="0E007C4D" w14:textId="77777777" w:rsidR="000B139D" w:rsidRDefault="000B139D" w:rsidP="000B139D">
      <w:pPr>
        <w:pStyle w:val="Caption"/>
      </w:pPr>
      <w:r>
        <w:t xml:space="preserve">Figure SI 1 - </w:t>
      </w:r>
      <w:r w:rsidRPr="005F221C">
        <w:t xml:space="preserve">Estimated remaining </w:t>
      </w:r>
      <w:r>
        <w:t xml:space="preserve">carbon </w:t>
      </w:r>
      <w:r w:rsidRPr="005F221C">
        <w:t>budgets in GtCO</w:t>
      </w:r>
      <w:r w:rsidRPr="00464A4B">
        <w:rPr>
          <w:vertAlign w:val="subscript"/>
        </w:rPr>
        <w:t>2</w:t>
      </w:r>
      <w:r w:rsidRPr="004219CF">
        <w:t>-FFI</w:t>
      </w:r>
      <w:r w:rsidRPr="005F221C">
        <w:t xml:space="preserve">. </w:t>
      </w:r>
    </w:p>
    <w:p w14:paraId="43AD5C08" w14:textId="77777777" w:rsidR="000B139D" w:rsidRPr="00846D9C" w:rsidRDefault="000B139D" w:rsidP="000B139D"/>
    <w:p w14:paraId="04B49022" w14:textId="3C76CB3A" w:rsidR="00755780" w:rsidRPr="000B139D" w:rsidRDefault="00755780" w:rsidP="000B139D"/>
    <w:sectPr w:rsidR="00755780" w:rsidRPr="000B139D" w:rsidSect="000B139D">
      <w:footerReference w:type="default" r:id="rId7"/>
      <w:pgSz w:w="11909" w:h="16834"/>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E4A8F" w14:textId="77777777" w:rsidR="00F675B6" w:rsidRDefault="00F675B6" w:rsidP="00F57B58">
      <w:pPr>
        <w:spacing w:after="0" w:line="240" w:lineRule="auto"/>
      </w:pPr>
      <w:r>
        <w:separator/>
      </w:r>
    </w:p>
  </w:endnote>
  <w:endnote w:type="continuationSeparator" w:id="0">
    <w:p w14:paraId="01CF4AB0" w14:textId="77777777" w:rsidR="00F675B6" w:rsidRDefault="00F675B6" w:rsidP="00F5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E0DF8" w14:textId="77777777" w:rsidR="00000000" w:rsidRDefault="00000000" w:rsidP="008E72EB">
    <w:r>
      <w:fldChar w:fldCharType="begin"/>
    </w:r>
    <w:r>
      <w:instrText>PAGE</w:instrText>
    </w:r>
    <w:r>
      <w:fldChar w:fldCharType="separate"/>
    </w:r>
    <w:r>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8F0FE" w14:textId="77777777" w:rsidR="00F675B6" w:rsidRDefault="00F675B6" w:rsidP="00F57B58">
      <w:pPr>
        <w:spacing w:after="0" w:line="240" w:lineRule="auto"/>
      </w:pPr>
      <w:r>
        <w:separator/>
      </w:r>
    </w:p>
  </w:footnote>
  <w:footnote w:type="continuationSeparator" w:id="0">
    <w:p w14:paraId="74D72B18" w14:textId="77777777" w:rsidR="00F675B6" w:rsidRDefault="00F675B6" w:rsidP="00F57B58">
      <w:pPr>
        <w:spacing w:after="0" w:line="240" w:lineRule="auto"/>
      </w:pPr>
      <w:r>
        <w:continuationSeparator/>
      </w:r>
    </w:p>
  </w:footnote>
  <w:footnote w:id="1">
    <w:p w14:paraId="29A83535" w14:textId="77777777" w:rsidR="000B139D" w:rsidRDefault="000B139D" w:rsidP="000B139D">
      <w:pPr>
        <w:spacing w:after="0"/>
        <w:rPr>
          <w:sz w:val="20"/>
          <w:szCs w:val="20"/>
        </w:rPr>
      </w:pPr>
      <w:r w:rsidRPr="005D7EA3">
        <w:rPr>
          <w:rStyle w:val="FootnoteReference"/>
        </w:rPr>
        <w:footnoteRef/>
      </w:r>
      <w:r>
        <w:rPr>
          <w:sz w:val="20"/>
          <w:szCs w:val="20"/>
        </w:rPr>
        <w:t xml:space="preserve"> These pathways limit warming to 1.5C in 2100 with a likelihood of greater than 50% and reach or exceed warming of 1.5C during the 21st century with a likelihood of 67% or less </w:t>
      </w:r>
      <w:r>
        <w:rPr>
          <w:sz w:val="20"/>
          <w:szCs w:val="20"/>
        </w:rPr>
        <w:fldChar w:fldCharType="begin"/>
      </w:r>
      <w:r>
        <w:rPr>
          <w:sz w:val="20"/>
          <w:szCs w:val="20"/>
        </w:rPr>
        <w:instrText xml:space="preserve"> ADDIN ZOTERO_ITEM CSL_CITATION {"citationID":"xxFntAN7","properties":{"formattedCitation":"(Chapter 3, IPCC, 2022)","plainCitation":"(Chapter 3, IPCC, 2022)","noteIndex":1},"citationItems":[{"id":791,"uris":["http://zotero.org/users/2848826/items/7VGRCKIQ"],"itemData":{"id":791,"type":"book","publisher":"Cambridge University Press, Cambridge, UK and New York, NY, USA","title":"Climate Change 2022: Mitigation of Climate Change. Contribution of Working Group III to the Sixth Assessment Report of the Intergovernmental Panel on Climate Change","author":[{"literal":"IPCC"}],"editor":[{"family":"P.R.","given":"J. Malle","suffix":"Shukla, J. Skea, R. Slade, A. Al Khourdajie, R. van Diemen, D. McCollum, M. Pathak, S. Some, P.Vyas, R. Fradera, M. Belkacemi, A. Hasija, G. Lisboa, S. Luz"}],"issued":{"date-parts":[["2022"]]}},"label":"page","prefix":"Chapter 3,"}],"schema":"https://github.com/citation-style-language/schema/raw/master/csl-citation.json"} </w:instrText>
      </w:r>
      <w:r>
        <w:rPr>
          <w:sz w:val="20"/>
          <w:szCs w:val="20"/>
        </w:rPr>
        <w:fldChar w:fldCharType="separate"/>
      </w:r>
      <w:r>
        <w:rPr>
          <w:noProof/>
          <w:sz w:val="20"/>
          <w:szCs w:val="20"/>
        </w:rPr>
        <w:t>(Chapter 3, IPCC, 2022)</w:t>
      </w:r>
      <w:r>
        <w:rPr>
          <w:sz w:val="20"/>
          <w:szCs w:val="20"/>
        </w:rPr>
        <w:fldChar w:fldCharType="end"/>
      </w:r>
      <w:r>
        <w:rPr>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B58"/>
    <w:rsid w:val="000B139D"/>
    <w:rsid w:val="00331A6B"/>
    <w:rsid w:val="00703EA1"/>
    <w:rsid w:val="00755780"/>
    <w:rsid w:val="00857596"/>
    <w:rsid w:val="00A145B7"/>
    <w:rsid w:val="00A40B1E"/>
    <w:rsid w:val="00CA609A"/>
    <w:rsid w:val="00F57B58"/>
    <w:rsid w:val="00F67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E568F"/>
  <w15:chartTrackingRefBased/>
  <w15:docId w15:val="{47171DCB-32FA-4A78-A872-7D8024B8F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B58"/>
    <w:pPr>
      <w:spacing w:after="120" w:line="360" w:lineRule="auto"/>
      <w:jc w:val="both"/>
    </w:pPr>
    <w:rPr>
      <w:rFonts w:ascii="Calibri" w:eastAsia="Calibri" w:hAnsi="Calibri" w:cs="Calibri"/>
      <w:kern w:val="0"/>
      <w:lang w:val="en-AU" w:eastAsia="en-GB"/>
      <w14:ligatures w14:val="none"/>
    </w:rPr>
  </w:style>
  <w:style w:type="paragraph" w:styleId="Heading1">
    <w:name w:val="heading 1"/>
    <w:basedOn w:val="Normal"/>
    <w:next w:val="Normal"/>
    <w:link w:val="Heading1Char"/>
    <w:uiPriority w:val="9"/>
    <w:qFormat/>
    <w:rsid w:val="00F57B58"/>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F57B58"/>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F57B58"/>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F57B58"/>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F57B58"/>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F57B58"/>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F57B58"/>
    <w:pPr>
      <w:keepNext/>
      <w:keepLines/>
      <w:spacing w:before="40" w:after="0" w:line="259" w:lineRule="auto"/>
      <w:jc w:val="left"/>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F57B58"/>
    <w:pPr>
      <w:keepNext/>
      <w:keepLines/>
      <w:spacing w:after="0" w:line="259" w:lineRule="auto"/>
      <w:jc w:val="left"/>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F57B58"/>
    <w:pPr>
      <w:keepNext/>
      <w:keepLines/>
      <w:spacing w:after="0" w:line="259" w:lineRule="auto"/>
      <w:jc w:val="left"/>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B58"/>
    <w:rPr>
      <w:rFonts w:eastAsiaTheme="majorEastAsia" w:cstheme="majorBidi"/>
      <w:color w:val="272727" w:themeColor="text1" w:themeTint="D8"/>
    </w:rPr>
  </w:style>
  <w:style w:type="paragraph" w:styleId="Title">
    <w:name w:val="Title"/>
    <w:basedOn w:val="Normal"/>
    <w:next w:val="Normal"/>
    <w:link w:val="TitleChar"/>
    <w:uiPriority w:val="10"/>
    <w:qFormat/>
    <w:rsid w:val="00F57B58"/>
    <w:pPr>
      <w:spacing w:after="80" w:line="240" w:lineRule="auto"/>
      <w:contextualSpacing/>
      <w:jc w:val="left"/>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F57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B5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F57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B58"/>
    <w:pPr>
      <w:spacing w:before="160" w:after="160" w:line="259"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F57B58"/>
    <w:rPr>
      <w:i/>
      <w:iCs/>
      <w:color w:val="404040" w:themeColor="text1" w:themeTint="BF"/>
    </w:rPr>
  </w:style>
  <w:style w:type="paragraph" w:styleId="ListParagraph">
    <w:name w:val="List Paragraph"/>
    <w:basedOn w:val="Normal"/>
    <w:uiPriority w:val="34"/>
    <w:qFormat/>
    <w:rsid w:val="00F57B58"/>
    <w:pPr>
      <w:spacing w:after="160" w:line="259" w:lineRule="auto"/>
      <w:ind w:left="720"/>
      <w:contextualSpacing/>
      <w:jc w:val="left"/>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F57B58"/>
    <w:rPr>
      <w:i/>
      <w:iCs/>
      <w:color w:val="0F4761" w:themeColor="accent1" w:themeShade="BF"/>
    </w:rPr>
  </w:style>
  <w:style w:type="paragraph" w:styleId="IntenseQuote">
    <w:name w:val="Intense Quote"/>
    <w:basedOn w:val="Normal"/>
    <w:next w:val="Normal"/>
    <w:link w:val="IntenseQuoteChar"/>
    <w:uiPriority w:val="30"/>
    <w:qFormat/>
    <w:rsid w:val="00F57B5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F57B58"/>
    <w:rPr>
      <w:i/>
      <w:iCs/>
      <w:color w:val="0F4761" w:themeColor="accent1" w:themeShade="BF"/>
    </w:rPr>
  </w:style>
  <w:style w:type="character" w:styleId="IntenseReference">
    <w:name w:val="Intense Reference"/>
    <w:basedOn w:val="DefaultParagraphFont"/>
    <w:uiPriority w:val="32"/>
    <w:qFormat/>
    <w:rsid w:val="00F57B58"/>
    <w:rPr>
      <w:b/>
      <w:bCs/>
      <w:smallCaps/>
      <w:color w:val="0F4761" w:themeColor="accent1" w:themeShade="BF"/>
      <w:spacing w:val="5"/>
    </w:rPr>
  </w:style>
  <w:style w:type="paragraph" w:styleId="Caption">
    <w:name w:val="caption"/>
    <w:basedOn w:val="Normal"/>
    <w:next w:val="Normal"/>
    <w:uiPriority w:val="35"/>
    <w:unhideWhenUsed/>
    <w:qFormat/>
    <w:rsid w:val="00F57B58"/>
    <w:rPr>
      <w:rFonts w:asciiTheme="majorHAnsi" w:eastAsiaTheme="minorHAnsi" w:hAnsiTheme="majorHAnsi" w:cstheme="majorHAnsi"/>
      <w:i/>
      <w:iCs/>
      <w:color w:val="0E2841" w:themeColor="text2"/>
      <w:sz w:val="18"/>
      <w:szCs w:val="18"/>
      <w:lang w:val="en-US"/>
    </w:rPr>
  </w:style>
  <w:style w:type="character" w:styleId="FootnoteReference">
    <w:name w:val="footnote reference"/>
    <w:basedOn w:val="DefaultParagraphFont"/>
    <w:uiPriority w:val="99"/>
    <w:semiHidden/>
    <w:unhideWhenUsed/>
    <w:rsid w:val="00F57B58"/>
    <w:rPr>
      <w:vertAlign w:val="superscript"/>
    </w:rPr>
  </w:style>
  <w:style w:type="character" w:styleId="LineNumber">
    <w:name w:val="line number"/>
    <w:basedOn w:val="DefaultParagraphFont"/>
    <w:uiPriority w:val="99"/>
    <w:semiHidden/>
    <w:unhideWhenUsed/>
    <w:rsid w:val="000B1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5110</Words>
  <Characters>29131</Characters>
  <Application>Microsoft Office Word</Application>
  <DocSecurity>0</DocSecurity>
  <Lines>242</Lines>
  <Paragraphs>68</Paragraphs>
  <ScaleCrop>false</ScaleCrop>
  <Company>Springer Nature</Company>
  <LinksUpToDate>false</LinksUpToDate>
  <CharactersWithSpaces>34173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3</cp:revision>
  <dcterms:created xsi:type="dcterms:W3CDTF">2024-09-30T16:33:00Z</dcterms:created>
  <dcterms:modified xsi:type="dcterms:W3CDTF">2024-09-30T16:37:00Z</dcterms:modified>
</cp:coreProperties>
</file>