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b/>
          <w:kern w:val="0"/>
          <w:sz w:val="24"/>
          <w:szCs w:val="24"/>
        </w:rPr>
      </w:pPr>
      <w:r>
        <w:rPr>
          <w:b/>
          <w:kern w:val="0"/>
          <w:sz w:val="24"/>
          <w:szCs w:val="24"/>
        </w:rPr>
        <w:t>Supplementary Material</w:t>
      </w:r>
    </w:p>
    <w:p>
      <w:pPr>
        <w:spacing w:after="0" w:afterLines="0" w:line="360" w:lineRule="auto"/>
        <w:ind w:firstLine="0" w:firstLineChars="0"/>
        <w:jc w:val="left"/>
        <w:rPr>
          <w:rFonts w:eastAsia="等线"/>
          <w:b/>
          <w:bCs/>
        </w:rPr>
      </w:pPr>
      <w:r>
        <w:rPr>
          <w:rFonts w:eastAsia="等线"/>
          <w:b/>
          <w:bCs/>
        </w:rPr>
        <w:t>Risks of microplastics in different land-use types</w:t>
      </w:r>
      <w:r>
        <w:rPr>
          <w:rFonts w:hint="eastAsia" w:eastAsia="等线"/>
          <w:b/>
          <w:bCs/>
        </w:rPr>
        <w:t xml:space="preserve"> of </w:t>
      </w:r>
      <w:r>
        <w:rPr>
          <w:rFonts w:eastAsia="等线"/>
          <w:b/>
          <w:bCs/>
        </w:rPr>
        <w:t>soil in a typical p</w:t>
      </w:r>
      <w:bookmarkStart w:id="0" w:name="_GoBack"/>
      <w:bookmarkEnd w:id="0"/>
      <w:r>
        <w:rPr>
          <w:rFonts w:eastAsia="等线"/>
          <w:b/>
          <w:bCs/>
        </w:rPr>
        <w:t>etrochemical city in China</w:t>
      </w:r>
    </w:p>
    <w:p>
      <w:pPr>
        <w:spacing w:after="163" w:afterLines="0" w:line="360" w:lineRule="auto"/>
        <w:ind w:firstLine="0" w:firstLineChars="0"/>
        <w:jc w:val="left"/>
        <w:rPr>
          <w:rFonts w:eastAsia="等线"/>
        </w:rPr>
      </w:pPr>
      <w:r>
        <w:rPr>
          <w:rFonts w:eastAsia="等线"/>
        </w:rPr>
        <w:t>Yuting Guo</w:t>
      </w:r>
      <w:r>
        <w:rPr>
          <w:rFonts w:eastAsia="等线"/>
          <w:vertAlign w:val="superscript"/>
        </w:rPr>
        <w:t>a,b,1</w:t>
      </w:r>
      <w:r>
        <w:rPr>
          <w:rFonts w:eastAsia="等线"/>
        </w:rPr>
        <w:t>, Linlin Wu</w:t>
      </w:r>
      <w:r>
        <w:rPr>
          <w:rFonts w:eastAsia="等线"/>
          <w:vertAlign w:val="superscript"/>
        </w:rPr>
        <w:t>a,</w:t>
      </w:r>
      <w:r>
        <w:rPr>
          <w:rFonts w:hint="eastAsia" w:eastAsia="等线"/>
          <w:vertAlign w:val="superscript"/>
        </w:rPr>
        <w:t>c</w:t>
      </w:r>
      <w:r>
        <w:rPr>
          <w:rFonts w:eastAsia="等线"/>
          <w:vertAlign w:val="superscript"/>
        </w:rPr>
        <w:t>,1</w:t>
      </w:r>
      <w:r>
        <w:rPr>
          <w:rFonts w:eastAsia="等线"/>
        </w:rPr>
        <w:t>, Changsheng Guo</w:t>
      </w:r>
      <w:r>
        <w:rPr>
          <w:rFonts w:eastAsia="等线"/>
          <w:vertAlign w:val="superscript"/>
        </w:rPr>
        <w:t>a,</w:t>
      </w:r>
      <w:r>
        <w:rPr>
          <w:rFonts w:hint="eastAsia" w:eastAsia="等线"/>
          <w:vertAlign w:val="superscript"/>
        </w:rPr>
        <w:t>c</w:t>
      </w:r>
      <w:r>
        <w:rPr>
          <w:rFonts w:eastAsia="等线"/>
        </w:rPr>
        <w:t>, Rongshan Wu</w:t>
      </w:r>
      <w:r>
        <w:rPr>
          <w:rFonts w:eastAsia="等线"/>
          <w:vertAlign w:val="superscript"/>
        </w:rPr>
        <w:t>a,</w:t>
      </w:r>
      <w:r>
        <w:rPr>
          <w:rFonts w:hint="eastAsia" w:eastAsia="等线"/>
          <w:vertAlign w:val="superscript"/>
        </w:rPr>
        <w:t>c</w:t>
      </w:r>
      <w:r>
        <w:rPr>
          <w:rFonts w:eastAsia="等线"/>
        </w:rPr>
        <w:t>, Jian Xu</w:t>
      </w:r>
      <w:r>
        <w:rPr>
          <w:rFonts w:eastAsia="等线"/>
          <w:vertAlign w:val="superscript"/>
        </w:rPr>
        <w:t>a,</w:t>
      </w:r>
      <w:r>
        <w:rPr>
          <w:rFonts w:hint="eastAsia" w:eastAsia="等线"/>
          <w:vertAlign w:val="superscript"/>
        </w:rPr>
        <w:t>c</w:t>
      </w:r>
      <w:r>
        <w:rPr>
          <w:rFonts w:eastAsia="等线"/>
          <w:vertAlign w:val="superscript"/>
        </w:rPr>
        <w:t>*</w:t>
      </w:r>
    </w:p>
    <w:p>
      <w:pPr>
        <w:numPr>
          <w:ilvl w:val="0"/>
          <w:numId w:val="1"/>
        </w:numPr>
        <w:spacing w:after="0" w:afterLines="0" w:line="360" w:lineRule="auto"/>
        <w:ind w:left="357" w:firstLineChars="0"/>
        <w:jc w:val="left"/>
        <w:rPr>
          <w:rFonts w:eastAsia="等线"/>
        </w:rPr>
      </w:pPr>
      <w:r>
        <w:rPr>
          <w:rFonts w:eastAsia="等线"/>
        </w:rPr>
        <w:t xml:space="preserve">State Key Laboratory of Environmental Criteria and Risk Assessment, Chinese Research Academy of Environmental Sciences, Beijing 100012, China </w:t>
      </w:r>
    </w:p>
    <w:p>
      <w:pPr>
        <w:widowControl/>
        <w:numPr>
          <w:ilvl w:val="0"/>
          <w:numId w:val="1"/>
        </w:numPr>
        <w:spacing w:after="0" w:afterLines="0" w:line="360" w:lineRule="auto"/>
        <w:ind w:left="357" w:firstLineChars="0"/>
        <w:jc w:val="left"/>
        <w:rPr>
          <w:rFonts w:eastAsia="等线"/>
        </w:rPr>
      </w:pPr>
      <w:r>
        <w:rPr>
          <w:rFonts w:eastAsia="等线"/>
        </w:rPr>
        <w:t>School of Ecology and Environment, Zhengzhou University, Zhengzhou 450066, China</w:t>
      </w:r>
    </w:p>
    <w:p>
      <w:pPr>
        <w:numPr>
          <w:ilvl w:val="0"/>
          <w:numId w:val="1"/>
        </w:numPr>
        <w:spacing w:after="0" w:afterLines="0" w:line="360" w:lineRule="auto"/>
        <w:ind w:left="357" w:firstLineChars="0"/>
        <w:jc w:val="left"/>
        <w:rPr>
          <w:rFonts w:eastAsia="等线"/>
        </w:rPr>
      </w:pPr>
      <w:r>
        <w:rPr>
          <w:rFonts w:eastAsia="等线"/>
        </w:rPr>
        <w:t>State Environmental Protection Key Laboratory of Ecological Effect and Risk Assessment of Chemicals, Chinese Research Academy of Environmental Sciences, Beijing 100012, China</w:t>
      </w:r>
    </w:p>
    <w:p>
      <w:pPr>
        <w:pStyle w:val="48"/>
        <w:spacing w:after="120" w:afterLines="0" w:line="360" w:lineRule="auto"/>
        <w:ind w:left="360" w:firstLine="0" w:firstLineChars="0"/>
        <w:jc w:val="left"/>
        <w:rPr>
          <w:rFonts w:eastAsia="等线"/>
        </w:rPr>
      </w:pPr>
      <w:r>
        <w:rPr>
          <w:rFonts w:eastAsia="等线"/>
        </w:rPr>
        <w:t xml:space="preserve">*: To whom all correspondence should be addressed. E-mail: </w:t>
      </w:r>
      <w:r>
        <w:fldChar w:fldCharType="begin"/>
      </w:r>
      <w:r>
        <w:instrText xml:space="preserve"> HYPERLINK "mailto:xujian@craes.org.cn" </w:instrText>
      </w:r>
      <w:r>
        <w:fldChar w:fldCharType="separate"/>
      </w:r>
      <w:r>
        <w:rPr>
          <w:rStyle w:val="9"/>
        </w:rPr>
        <w:t>xujian@craes.org.cn</w:t>
      </w:r>
      <w:r>
        <w:rPr>
          <w:rStyle w:val="9"/>
        </w:rPr>
        <w:fldChar w:fldCharType="end"/>
      </w:r>
    </w:p>
    <w:p>
      <w:pPr>
        <w:pStyle w:val="48"/>
        <w:spacing w:after="163" w:afterLines="0" w:line="360" w:lineRule="auto"/>
        <w:ind w:left="360" w:firstLine="0" w:firstLineChars="0"/>
        <w:jc w:val="left"/>
        <w:rPr>
          <w:rFonts w:eastAsia="等线"/>
        </w:rPr>
      </w:pPr>
      <w:r>
        <w:rPr>
          <w:vertAlign w:val="superscript"/>
        </w:rPr>
        <w:t>1</w:t>
      </w:r>
      <w:r>
        <w:rPr>
          <w:rFonts w:hint="eastAsia"/>
        </w:rPr>
        <w:t>:</w:t>
      </w:r>
      <w:r>
        <w:t xml:space="preserve"> Equal contribution as first author.</w:t>
      </w:r>
    </w:p>
    <w:p>
      <w:pPr>
        <w:rPr>
          <w:b/>
          <w:kern w:val="0"/>
          <w:sz w:val="20"/>
          <w:szCs w:val="20"/>
        </w:rPr>
      </w:pPr>
      <w:r>
        <w:rPr>
          <w:b/>
          <w:kern w:val="0"/>
          <w:sz w:val="20"/>
          <w:szCs w:val="20"/>
        </w:rPr>
        <w:br w:type="page"/>
      </w:r>
    </w:p>
    <w:p>
      <w:pPr>
        <w:ind w:firstLine="0" w:firstLineChars="0"/>
        <w:jc w:val="center"/>
        <w:rPr>
          <w:b/>
          <w:kern w:val="0"/>
          <w:sz w:val="24"/>
          <w:szCs w:val="24"/>
        </w:rPr>
      </w:pPr>
    </w:p>
    <w:p>
      <w:pPr>
        <w:ind w:firstLine="0" w:firstLineChars="0"/>
        <w:rPr>
          <w:sz w:val="24"/>
          <w:szCs w:val="24"/>
        </w:rPr>
      </w:pPr>
      <w:r>
        <w:rPr>
          <w:sz w:val="24"/>
          <w:szCs w:val="24"/>
        </w:rPr>
        <w:t>Table S1 Summary of abundances of microplastics (MPs) in soils collected from Daqing, China.</w:t>
      </w:r>
    </w:p>
    <w:p>
      <w:pPr>
        <w:ind w:firstLine="0" w:firstLineChars="0"/>
        <w:rPr>
          <w:sz w:val="24"/>
          <w:szCs w:val="24"/>
        </w:rPr>
      </w:pPr>
      <w:r>
        <w:rPr>
          <w:sz w:val="24"/>
          <w:szCs w:val="24"/>
        </w:rPr>
        <w:t>Table S2 Parameter values of different genders and age groups</w:t>
      </w:r>
    </w:p>
    <w:p>
      <w:pPr>
        <w:ind w:firstLine="0" w:firstLineChars="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Table S3 </w:t>
      </w:r>
      <w:r>
        <w:rPr>
          <w:sz w:val="24"/>
          <w:szCs w:val="24"/>
        </w:rPr>
        <w:t xml:space="preserve">Socio-economic data of the study areas in </w:t>
      </w:r>
      <w:r>
        <w:rPr>
          <w:rFonts w:hint="eastAsia" w:eastAsia="宋体"/>
          <w:sz w:val="24"/>
          <w:szCs w:val="24"/>
        </w:rPr>
        <w:t>Daqing</w:t>
      </w:r>
      <w:r>
        <w:rPr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</w:rPr>
        <w:t>City</w:t>
      </w:r>
    </w:p>
    <w:p>
      <w:pPr>
        <w:ind w:firstLineChars="100"/>
        <w:rPr>
          <w:rFonts w:eastAsia="宋体"/>
          <w:sz w:val="20"/>
          <w:szCs w:val="20"/>
        </w:rPr>
      </w:pPr>
    </w:p>
    <w:p>
      <w:pPr>
        <w:ind w:firstLine="166" w:firstLineChars="83"/>
        <w:rPr>
          <w:rFonts w:eastAsia="宋体"/>
          <w:sz w:val="20"/>
          <w:szCs w:val="20"/>
        </w:rPr>
      </w:pPr>
    </w:p>
    <w:p>
      <w:pPr>
        <w:ind w:firstLine="566" w:firstLineChars="283"/>
        <w:rPr>
          <w:sz w:val="20"/>
          <w:szCs w:val="20"/>
        </w:rPr>
      </w:pPr>
    </w:p>
    <w:p>
      <w:pPr>
        <w:autoSpaceDE w:val="0"/>
        <w:autoSpaceDN w:val="0"/>
        <w:adjustRightInd w:val="0"/>
        <w:spacing w:line="480" w:lineRule="auto"/>
        <w:ind w:firstLine="402"/>
        <w:jc w:val="center"/>
        <w:rPr>
          <w:b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480" w:lineRule="auto"/>
        <w:ind w:firstLine="0" w:firstLineChars="0"/>
        <w:jc w:val="center"/>
        <w:rPr>
          <w:rFonts w:eastAsiaTheme="minorEastAsia"/>
          <w:sz w:val="20"/>
          <w:szCs w:val="20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3" w:bottom="1440" w:left="1803" w:header="851" w:footer="992" w:gutter="0"/>
          <w:cols w:space="425" w:num="1"/>
          <w:docGrid w:type="lines" w:linePitch="326" w:charSpace="0"/>
        </w:sectPr>
      </w:pPr>
    </w:p>
    <w:p>
      <w:pPr>
        <w:ind w:firstLine="0" w:firstLineChars="0"/>
        <w:jc w:val="center"/>
        <w:rPr>
          <w:sz w:val="20"/>
          <w:szCs w:val="20"/>
        </w:rPr>
      </w:pPr>
      <w:r>
        <w:rPr>
          <w:sz w:val="20"/>
          <w:szCs w:val="20"/>
        </w:rPr>
        <w:t>Table S1 Summary of abundances of microplastics (MPs) in soils collected from Daqing, China.</w:t>
      </w:r>
    </w:p>
    <w:tbl>
      <w:tblPr>
        <w:tblStyle w:val="6"/>
        <w:tblW w:w="971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219"/>
        <w:gridCol w:w="2430"/>
        <w:gridCol w:w="2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Sample ID</w:t>
            </w:r>
          </w:p>
        </w:tc>
        <w:tc>
          <w:tcPr>
            <w:tcW w:w="221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Latitude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43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Longitude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85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Abundance (items/kg)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46.748624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124.974804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46.701123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124.800150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6734.69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46.566114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124.809923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3673.47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46.554728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124.950942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46.538524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125.091919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IL6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46.442204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125.227253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1428.57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IL7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46.344587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124.721002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1530.61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2594.75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18163.27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46.757175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125.093180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4693.88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46.672292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125.236244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1632.65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46.637120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125.133419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1122.45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46.594807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124.864484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1530.61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46.509094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125.027321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1427.48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11122.45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46.744682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125.134327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46.713046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124.859825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1938.78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46.671585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124.958496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46.629399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125.040550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7346.94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46.303881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124.891097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714.29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FL6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46.160615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124.805514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2346.94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2806.12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2306.89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16836.73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46.728301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124.932060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46.668758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125.086212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46.612608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124.914354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1632.65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46.605247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124.990037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2346.94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46.535912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124.880261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714.29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PG6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46.508671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125.087242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1836.73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1649.66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603.39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9897.96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46.675442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124.860649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1938.78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46.670642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125.023963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1326.53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46.631737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125.180094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1734.69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46.581164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125.160627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46.485495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124.852001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11122.45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3469.39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4288.14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46.625480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124.847087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46.564343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124.896734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8571.43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46.495792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124.933433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1530.61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46.444836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125.174875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46.402444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124.881463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1020.41</w:t>
            </w:r>
          </w:p>
        </w:tc>
      </w:tr>
      <w:tr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RDL6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46.031023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124.805136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2636.05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2921.59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15816.33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RL1</w:t>
            </w:r>
          </w:p>
        </w:tc>
        <w:tc>
          <w:tcPr>
            <w:tcW w:w="221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46.847277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125.062866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2244.90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RL2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46.690193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125.153846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1326.53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RL3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46.599331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125.131359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3163.27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RL4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46.483266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125.170805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RL5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46.127746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124.584617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2142.86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788.43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464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10102.04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86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(total MPs)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2482.14</w:t>
            </w:r>
          </w:p>
        </w:tc>
      </w:tr>
      <w:tr>
        <w:trPr>
          <w:trHeight w:val="360" w:hRule="atLeast"/>
          <w:jc w:val="center"/>
        </w:trPr>
        <w:tc>
          <w:tcPr>
            <w:tcW w:w="686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 Dev (total MPs)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2214.17</w:t>
            </w:r>
          </w:p>
        </w:tc>
      </w:tr>
      <w:tr>
        <w:trPr>
          <w:trHeight w:val="360" w:hRule="atLeast"/>
          <w:jc w:val="center"/>
        </w:trPr>
        <w:tc>
          <w:tcPr>
            <w:tcW w:w="6860" w:type="dxa"/>
            <w:gridSpan w:val="3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 (total MPs)</w:t>
            </w:r>
          </w:p>
        </w:tc>
        <w:tc>
          <w:tcPr>
            <w:tcW w:w="2850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99285.71</w:t>
            </w:r>
          </w:p>
        </w:tc>
      </w:tr>
    </w:tbl>
    <w:p>
      <w:pPr>
        <w:ind w:firstLine="400"/>
        <w:rPr>
          <w:sz w:val="20"/>
          <w:szCs w:val="20"/>
        </w:rPr>
      </w:pPr>
    </w:p>
    <w:p>
      <w:pPr>
        <w:widowControl/>
        <w:spacing w:line="240" w:lineRule="auto"/>
        <w:ind w:firstLine="0" w:firstLineChars="0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>
      <w:pPr>
        <w:ind w:firstLine="3200" w:firstLineChars="1600"/>
        <w:rPr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ind w:firstLineChars="100"/>
        <w:jc w:val="center"/>
        <w:rPr>
          <w:sz w:val="20"/>
          <w:szCs w:val="20"/>
        </w:rPr>
      </w:pPr>
      <w:r>
        <w:rPr>
          <w:sz w:val="20"/>
          <w:szCs w:val="20"/>
        </w:rPr>
        <w:t>Table S2 Parameter values of different genders and age groups</w:t>
      </w:r>
    </w:p>
    <w:tbl>
      <w:tblPr>
        <w:tblStyle w:val="6"/>
        <w:tblW w:w="13767" w:type="dxa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150"/>
        <w:gridCol w:w="1110"/>
        <w:gridCol w:w="1260"/>
        <w:gridCol w:w="1330"/>
        <w:gridCol w:w="1300"/>
        <w:gridCol w:w="1500"/>
        <w:gridCol w:w="1560"/>
        <w:gridCol w:w="1390"/>
        <w:gridCol w:w="1240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2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10690" w:type="dxa"/>
            <w:gridSpan w:val="8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5200" w:firstLineChars="26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groups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2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</w:t>
            </w:r>
          </w:p>
        </w:tc>
        <w:tc>
          <w:tcPr>
            <w:tcW w:w="111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Toddler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Preschool children</w:t>
            </w:r>
          </w:p>
        </w:tc>
        <w:tc>
          <w:tcPr>
            <w:tcW w:w="13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School children</w:t>
            </w:r>
          </w:p>
        </w:tc>
        <w:tc>
          <w:tcPr>
            <w:tcW w:w="130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Adolescent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Prime of life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Middle-aged</w:t>
            </w:r>
          </w:p>
        </w:tc>
        <w:tc>
          <w:tcPr>
            <w:tcW w:w="13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elderly</w:t>
            </w: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aged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44-60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60-80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&gt;80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BW/(kg)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17.87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66.0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mingestion/(mg/d)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27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BW/(kg)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51.0 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27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mingestion/(mg/d)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</w:tr>
    </w:tbl>
    <w:p>
      <w:pPr>
        <w:ind w:firstLine="400"/>
        <w:rPr>
          <w:sz w:val="20"/>
          <w:szCs w:val="20"/>
        </w:rPr>
      </w:pPr>
      <w:r>
        <w:rPr>
          <w:sz w:val="20"/>
          <w:szCs w:val="20"/>
        </w:rPr>
        <w:t>Obtained from (MEEC, 2013; 2018)</w:t>
      </w:r>
    </w:p>
    <w:p>
      <w:pPr>
        <w:ind w:firstLine="2600" w:firstLineChars="1300"/>
        <w:rPr>
          <w:rFonts w:eastAsia="宋体"/>
          <w:sz w:val="20"/>
          <w:szCs w:val="20"/>
        </w:rPr>
      </w:pPr>
    </w:p>
    <w:p>
      <w:pPr>
        <w:ind w:firstLine="2600" w:firstLineChars="1300"/>
        <w:rPr>
          <w:rFonts w:eastAsia="宋体"/>
          <w:sz w:val="20"/>
          <w:szCs w:val="20"/>
        </w:rPr>
      </w:pPr>
    </w:p>
    <w:p>
      <w:pPr>
        <w:ind w:firstLine="2600" w:firstLineChars="1300"/>
        <w:rPr>
          <w:rFonts w:eastAsia="宋体"/>
          <w:sz w:val="20"/>
          <w:szCs w:val="20"/>
        </w:rPr>
      </w:pPr>
    </w:p>
    <w:p>
      <w:pPr>
        <w:ind w:firstLine="2600" w:firstLineChars="1300"/>
        <w:rPr>
          <w:rFonts w:eastAsia="宋体"/>
          <w:sz w:val="20"/>
          <w:szCs w:val="20"/>
        </w:rPr>
      </w:pPr>
    </w:p>
    <w:p>
      <w:pPr>
        <w:widowControl/>
        <w:spacing w:line="240" w:lineRule="auto"/>
        <w:ind w:firstLine="0" w:firstLineChars="0"/>
        <w:jc w:val="left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br w:type="page"/>
      </w:r>
    </w:p>
    <w:p>
      <w:pPr>
        <w:ind w:firstLineChars="100"/>
        <w:jc w:val="center"/>
        <w:rPr>
          <w:rFonts w:eastAsia="宋体"/>
          <w:sz w:val="20"/>
          <w:szCs w:val="20"/>
        </w:rPr>
      </w:pPr>
      <w:r>
        <w:rPr>
          <w:rFonts w:hint="eastAsia" w:eastAsia="宋体"/>
          <w:sz w:val="20"/>
          <w:szCs w:val="20"/>
        </w:rPr>
        <w:t xml:space="preserve">Table S3 </w:t>
      </w:r>
      <w:r>
        <w:rPr>
          <w:sz w:val="20"/>
          <w:szCs w:val="20"/>
        </w:rPr>
        <w:t xml:space="preserve">Socio-economic data of the study areas in </w:t>
      </w:r>
      <w:r>
        <w:rPr>
          <w:rFonts w:hint="eastAsia" w:eastAsia="宋体"/>
          <w:sz w:val="20"/>
          <w:szCs w:val="20"/>
        </w:rPr>
        <w:t>Daqing</w:t>
      </w:r>
      <w:r>
        <w:rPr>
          <w:sz w:val="20"/>
          <w:szCs w:val="20"/>
        </w:rPr>
        <w:t xml:space="preserve"> </w:t>
      </w:r>
      <w:r>
        <w:rPr>
          <w:rFonts w:hint="eastAsia" w:eastAsia="宋体"/>
          <w:sz w:val="20"/>
          <w:szCs w:val="20"/>
        </w:rPr>
        <w:t>City</w:t>
      </w:r>
    </w:p>
    <w:tbl>
      <w:tblPr>
        <w:tblStyle w:val="6"/>
        <w:tblW w:w="113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9"/>
        <w:gridCol w:w="1589"/>
        <w:gridCol w:w="1461"/>
        <w:gridCol w:w="1560"/>
        <w:gridCol w:w="1610"/>
        <w:gridCol w:w="1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52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rPr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Ranghulu</w:t>
            </w:r>
          </w:p>
        </w:tc>
        <w:tc>
          <w:tcPr>
            <w:tcW w:w="1461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Sartu</w:t>
            </w:r>
          </w:p>
        </w:tc>
        <w:tc>
          <w:tcPr>
            <w:tcW w:w="156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Datong</w:t>
            </w:r>
          </w:p>
        </w:tc>
        <w:tc>
          <w:tcPr>
            <w:tcW w:w="161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Longfeng</w:t>
            </w:r>
          </w:p>
        </w:tc>
        <w:tc>
          <w:tcPr>
            <w:tcW w:w="165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Honggang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2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Population (10</w:t>
            </w:r>
            <w:r>
              <w:rPr>
                <w:sz w:val="20"/>
                <w:szCs w:val="20"/>
                <w:vertAlign w:val="superscript"/>
              </w:rPr>
              <w:t>4</w:t>
            </w:r>
            <w:r>
              <w:rPr>
                <w:sz w:val="20"/>
                <w:szCs w:val="20"/>
              </w:rPr>
              <w:t xml:space="preserve"> person)</w:t>
            </w:r>
          </w:p>
        </w:tc>
        <w:tc>
          <w:tcPr>
            <w:tcW w:w="158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59.26</w:t>
            </w:r>
          </w:p>
        </w:tc>
        <w:tc>
          <w:tcPr>
            <w:tcW w:w="146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33.8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29.08</w:t>
            </w:r>
          </w:p>
        </w:tc>
        <w:tc>
          <w:tcPr>
            <w:tcW w:w="165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Population density(person/km</w:t>
            </w:r>
            <w:r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425.11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616.79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76.04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699.37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 area (km</w:t>
            </w:r>
            <w:r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415.8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Urbanization rate (%)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94.90%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100.00%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50.43%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93.21%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84.79%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GDP (10</w:t>
            </w:r>
            <w:r>
              <w:rPr>
                <w:sz w:val="20"/>
                <w:szCs w:val="20"/>
                <w:vertAlign w:val="superscript"/>
              </w:rPr>
              <w:t>8</w:t>
            </w:r>
            <w:r>
              <w:rPr>
                <w:sz w:val="20"/>
                <w:szCs w:val="20"/>
              </w:rPr>
              <w:t xml:space="preserve"> CNY)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181.2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78.46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86.12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 capita GDP (CNY)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30577.12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39201.18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42729.00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29614.86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27384.62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 industry(CNY)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43.58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Secondary industry(10</w:t>
            </w:r>
            <w:r>
              <w:rPr>
                <w:sz w:val="20"/>
                <w:szCs w:val="20"/>
                <w:vertAlign w:val="superscript"/>
              </w:rPr>
              <w:t>8</w:t>
            </w:r>
            <w:r>
              <w:rPr>
                <w:sz w:val="20"/>
                <w:szCs w:val="20"/>
              </w:rPr>
              <w:t xml:space="preserve"> CNY)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66.0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52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Tertiary industry(10</w:t>
            </w:r>
            <w:r>
              <w:rPr>
                <w:sz w:val="20"/>
                <w:szCs w:val="20"/>
                <w:vertAlign w:val="superscript"/>
              </w:rPr>
              <w:t>8</w:t>
            </w:r>
            <w:r>
              <w:rPr>
                <w:sz w:val="20"/>
                <w:szCs w:val="20"/>
              </w:rPr>
              <w:t xml:space="preserve"> CNY)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138.1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132.27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27.3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59.22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20.19</w:t>
            </w:r>
          </w:p>
        </w:tc>
      </w:tr>
    </w:tbl>
    <w:p>
      <w:pPr>
        <w:ind w:firstLine="0" w:firstLineChars="0"/>
        <w:rPr>
          <w:rFonts w:eastAsia="宋体"/>
          <w:sz w:val="20"/>
          <w:szCs w:val="20"/>
        </w:rPr>
      </w:pPr>
    </w:p>
    <w:p>
      <w:pPr>
        <w:widowControl/>
        <w:spacing w:line="240" w:lineRule="auto"/>
        <w:ind w:firstLine="0" w:firstLineChars="0"/>
        <w:jc w:val="left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br w:type="page"/>
      </w:r>
    </w:p>
    <w:p>
      <w:pPr>
        <w:ind w:firstLine="0" w:firstLineChars="0"/>
        <w:rPr>
          <w:rFonts w:eastAsia="宋体"/>
          <w:sz w:val="20"/>
          <w:szCs w:val="20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ind w:firstLine="0" w:firstLineChars="0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t>Fig</w:t>
      </w:r>
      <w:r>
        <w:rPr>
          <w:rFonts w:hint="eastAsia" w:eastAsia="宋体"/>
          <w:sz w:val="24"/>
          <w:szCs w:val="24"/>
        </w:rPr>
        <w:t>.</w:t>
      </w:r>
      <w:r>
        <w:rPr>
          <w:rFonts w:eastAsia="宋体"/>
          <w:sz w:val="24"/>
          <w:szCs w:val="24"/>
        </w:rPr>
        <w:t xml:space="preserve"> S1 The distribution of microplastics in land use types (A) and administrative districts (B) in the region</w:t>
      </w:r>
    </w:p>
    <w:p>
      <w:pPr>
        <w:ind w:firstLine="0" w:firstLineChars="0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t>Fig</w:t>
      </w:r>
      <w:r>
        <w:rPr>
          <w:rFonts w:hint="eastAsia" w:eastAsia="宋体"/>
          <w:sz w:val="24"/>
          <w:szCs w:val="24"/>
        </w:rPr>
        <w:t>.</w:t>
      </w:r>
      <w:r>
        <w:rPr>
          <w:rFonts w:eastAsia="宋体"/>
          <w:sz w:val="24"/>
          <w:szCs w:val="24"/>
        </w:rPr>
        <w:t xml:space="preserve"> S2 Values of pollution and risk index at each sampling point</w:t>
      </w:r>
    </w:p>
    <w:p>
      <w:pPr>
        <w:ind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Fig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S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 xml:space="preserve"> Heat map of correlation between socioeconomic factors and microplastics risk index</w:t>
      </w:r>
    </w:p>
    <w:p>
      <w:pPr>
        <w:pStyle w:val="18"/>
        <w:shd w:val="clear" w:color="auto" w:fill="FFFFFF"/>
        <w:spacing w:before="0" w:beforeAutospacing="0" w:after="163" w:afterAutospacing="0"/>
        <w:outlineLvl w:val="2"/>
        <w:rPr>
          <w:rFonts w:ascii="Times New Roman" w:hAnsi="Times New Roman" w:cs="Times New Roman"/>
          <w:color w:val="2A2B2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S4 </w:t>
      </w:r>
      <w:r>
        <w:rPr>
          <w:rFonts w:ascii="Times New Roman" w:hAnsi="Times New Roman" w:cs="Times New Roman"/>
          <w:color w:val="2A2B2E"/>
          <w:sz w:val="24"/>
          <w:szCs w:val="24"/>
        </w:rPr>
        <w:t xml:space="preserve">Daily intake </w:t>
      </w:r>
      <w:r>
        <w:rPr>
          <w:rFonts w:hint="eastAsia" w:ascii="Times New Roman" w:hAnsi="Times New Roman" w:cs="Times New Roman"/>
          <w:color w:val="2A2B2E"/>
          <w:sz w:val="24"/>
          <w:szCs w:val="24"/>
        </w:rPr>
        <w:t>of</w:t>
      </w:r>
      <w:r>
        <w:rPr>
          <w:rFonts w:ascii="Times New Roman" w:hAnsi="Times New Roman" w:cs="Times New Roman"/>
          <w:color w:val="2A2B2E"/>
          <w:sz w:val="24"/>
          <w:szCs w:val="24"/>
        </w:rPr>
        <w:t xml:space="preserve"> MPs of different genders in different age groups under land use types (A: 0-1mm, B: 1-5mm)</w:t>
      </w:r>
      <w:r>
        <w:rPr>
          <w:rFonts w:hint="eastAsia" w:ascii="Times New Roman" w:hAnsi="Times New Roman" w:cs="Times New Roman"/>
          <w:color w:val="2A2B2E"/>
          <w:sz w:val="24"/>
          <w:szCs w:val="24"/>
        </w:rPr>
        <w:t xml:space="preserve"> </w:t>
      </w:r>
    </w:p>
    <w:p>
      <w:pPr>
        <w:pStyle w:val="2"/>
        <w:spacing w:after="163" w:line="240" w:lineRule="auto"/>
        <w:ind w:firstLine="0" w:firstLineChars="0"/>
        <w:rPr>
          <w:b w:val="0"/>
          <w:bCs w:val="0"/>
          <w:color w:val="2A2B2E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Fig. S5 Daily average intake </w:t>
      </w:r>
      <w:r>
        <w:rPr>
          <w:rFonts w:hint="eastAsia"/>
          <w:b w:val="0"/>
          <w:bCs w:val="0"/>
          <w:sz w:val="24"/>
          <w:szCs w:val="24"/>
        </w:rPr>
        <w:t>of</w:t>
      </w:r>
      <w:r>
        <w:rPr>
          <w:b w:val="0"/>
          <w:bCs w:val="0"/>
          <w:sz w:val="24"/>
          <w:szCs w:val="24"/>
        </w:rPr>
        <w:t xml:space="preserve"> MPs of different genders in different age groups under administrative regions </w:t>
      </w:r>
      <w:r>
        <w:rPr>
          <w:b w:val="0"/>
          <w:bCs w:val="0"/>
          <w:color w:val="2A2B2E"/>
          <w:sz w:val="24"/>
          <w:szCs w:val="24"/>
        </w:rPr>
        <w:t>(A: 0-1mm, B: 1-5mm)</w:t>
      </w:r>
      <w:r>
        <w:rPr>
          <w:rFonts w:hint="eastAsia"/>
          <w:b w:val="0"/>
          <w:bCs w:val="0"/>
          <w:color w:val="2A2B2E"/>
          <w:sz w:val="24"/>
          <w:szCs w:val="24"/>
        </w:rPr>
        <w:t xml:space="preserve"> </w:t>
      </w:r>
    </w:p>
    <w:p>
      <w:pPr>
        <w:ind w:firstLine="0" w:firstLineChars="0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t>Fig. S6 Comparison of EDI values of different age groups under different land use types</w:t>
      </w:r>
      <w:r>
        <w:rPr>
          <w:rFonts w:hint="eastAsia" w:eastAsia="宋体"/>
          <w:sz w:val="24"/>
          <w:szCs w:val="24"/>
        </w:rPr>
        <w:t xml:space="preserve"> (0-1mm)</w:t>
      </w:r>
    </w:p>
    <w:p>
      <w:pPr>
        <w:pStyle w:val="18"/>
        <w:shd w:val="clear" w:color="auto" w:fill="FFFFFF"/>
        <w:spacing w:before="0" w:beforeAutospacing="0" w:after="163" w:afterAutospacing="0"/>
        <w:ind w:firstLine="480"/>
        <w:outlineLvl w:val="2"/>
        <w:rPr>
          <w:rFonts w:ascii="Times New Roman" w:hAnsi="Times New Roman" w:cs="Times New Roman"/>
          <w:color w:val="2A2B2E"/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ind w:firstLine="0" w:firstLineChars="0"/>
        <w:jc w:val="center"/>
        <w:rPr>
          <w:rFonts w:eastAsia="宋体"/>
          <w:sz w:val="20"/>
          <w:szCs w:val="20"/>
        </w:rPr>
      </w:pPr>
    </w:p>
    <w:p>
      <w:pPr>
        <w:ind w:firstLine="0" w:firstLineChars="0"/>
        <w:jc w:val="center"/>
        <w:rPr>
          <w:rFonts w:eastAsiaTheme="minorEastAsia"/>
          <w:sz w:val="20"/>
          <w:szCs w:val="20"/>
        </w:rPr>
      </w:pPr>
    </w:p>
    <w:p>
      <w:pPr>
        <w:spacing w:after="120" w:line="240" w:lineRule="auto"/>
        <w:ind w:firstLine="0" w:firstLineChars="0"/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5303520" cy="375031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1773" cy="375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drawing>
          <wp:inline distT="0" distB="0" distL="0" distR="0">
            <wp:extent cx="5597525" cy="4021455"/>
            <wp:effectExtent l="0" t="0" r="3175" b="0"/>
            <wp:docPr id="264385924" name="图片 264385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85924" name="图片 2643859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0991" cy="402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t>Fig. S1 The distribution of microplastics in land use types (A) and administrative districts (B) in the region</w:t>
      </w:r>
    </w:p>
    <w:p>
      <w:pPr>
        <w:ind w:firstLine="400"/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114300" distR="114300">
            <wp:extent cx="5313045" cy="377444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20942" cy="378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t>Fig</w:t>
      </w:r>
      <w:r>
        <w:rPr>
          <w:rFonts w:hint="eastAsia" w:eastAsia="宋体"/>
          <w:sz w:val="20"/>
          <w:szCs w:val="20"/>
        </w:rPr>
        <w:t>.</w:t>
      </w:r>
      <w:r>
        <w:rPr>
          <w:rFonts w:eastAsia="宋体"/>
          <w:sz w:val="20"/>
          <w:szCs w:val="20"/>
        </w:rPr>
        <w:t xml:space="preserve"> S2 Values of pollution and risk index at each sampling point</w:t>
      </w:r>
    </w:p>
    <w:p>
      <w:pPr>
        <w:ind w:firstLine="3200" w:firstLineChars="1600"/>
        <w:jc w:val="center"/>
        <w:rPr>
          <w:rFonts w:eastAsia="宋体"/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400"/>
        <w:jc w:val="center"/>
        <w:rPr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r>
        <w:rPr>
          <w:sz w:val="20"/>
          <w:szCs w:val="20"/>
        </w:rPr>
        <w:drawing>
          <wp:inline distT="0" distB="0" distL="114300" distR="114300">
            <wp:extent cx="6200140" cy="45643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4882" cy="456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0"/>
          <w:szCs w:val="20"/>
        </w:rPr>
        <w:t>Fig</w:t>
      </w:r>
      <w:r>
        <w:rPr>
          <w:sz w:val="20"/>
          <w:szCs w:val="20"/>
        </w:rPr>
        <w:t>.</w:t>
      </w:r>
      <w:r>
        <w:rPr>
          <w:rFonts w:hint="eastAsia"/>
          <w:sz w:val="20"/>
          <w:szCs w:val="20"/>
        </w:rPr>
        <w:t xml:space="preserve"> S</w:t>
      </w:r>
      <w:r>
        <w:rPr>
          <w:sz w:val="20"/>
          <w:szCs w:val="20"/>
        </w:rPr>
        <w:t>3</w:t>
      </w:r>
      <w:r>
        <w:rPr>
          <w:rFonts w:hint="eastAsia"/>
          <w:sz w:val="20"/>
          <w:szCs w:val="20"/>
        </w:rPr>
        <w:t xml:space="preserve"> Heat map of correlation between socioeconomic factors and microplastics risk index</w:t>
      </w:r>
    </w:p>
    <w:p>
      <w:pPr>
        <w:ind w:firstLine="400"/>
        <w:jc w:val="center"/>
        <w:rPr>
          <w:sz w:val="20"/>
          <w:szCs w:val="20"/>
        </w:rPr>
      </w:pPr>
    </w:p>
    <w:p>
      <w:pPr>
        <w:adjustRightInd w:val="0"/>
        <w:spacing w:line="240" w:lineRule="auto"/>
        <w:ind w:firstLine="0" w:firstLineChars="0"/>
        <w:jc w:val="left"/>
        <w:outlineLvl w:val="1"/>
        <w:rPr>
          <w:b/>
          <w:bCs/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030220" cy="1996440"/>
            <wp:effectExtent l="0" t="0" r="0" b="3810"/>
            <wp:docPr id="1455942243" name="图片 1455942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942243" name="图片 145594224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2589" cy="20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drawing>
          <wp:inline distT="0" distB="0" distL="0" distR="0">
            <wp:extent cx="3035935" cy="2023745"/>
            <wp:effectExtent l="0" t="0" r="0" b="0"/>
            <wp:docPr id="1073230307" name="图片 107323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230307" name="图片 107323030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1139" cy="203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20" w:line="240" w:lineRule="auto"/>
        <w:ind w:firstLine="0" w:firstLineChars="0"/>
        <w:jc w:val="center"/>
        <w:rPr>
          <w:sz w:val="20"/>
          <w:szCs w:val="20"/>
        </w:rPr>
      </w:pPr>
    </w:p>
    <w:p>
      <w:pPr>
        <w:spacing w:after="120" w:line="240" w:lineRule="auto"/>
        <w:ind w:firstLine="0" w:firstLineChars="0"/>
        <w:jc w:val="center"/>
        <w:rPr>
          <w:sz w:val="20"/>
          <w:szCs w:val="20"/>
        </w:rPr>
      </w:pPr>
    </w:p>
    <w:p>
      <w:pPr>
        <w:pStyle w:val="18"/>
        <w:shd w:val="clear" w:color="auto" w:fill="FFFFFF"/>
        <w:spacing w:before="0" w:beforeAutospacing="0" w:after="163" w:afterAutospacing="0"/>
        <w:ind w:firstLine="480"/>
        <w:outlineLvl w:val="2"/>
        <w:rPr>
          <w:rFonts w:ascii="Times New Roman" w:hAnsi="Times New Roman" w:cs="Times New Roman"/>
          <w:color w:val="2A2B2E"/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r>
        <w:rPr>
          <w:rFonts w:ascii="Times New Roman" w:hAnsi="Times New Roman" w:cs="Times New Roman"/>
          <w:sz w:val="20"/>
          <w:szCs w:val="20"/>
        </w:rPr>
        <w:t xml:space="preserve">Fig. S4 </w:t>
      </w:r>
      <w:r>
        <w:rPr>
          <w:rFonts w:ascii="Times New Roman" w:hAnsi="Times New Roman" w:cs="Times New Roman"/>
          <w:color w:val="2A2B2E"/>
          <w:sz w:val="20"/>
          <w:szCs w:val="20"/>
        </w:rPr>
        <w:t xml:space="preserve">Daily intake </w:t>
      </w:r>
      <w:r>
        <w:rPr>
          <w:rFonts w:hint="eastAsia" w:ascii="Times New Roman" w:hAnsi="Times New Roman" w:cs="Times New Roman"/>
          <w:color w:val="2A2B2E"/>
          <w:sz w:val="20"/>
          <w:szCs w:val="20"/>
        </w:rPr>
        <w:t>of</w:t>
      </w:r>
      <w:r>
        <w:rPr>
          <w:rFonts w:ascii="Times New Roman" w:hAnsi="Times New Roman" w:cs="Times New Roman"/>
          <w:color w:val="2A2B2E"/>
          <w:sz w:val="20"/>
          <w:szCs w:val="20"/>
        </w:rPr>
        <w:t xml:space="preserve"> MPs of different genders in different age groups under land use types (A: 0-1mm, B: 1-5mm)</w:t>
      </w:r>
      <w:r>
        <w:rPr>
          <w:rFonts w:hint="eastAsia" w:ascii="Times New Roman" w:hAnsi="Times New Roman" w:cs="Times New Roman"/>
          <w:color w:val="2A2B2E"/>
          <w:sz w:val="20"/>
          <w:szCs w:val="20"/>
        </w:rPr>
        <w:t xml:space="preserve"> </w:t>
      </w:r>
    </w:p>
    <w:p>
      <w:pPr>
        <w:pStyle w:val="18"/>
        <w:shd w:val="clear" w:color="auto" w:fill="FFFFFF"/>
        <w:spacing w:before="0" w:beforeAutospacing="0" w:after="163" w:afterAutospacing="0"/>
        <w:ind w:firstLine="480"/>
        <w:outlineLvl w:val="2"/>
        <w:rPr>
          <w:rFonts w:ascii="Times New Roman" w:hAnsi="Times New Roman" w:cs="Times New Roman"/>
          <w:color w:val="2A2B2E"/>
          <w:sz w:val="20"/>
          <w:szCs w:val="20"/>
        </w:rPr>
      </w:pPr>
    </w:p>
    <w:p>
      <w:pPr>
        <w:pStyle w:val="2"/>
        <w:spacing w:after="163" w:line="240" w:lineRule="auto"/>
        <w:ind w:firstLine="0" w:firstLineChars="0"/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035935" cy="2023745"/>
            <wp:effectExtent l="0" t="0" r="0" b="0"/>
            <wp:docPr id="1902695249" name="图片 1902695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695249" name="图片 190269524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7207" cy="2031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drawing>
          <wp:inline distT="0" distB="0" distL="0" distR="0">
            <wp:extent cx="2994025" cy="2083435"/>
            <wp:effectExtent l="0" t="0" r="0" b="0"/>
            <wp:docPr id="1517066867" name="图片 1517066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066867" name="图片 151706686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10093" cy="209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after="163" w:line="240" w:lineRule="auto"/>
        <w:ind w:firstLine="0" w:firstLineChars="0"/>
        <w:rPr>
          <w:b w:val="0"/>
          <w:bCs w:val="0"/>
          <w:color w:val="2A2B2E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Fig. S5 Daily average intake </w:t>
      </w:r>
      <w:r>
        <w:rPr>
          <w:rFonts w:hint="eastAsia"/>
          <w:b w:val="0"/>
          <w:bCs w:val="0"/>
          <w:sz w:val="20"/>
          <w:szCs w:val="20"/>
        </w:rPr>
        <w:t>of</w:t>
      </w:r>
      <w:r>
        <w:rPr>
          <w:b w:val="0"/>
          <w:bCs w:val="0"/>
          <w:sz w:val="20"/>
          <w:szCs w:val="20"/>
        </w:rPr>
        <w:t xml:space="preserve"> MPs of different genders in different age groups under administrative regions </w:t>
      </w:r>
      <w:r>
        <w:rPr>
          <w:b w:val="0"/>
          <w:bCs w:val="0"/>
          <w:color w:val="2A2B2E"/>
          <w:sz w:val="20"/>
          <w:szCs w:val="20"/>
        </w:rPr>
        <w:t>(A: 0-1mm, B: 1-5mm)</w:t>
      </w:r>
      <w:r>
        <w:rPr>
          <w:rFonts w:hint="eastAsia"/>
          <w:b w:val="0"/>
          <w:bCs w:val="0"/>
          <w:color w:val="2A2B2E"/>
          <w:sz w:val="20"/>
          <w:szCs w:val="20"/>
        </w:rPr>
        <w:t xml:space="preserve"> </w:t>
      </w:r>
    </w:p>
    <w:p>
      <w:pPr>
        <w:ind w:firstLine="2800" w:firstLineChars="14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3200" w:firstLineChars="1600"/>
        <w:jc w:val="left"/>
        <w:rPr>
          <w:sz w:val="20"/>
          <w:szCs w:val="20"/>
        </w:rPr>
      </w:pPr>
    </w:p>
    <w:p>
      <w:pPr>
        <w:ind w:firstLine="400"/>
        <w:jc w:val="center"/>
        <w:rPr>
          <w:rFonts w:eastAsia="宋体"/>
          <w:sz w:val="20"/>
          <w:szCs w:val="20"/>
        </w:rPr>
      </w:pPr>
    </w:p>
    <w:p>
      <w:pPr>
        <w:ind w:firstLine="400"/>
        <w:jc w:val="center"/>
        <w:rPr>
          <w:rFonts w:eastAsia="宋体"/>
          <w:sz w:val="20"/>
          <w:szCs w:val="20"/>
        </w:rPr>
      </w:pPr>
    </w:p>
    <w:p>
      <w:pPr>
        <w:ind w:firstLine="400"/>
        <w:rPr>
          <w:rFonts w:eastAsia="宋体"/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ind w:firstLine="400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drawing>
          <wp:inline distT="0" distB="0" distL="114300" distR="114300">
            <wp:extent cx="9462770" cy="3938270"/>
            <wp:effectExtent l="0" t="0" r="11430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462770" cy="393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100"/>
        <w:jc w:val="center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t>Fig. S6 Comparison of EDI values of different age groups under different land use types</w:t>
      </w:r>
      <w:r>
        <w:rPr>
          <w:rFonts w:hint="eastAsia" w:eastAsia="宋体"/>
          <w:sz w:val="20"/>
          <w:szCs w:val="20"/>
        </w:rPr>
        <w:t xml:space="preserve"> (0-1mm)</w:t>
      </w:r>
    </w:p>
    <w:p>
      <w:pPr>
        <w:ind w:firstLine="400"/>
        <w:rPr>
          <w:rFonts w:eastAsia="宋体"/>
          <w:sz w:val="20"/>
          <w:szCs w:val="20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DB3CB3"/>
    <w:multiLevelType w:val="multilevel"/>
    <w:tmpl w:val="62DB3CB3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 w:ascii="Times New Roman" w:hAnsi="Times New Roman" w:eastAsia="等线" w:cs="Times New Roman"/>
      </w:rPr>
    </w:lvl>
    <w:lvl w:ilvl="1" w:tentative="0">
      <w:start w:val="1"/>
      <w:numFmt w:val="decimal"/>
      <w:isLgl/>
      <w:lvlText w:val="%1.%2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wZDAwMmUxNjJhYzBkM2M4YWM5YjUyMjgyNzhiMTYifQ=="/>
  </w:docVars>
  <w:rsids>
    <w:rsidRoot w:val="433675ED"/>
    <w:rsid w:val="00020D35"/>
    <w:rsid w:val="00255A41"/>
    <w:rsid w:val="00291279"/>
    <w:rsid w:val="002B465F"/>
    <w:rsid w:val="006731C6"/>
    <w:rsid w:val="006914B6"/>
    <w:rsid w:val="00753038"/>
    <w:rsid w:val="007875C5"/>
    <w:rsid w:val="007A1515"/>
    <w:rsid w:val="007D2A2D"/>
    <w:rsid w:val="008C3745"/>
    <w:rsid w:val="008E6968"/>
    <w:rsid w:val="0090434C"/>
    <w:rsid w:val="00A437F4"/>
    <w:rsid w:val="00A546EB"/>
    <w:rsid w:val="00AB2E43"/>
    <w:rsid w:val="00B86242"/>
    <w:rsid w:val="00BD5834"/>
    <w:rsid w:val="00C64B3D"/>
    <w:rsid w:val="00C73534"/>
    <w:rsid w:val="00C87A5D"/>
    <w:rsid w:val="00E45377"/>
    <w:rsid w:val="00ED0FCD"/>
    <w:rsid w:val="00ED2AD6"/>
    <w:rsid w:val="00EE0D77"/>
    <w:rsid w:val="00EF612E"/>
    <w:rsid w:val="10B169D0"/>
    <w:rsid w:val="17074A52"/>
    <w:rsid w:val="1B42150E"/>
    <w:rsid w:val="26111678"/>
    <w:rsid w:val="26445799"/>
    <w:rsid w:val="26E262DE"/>
    <w:rsid w:val="322C76FF"/>
    <w:rsid w:val="42436911"/>
    <w:rsid w:val="433675ED"/>
    <w:rsid w:val="47F646ED"/>
    <w:rsid w:val="487E5F4A"/>
    <w:rsid w:val="49644595"/>
    <w:rsid w:val="4D922033"/>
    <w:rsid w:val="50D17AA6"/>
    <w:rsid w:val="51BD5F8B"/>
    <w:rsid w:val="5C1546C5"/>
    <w:rsid w:val="6A573944"/>
    <w:rsid w:val="6B8005EE"/>
    <w:rsid w:val="713F0604"/>
    <w:rsid w:val="71DD4436"/>
    <w:rsid w:val="737F2CF3"/>
    <w:rsid w:val="7970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Times New Roman" w:cs="Times New Roman"/>
      <w:kern w:val="2"/>
      <w:sz w:val="24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after="260" w:afterLines="50" w:line="415" w:lineRule="auto"/>
      <w:ind w:firstLine="480"/>
      <w:outlineLvl w:val="2"/>
    </w:pPr>
    <w:rPr>
      <w:rFonts w:eastAsia="宋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</w:style>
  <w:style w:type="character" w:styleId="8">
    <w:name w:val="FollowedHyperlink"/>
    <w:basedOn w:val="7"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3 字符"/>
    <w:basedOn w:val="7"/>
    <w:link w:val="2"/>
    <w:qFormat/>
    <w:uiPriority w:val="0"/>
    <w:rPr>
      <w:b/>
      <w:bCs/>
      <w:kern w:val="2"/>
      <w:sz w:val="32"/>
      <w:szCs w:val="32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2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页眉 字符"/>
    <w:basedOn w:val="7"/>
    <w:link w:val="4"/>
    <w:uiPriority w:val="0"/>
    <w:rPr>
      <w:rFonts w:eastAsia="Times New Roman"/>
      <w:kern w:val="2"/>
      <w:sz w:val="18"/>
      <w:szCs w:val="18"/>
    </w:rPr>
  </w:style>
  <w:style w:type="character" w:customStyle="1" w:styleId="16">
    <w:name w:val="页脚 字符"/>
    <w:basedOn w:val="7"/>
    <w:link w:val="3"/>
    <w:qFormat/>
    <w:uiPriority w:val="0"/>
    <w:rPr>
      <w:rFonts w:eastAsia="Times New Roman"/>
      <w:kern w:val="2"/>
      <w:sz w:val="18"/>
      <w:szCs w:val="18"/>
    </w:rPr>
  </w:style>
  <w:style w:type="paragraph" w:customStyle="1" w:styleId="17">
    <w:name w:val="Revision"/>
    <w:hidden/>
    <w:unhideWhenUsed/>
    <w:qFormat/>
    <w:uiPriority w:val="99"/>
    <w:rPr>
      <w:rFonts w:ascii="Times New Roman" w:hAnsi="Times New Roman" w:eastAsia="Times New Roman" w:cs="Times New Roman"/>
      <w:kern w:val="2"/>
      <w:sz w:val="24"/>
      <w:szCs w:val="22"/>
      <w:lang w:val="en-US" w:eastAsia="zh-CN" w:bidi="ar-SA"/>
    </w:rPr>
  </w:style>
  <w:style w:type="paragraph" w:customStyle="1" w:styleId="18">
    <w:name w:val="src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19">
    <w:name w:val="msonormal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eastAsia="宋体"/>
      <w:kern w:val="0"/>
      <w:szCs w:val="24"/>
    </w:rPr>
  </w:style>
  <w:style w:type="paragraph" w:customStyle="1" w:styleId="21">
    <w:name w:val="font6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eastAsia="宋体"/>
      <w:kern w:val="0"/>
      <w:szCs w:val="24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23">
    <w:name w:val="xl130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eastAsia="宋体"/>
      <w:kern w:val="0"/>
      <w:szCs w:val="24"/>
    </w:rPr>
  </w:style>
  <w:style w:type="paragraph" w:customStyle="1" w:styleId="24">
    <w:name w:val="xl131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eastAsia="宋体"/>
      <w:kern w:val="0"/>
      <w:szCs w:val="24"/>
    </w:rPr>
  </w:style>
  <w:style w:type="paragraph" w:customStyle="1" w:styleId="25">
    <w:name w:val="xl132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eastAsia="宋体"/>
      <w:kern w:val="0"/>
      <w:szCs w:val="24"/>
    </w:rPr>
  </w:style>
  <w:style w:type="paragraph" w:customStyle="1" w:styleId="26">
    <w:name w:val="xl133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eastAsia="宋体"/>
      <w:kern w:val="0"/>
      <w:szCs w:val="24"/>
    </w:rPr>
  </w:style>
  <w:style w:type="paragraph" w:customStyle="1" w:styleId="27">
    <w:name w:val="xl134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eastAsia="宋体"/>
      <w:kern w:val="0"/>
      <w:szCs w:val="24"/>
    </w:rPr>
  </w:style>
  <w:style w:type="paragraph" w:customStyle="1" w:styleId="28">
    <w:name w:val="xl135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29">
    <w:name w:val="xl13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0">
    <w:name w:val="xl137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1">
    <w:name w:val="xl138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2">
    <w:name w:val="xl139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3">
    <w:name w:val="xl140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4">
    <w:name w:val="xl141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5">
    <w:name w:val="xl142"/>
    <w:basedOn w:val="1"/>
    <w:qFormat/>
    <w:uiPriority w:val="0"/>
    <w:pPr>
      <w:widowControl/>
      <w:shd w:val="clear" w:color="000000" w:fill="F2DCDB"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6">
    <w:name w:val="xl143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7">
    <w:name w:val="xl144"/>
    <w:basedOn w:val="1"/>
    <w:qFormat/>
    <w:uiPriority w:val="0"/>
    <w:pPr>
      <w:widowControl/>
      <w:shd w:val="clear" w:color="000000" w:fill="F2DCDB"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8">
    <w:name w:val="xl145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39">
    <w:name w:val="xl14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</w:pPr>
    <w:rPr>
      <w:rFonts w:eastAsia="宋体"/>
      <w:kern w:val="0"/>
      <w:szCs w:val="24"/>
    </w:rPr>
  </w:style>
  <w:style w:type="paragraph" w:customStyle="1" w:styleId="40">
    <w:name w:val="xl147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eastAsia="宋体"/>
      <w:kern w:val="0"/>
      <w:szCs w:val="24"/>
    </w:rPr>
  </w:style>
  <w:style w:type="paragraph" w:customStyle="1" w:styleId="41">
    <w:name w:val="xl148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42">
    <w:name w:val="xl149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43">
    <w:name w:val="xl150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  <w:textAlignment w:val="top"/>
    </w:pPr>
    <w:rPr>
      <w:rFonts w:eastAsia="宋体"/>
      <w:kern w:val="0"/>
      <w:szCs w:val="24"/>
    </w:rPr>
  </w:style>
  <w:style w:type="paragraph" w:customStyle="1" w:styleId="44">
    <w:name w:val="xl151"/>
    <w:basedOn w:val="1"/>
    <w:uiPriority w:val="0"/>
    <w:pPr>
      <w:widowControl/>
      <w:shd w:val="clear" w:color="000000" w:fill="F2DCDB"/>
      <w:spacing w:before="100" w:beforeAutospacing="1" w:after="100" w:afterAutospacing="1" w:line="240" w:lineRule="auto"/>
      <w:ind w:firstLine="0" w:firstLineChars="0"/>
      <w:jc w:val="left"/>
      <w:textAlignment w:val="top"/>
    </w:pPr>
    <w:rPr>
      <w:rFonts w:eastAsia="宋体"/>
      <w:kern w:val="0"/>
      <w:szCs w:val="24"/>
    </w:rPr>
  </w:style>
  <w:style w:type="paragraph" w:customStyle="1" w:styleId="45">
    <w:name w:val="xl152"/>
    <w:basedOn w:val="1"/>
    <w:qFormat/>
    <w:uiPriority w:val="0"/>
    <w:pPr>
      <w:widowControl/>
      <w:shd w:val="clear" w:color="000000" w:fill="F2DCDB"/>
      <w:spacing w:before="100" w:beforeAutospacing="1" w:after="100" w:afterAutospacing="1" w:line="240" w:lineRule="auto"/>
      <w:ind w:firstLine="0" w:firstLineChars="0"/>
      <w:jc w:val="left"/>
      <w:textAlignment w:val="top"/>
    </w:pPr>
    <w:rPr>
      <w:rFonts w:eastAsia="宋体"/>
      <w:kern w:val="0"/>
      <w:szCs w:val="24"/>
    </w:rPr>
  </w:style>
  <w:style w:type="paragraph" w:customStyle="1" w:styleId="46">
    <w:name w:val="xl153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  <w:textAlignment w:val="top"/>
    </w:pPr>
    <w:rPr>
      <w:rFonts w:eastAsia="宋体"/>
      <w:kern w:val="0"/>
      <w:szCs w:val="24"/>
    </w:rPr>
  </w:style>
  <w:style w:type="paragraph" w:customStyle="1" w:styleId="47">
    <w:name w:val="xl154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left"/>
      <w:textAlignment w:val="top"/>
    </w:pPr>
    <w:rPr>
      <w:rFonts w:eastAsia="宋体"/>
      <w:kern w:val="0"/>
      <w:szCs w:val="24"/>
    </w:rPr>
  </w:style>
  <w:style w:type="paragraph" w:styleId="48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numbering" Target="numbering.xm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FABB9-506A-4FF2-BA44-A24A54C3BE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745</Words>
  <Characters>4331</Characters>
  <Lines>32</Lines>
  <Paragraphs>9</Paragraphs>
  <TotalTime>2</TotalTime>
  <ScaleCrop>false</ScaleCrop>
  <LinksUpToDate>false</LinksUpToDate>
  <CharactersWithSpaces>4729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2023-08-13T14:14:00Z</dcterms:created>
  <dc:creator>GYT</dc:creator>
  <cp:lastModifiedBy>Jian XU</cp:lastModifiedBy>
  <dcterms:modified xsi:type="dcterms:W3CDTF">2023-08-30T23:11:49Z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79F4602DE2764E3093D604A2F66D3482</vt:lpwstr>
  </property>
</Properties>
</file>