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A652F0" w14:textId="77777777" w:rsidR="0069754C" w:rsidRPr="002F51B4" w:rsidRDefault="0069754C" w:rsidP="0069754C">
      <w:pPr>
        <w:pStyle w:val="Heading1"/>
      </w:pPr>
      <w:r w:rsidRPr="002F51B4">
        <w:t>Appendix A. Search strategy structure for all the databases searched</w:t>
      </w:r>
    </w:p>
    <w:p w14:paraId="56C88B97"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 xml:space="preserve">#1 Search </w:t>
      </w:r>
      <w:r w:rsidRPr="002F51B4">
        <w:rPr>
          <w:rFonts w:ascii="Times New Roman" w:eastAsia="Aptos" w:hAnsi="Times New Roman" w:cs="Times New Roman"/>
          <w:b/>
          <w:bCs/>
          <w:sz w:val="20"/>
          <w:szCs w:val="20"/>
        </w:rPr>
        <w:t>for</w:t>
      </w:r>
      <w:r w:rsidRPr="002F51B4">
        <w:rPr>
          <w:rFonts w:ascii="Times New Roman" w:hAnsi="Times New Roman" w:cs="Times New Roman"/>
          <w:b/>
          <w:bCs/>
          <w:sz w:val="20"/>
          <w:szCs w:val="20"/>
        </w:rPr>
        <w:t xml:space="preserve"> executive function</w:t>
      </w:r>
    </w:p>
    <w:p w14:paraId="66A007DB"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'executive function'/syn OR 'inhibitory control'/syn OR 'cognitive flexibility'/syn OR 'selective attention'/syn OR 'set shifting'/syn OR 'set shifting task'/syn OR ('prefrontal cortex'/exp NOT 'Brodmann area 9'/syn) OR ("cognitive processes" OR "cognitive control" OR "executive control" OR "executive function" OR "cognitive ability" OR "set shifting" OR "task switching" OR "inhibitory control" OR "cognitive flexibility" OR "selective attention" OR "set shifting task" OR " higher order processes" OR "cognitive functioning" OR "cognitive health" OR "executive functioning" OR "intellectual functioning" OR "cognitive ability" OR "prefrontal cortex"):ti,ab,kw</w:t>
      </w:r>
    </w:p>
    <w:p w14:paraId="245A3AE5"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 xml:space="preserve">#2 Search </w:t>
      </w:r>
      <w:r w:rsidRPr="002F51B4">
        <w:rPr>
          <w:rFonts w:ascii="Times New Roman" w:eastAsia="Aptos" w:hAnsi="Times New Roman" w:cs="Times New Roman"/>
          <w:b/>
          <w:bCs/>
          <w:sz w:val="20"/>
          <w:szCs w:val="20"/>
        </w:rPr>
        <w:t>for</w:t>
      </w:r>
      <w:r w:rsidRPr="002F51B4">
        <w:rPr>
          <w:rFonts w:ascii="Times New Roman" w:hAnsi="Times New Roman" w:cs="Times New Roman"/>
          <w:b/>
          <w:bCs/>
          <w:sz w:val="20"/>
          <w:szCs w:val="20"/>
        </w:rPr>
        <w:t xml:space="preserve"> neuropsychological assessment and executive function assessment</w:t>
      </w:r>
    </w:p>
    <w:p w14:paraId="349230F8"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 xml:space="preserve">'executive function test'/syn OR 'Wisconsin Card Sorting Test'/syn OR 'Stroop test'/syn OR 'trail making test'/syn OR 'neuropsychological assessment'/syn OR 'cognitive function test'/syn OR 'Luria-Nebraska neuropsychological battery'/syn OR 'frontal assessment battery'/syn OR 'response inhibition'/syn OR 'stop signal task'/syn OR 'memory test'/exp OR ("continuous number addition test" OR "continuous performance task" OR "continuous performance test" OR "cognition test" OR "cognitive abilities test" OR "cognitive ability test" OR "cognitive functioning test" OR "cognitive function test" OR "neuro-psychological assessment" OR "neuro-psychological examination" OR "neuro-psychological test" OR "neuropsychologic test" OR "neuropsychological examination" OR "neuropsychological test" OR "neuropsychological tests" OR "neuropsychology test" OR "test, neuropsychological" OR "neuropsychological assessment" OR "neuropsychological testing" OR "testing, neuropsychological" OR "tests, neuropsychological" OR "cognitive function scanner" OR "continuous performance task" OR "test of everyday attention" OR "tower of London test" OR "cambridge neuropsychological" OR "test automated battery" OR "repeatable battery for the assessment of neuropsychological status" OR "delis-kaplan executive function system" OR "cognitive testing" OR "testing, cognitive" OR "cognitive tests" OR "cognitive test" OR "test, cognitive" OR "tests, cognitive" OR "brief cognitive status exam" OR "stroop task" OR "stroop effect" OR "stroop paradigm" OR "halstead category test" OR "seashore rhythm test" OR "speech sounds perception test" OR "halstead-reitan neuropsychological battery" OR "halstead-reitan battery" OR "tactual performance test" OR "modified wisconsin card sorting test" OR "M-WCST" OR "Stroop color and word test" OR "Stroop color naming task" OR "Stroop </w:t>
      </w:r>
      <w:r w:rsidRPr="002F51B4">
        <w:rPr>
          <w:rFonts w:ascii="Times New Roman" w:hAnsi="Times New Roman" w:cs="Times New Roman"/>
          <w:sz w:val="20"/>
          <w:szCs w:val="20"/>
        </w:rPr>
        <w:lastRenderedPageBreak/>
        <w:t xml:space="preserve">color naming test" OR "Stroop color word conflict test" OR "Stroop color word test" OR "Stroop color and word test" OR "Stroop color naming task" OR "Stroop color naming test" OR "Stroop color word conflict test" OR "Stroop color word test" OR "Stroop effect" OR "Stroop effects" OR "Stroop interference" OR "Stroop paradigm" OR "Stroop paradigms" OR "Stroop performance" OR "Stroop task" OR "Stroop tasks" OR "Stroop tests" OR "Stroop word color test" OR "Stroop word color test" OR "Stroop`s color word conflict test" OR "Stroop`s color word conflict test" OR "Stroop`s test" OR "Stroop test" OR "decision making assessment" OR "decision making test" OR "decision making task" OR "go/no go test" OR "go/no-go procedure" OR "go/no-go response procedure" OR "go/no-go task" OR "Go No Go task" OR "executive function task" OR "problem solving task" OR "problem solving test" OR "executive function test" OR "behavior rating inventory of executive function" OR "behavior rating inventory of executive function" OR "tower of Hanoi test" OR "tower of Toronto test" OR "tower of London test" OR "D-KEFS" OR "D-KEFS battery" OR "Delis-Kaplan Executive Functioning System" OR "Delis-Kaplan Executive Functions system" OR "Delis-Kaplan executive function system" OR "behavior rating inventory of executive function" OR "cognitive assessment" OR "neuropsychological assessment" OR "luria nebraska neuropsychological Battery" OR "stroop color word test" OR "task switching" OR "wisconsin card sorting test" OR "cognitive measures" OR "memory and learning measures" OR "avaliação do desenvolvimento neuropsicológico" OR "bateria automatizada de teste neuropsicológico de cambridge" OR "bateria repetível para avaliação do estado neuropsicológico" OR "escâner de função cognitiva" OR "exame cognitivo" OR "figura complexa de rey-osterrieth" OR "nepsy" OR "scanner de função cognitiva" OR "sistema de função executiva de delis-kaplan" OR "tarefa de desempenho contínuo" OR "teste cognitivo" OR "teste da memória para desenhos" OR "teste da torre de londres" OR "teste de desempenho contínuo" OR "teste de fluidez verbal (cowat) teste de organização visual de hooper" OR "teste do desenho do relógio" OR "teste do relógio" OR "teste neuropsicológico" OR "teste oral controlado da associação de palavras" OR "testes cognitivos" OR "testes de afasia" OR "aphasia tests" OR "behavioral assessment of dysexecutive syndrome" OR "cambridge neuropsychological test automated Battery" OR "cognitive function scanner" OR "cognitive test" OR "cognitive testing" OR "cognitive tests" OR "continuous performance task" OR "controlled oral word association test" OR "delis-kaplan executive function system" OR "developmental neuropsychological assessment" OR "hooper visual organization test" OR "memory for designs test" OR "neuropsychologic test" OR "neuropsychologic tests" OR "neuropsychological test" OR "neuropsychological testing" OR "repeatable battery for the assessment of neuropsychological status" OR "rey-osterrieth complex figure" </w:t>
      </w:r>
      <w:r w:rsidRPr="002F51B4">
        <w:rPr>
          <w:rFonts w:ascii="Times New Roman" w:hAnsi="Times New Roman" w:cs="Times New Roman"/>
          <w:sz w:val="20"/>
          <w:szCs w:val="20"/>
        </w:rPr>
        <w:lastRenderedPageBreak/>
        <w:t>OR "symbol digit modalities test" OR "test, cognitive" OR "test, neuropsychological" OR "testing, cognitive" OR "testing, neuropsychological" OR "tests, cognitive" OR "tests, neuropsychological" OR "tower of london test" OR "tarefa de stroop" OR "bateria neuropsicológica de halstead-reitan" OR "teste modificado de classificação de cartas de wisconsin" OR "teste de classificação de cartas modificado de wisconsin" OR "teste de classificação de cartas de wisconsin modificado" OR "teste de classificação de cartas de wisconsin versão modificada" OR "bateria neuropsicológica de luria-nebraska" OR "luria-nebraska neuropsychological Battery" OR "teste de stroop" OR "stroop test" OR "teste de classificação de cartas de wisconsin" OR "wisconsin card sorting test"):ti,ab,kw</w:t>
      </w:r>
    </w:p>
    <w:p w14:paraId="676D6266"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#3 Search for healthy adults</w:t>
      </w:r>
    </w:p>
    <w:p w14:paraId="6A64C7C2"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‘normal human’/syn OR ‘healthy adults’/syn OR 'adult'/syn OR 'Middle aged'/syn OR 'young adult'/syn or 'aging'/syn OR ("pessoa de meia-idade" OR "middle aged" OR "adulto de meia idade" OR "adultos de meia-idade" OR "meia idade" OR "meia-idade" OR "pessoas de meia-idade" OR "adult" OR "adults" OR "young adults" OR "adultos jovens" OR "jovens adultos" OR "adultos" OR "aged people" OR "aged person" OR "aged subject" OR "elderly" OR "elderly people" OR "elderly person" OR "elderly subject" OR "senior citizen" OR "aged" OR "middle adulthood" OR "older adulthood" OR "Emerging Adulthood" OR "Middle age"):ti,ab,kw</w:t>
      </w:r>
    </w:p>
    <w:p w14:paraId="37503C1D"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#4 Preliminary results</w:t>
      </w:r>
    </w:p>
    <w:p w14:paraId="1C1EE7D3"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#1 AND #2 AND #3</w:t>
      </w:r>
    </w:p>
    <w:p w14:paraId="68B04179"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#5 Exclusion</w:t>
      </w:r>
    </w:p>
    <w:p w14:paraId="4CCCA529"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('dyslexia'/syn OR 'childhood'/syn OR 'impairment'/syn OR 'inflammation'/de OR 'injury'/syn OR 'Alzheimer disease'/syn OR 'brain damage'/syn OR 'brain disease'/syn OR 'syndrome'/syn OR 'mental deficiency'/syn OR 'intellectual impairment'/syn OR 'training'/syn OR 'diseases'/syn OR ('dyslexia' OR 'childhood' OR 'impairment' OR 'inflammation' OR 'injury' OR 'Alzheimer disease' OR 'brain damage' OR 'brain disease' OR 'syndrome' OR 'mental deficiency' OR 'intellectual impairment' OR 'training' OR 'diseases' OR 'disorder' OR 'impairment' OR Children OR adolescent* OR infant* OR 'Young People' OR 'Kids' ):ti,ab,kw)</w:t>
      </w:r>
    </w:p>
    <w:p w14:paraId="61E8E671"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 xml:space="preserve"> #6 Results for all periods</w:t>
      </w:r>
    </w:p>
    <w:p w14:paraId="3EDD6101"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#4 NOT #5</w:t>
      </w:r>
    </w:p>
    <w:p w14:paraId="4DDF490A"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#7 Results for the publication period</w:t>
      </w:r>
    </w:p>
    <w:p w14:paraId="0A01F122"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#7 AND [2013-2023]/py</w:t>
      </w:r>
    </w:p>
    <w:p w14:paraId="078C596E"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br w:type="page"/>
      </w:r>
    </w:p>
    <w:p w14:paraId="2E4F8DA7" w14:textId="77777777" w:rsidR="0069754C" w:rsidRPr="002F51B4" w:rsidRDefault="0069754C" w:rsidP="0069754C">
      <w:pPr>
        <w:pStyle w:val="Heading1"/>
      </w:pPr>
      <w:r w:rsidRPr="002F51B4">
        <w:lastRenderedPageBreak/>
        <w:t>Appendix B. Adapted version of the QUADAS-II</w:t>
      </w:r>
    </w:p>
    <w:p w14:paraId="3CFA1E74"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Guidance for analyzing the risk of bias</w:t>
      </w:r>
    </w:p>
    <w:p w14:paraId="626F195C"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eastAsia="Aptos" w:hAnsi="Times New Roman" w:cs="Times New Roman"/>
          <w:sz w:val="20"/>
          <w:szCs w:val="20"/>
        </w:rPr>
        <w:t>To</w:t>
      </w:r>
      <w:r w:rsidRPr="002F51B4">
        <w:rPr>
          <w:rFonts w:ascii="Times New Roman" w:hAnsi="Times New Roman" w:cs="Times New Roman"/>
          <w:sz w:val="20"/>
          <w:szCs w:val="20"/>
        </w:rPr>
        <w:t xml:space="preserve"> tailor the QUADAS-II </w:t>
      </w:r>
      <w:r w:rsidRPr="002F51B4">
        <w:rPr>
          <w:rFonts w:ascii="Times New Roman" w:hAnsi="Times New Roman" w:cs="Times New Roman"/>
          <w:sz w:val="20"/>
          <w:szCs w:val="20"/>
        </w:rPr>
        <w:fldChar w:fldCharType="begin"/>
      </w:r>
      <w:r w:rsidRPr="002F51B4">
        <w:rPr>
          <w:rFonts w:ascii="Times New Roman" w:hAnsi="Times New Roman" w:cs="Times New Roman"/>
          <w:sz w:val="20"/>
          <w:szCs w:val="20"/>
        </w:rPr>
        <w:instrText xml:space="preserve"> ADDIN ZOTERO_ITEM CSL_CITATION {"citationID":"zcQbEnfm","properties":{"formattedCitation":"(35)","plainCitation":"(35)","noteIndex":0},"citationItems":[{"id":673,"uris":["http://zotero.org/users/local/U8bdnYIb/items/N9UFESEK"],"itemData":{"id":673,"type":"article-journal","abstract":"In 2003, the QUADAS tool for systematic reviews of diagnostic accuracy studies was developed. Experience, anecdotal reports, and feedback suggested areas for improvement; therefore, QUADAS-2 was developed. This tool comprises 4 domains: patient selection, index test, reference standard, and flow and timing. Each domain is assessed in terms of risk of bias, and the first 3 domains are also assessed in terms of concerns regarding applicability. Signalling questions are included to help judge risk of bias. The QUADAS-2 tool is applied in 4 phases: summarize the review question, tailor the tool and produce review-specific guidance, construct a flow diagram for the primary study, and judge bias and applicability. This tool will allow for more transparent rating of bias and applicability of primary diagnostic accuracy studies.","container-title":"Annals of Internal Medicine","DOI":"10.7326/0003-4819-155-8-201110180-00009","ISSN":"1539-3704","issue":"8","journalAbbreviation":"Ann Intern Med","language":"eng","note":"PMID: 22007046","page":"529-536","source":"PubMed","title":"QUADAS-2: a revised tool for the quality assessment of diagnostic accuracy studies","title-short":"QUADAS-2","volume":"155","author":[{"family":"Whiting","given":"P. F."},{"family":"Rutjes","given":"A. W. S."},{"family":"Westwood","given":"M. E."},{"family":"Mallett","given":"S."},{"family":"Deeks","given":"J. J."},{"family":"Reitsma","given":"J. B."},{"family":"Leeflang","given":"M. M. G"},{"family":"Sterne","given":"J. A. C."},{"family":"Bossuyt","given":"P. M. M."},{"literal":"QUADAS-2 Group"}],"issued":{"date-parts":[["2011",10,18]]}}}],"schema":"https://github.com/citation-style-language/schema/raw/master/csl-citation.json"} </w:instrText>
      </w:r>
      <w:r w:rsidRPr="002F51B4">
        <w:rPr>
          <w:rFonts w:ascii="Times New Roman" w:hAnsi="Times New Roman" w:cs="Times New Roman"/>
          <w:sz w:val="20"/>
          <w:szCs w:val="20"/>
        </w:rPr>
        <w:fldChar w:fldCharType="separate"/>
      </w:r>
      <w:r w:rsidRPr="002F51B4">
        <w:rPr>
          <w:rFonts w:ascii="Times New Roman" w:hAnsi="Times New Roman" w:cs="Times New Roman"/>
          <w:sz w:val="20"/>
        </w:rPr>
        <w:t>(35)</w:t>
      </w:r>
      <w:r w:rsidRPr="002F51B4">
        <w:rPr>
          <w:rFonts w:ascii="Times New Roman" w:hAnsi="Times New Roman" w:cs="Times New Roman"/>
          <w:sz w:val="20"/>
          <w:szCs w:val="20"/>
        </w:rPr>
        <w:fldChar w:fldCharType="end"/>
      </w:r>
      <w:r w:rsidRPr="002F51B4">
        <w:rPr>
          <w:rFonts w:ascii="Times New Roman" w:hAnsi="Times New Roman" w:cs="Times New Roman"/>
          <w:sz w:val="20"/>
          <w:szCs w:val="20"/>
        </w:rPr>
        <w:t xml:space="preserve"> to the subject of this systematic review, the signaling </w:t>
      </w:r>
      <w:r w:rsidRPr="002F51B4">
        <w:rPr>
          <w:rFonts w:ascii="Times New Roman" w:eastAsia="Aptos" w:hAnsi="Times New Roman" w:cs="Times New Roman"/>
          <w:sz w:val="20"/>
          <w:szCs w:val="20"/>
        </w:rPr>
        <w:t>questions</w:t>
      </w:r>
      <w:r w:rsidRPr="002F51B4">
        <w:rPr>
          <w:rFonts w:ascii="Times New Roman" w:hAnsi="Times New Roman" w:cs="Times New Roman"/>
          <w:sz w:val="20"/>
          <w:szCs w:val="20"/>
        </w:rPr>
        <w:t xml:space="preserve"> of each domain were adjusted. The adapted QUADAS-II tool is described below</w:t>
      </w:r>
      <w:r w:rsidRPr="002F51B4">
        <w:rPr>
          <w:rFonts w:ascii="Times New Roman" w:eastAsia="Aptos" w:hAnsi="Times New Roman" w:cs="Times New Roman"/>
          <w:sz w:val="20"/>
          <w:szCs w:val="20"/>
        </w:rPr>
        <w:t>,</w:t>
      </w:r>
      <w:r w:rsidRPr="002F51B4">
        <w:rPr>
          <w:rFonts w:ascii="Times New Roman" w:hAnsi="Times New Roman" w:cs="Times New Roman"/>
          <w:sz w:val="20"/>
          <w:szCs w:val="20"/>
        </w:rPr>
        <w:t xml:space="preserve"> with questions used to </w:t>
      </w:r>
      <w:r w:rsidRPr="002F51B4">
        <w:rPr>
          <w:rFonts w:ascii="Times New Roman" w:eastAsia="Aptos" w:hAnsi="Times New Roman" w:cs="Times New Roman"/>
          <w:sz w:val="20"/>
          <w:szCs w:val="20"/>
        </w:rPr>
        <w:t>guide</w:t>
      </w:r>
      <w:r w:rsidRPr="002F51B4">
        <w:rPr>
          <w:rFonts w:ascii="Times New Roman" w:hAnsi="Times New Roman" w:cs="Times New Roman"/>
          <w:sz w:val="20"/>
          <w:szCs w:val="20"/>
        </w:rPr>
        <w:t xml:space="preserve"> the risk of bias process of the included studies.</w:t>
      </w:r>
    </w:p>
    <w:p w14:paraId="5B2CDABA"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D1 - Participant selection</w:t>
      </w:r>
    </w:p>
    <w:p w14:paraId="62CFF885"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i/>
          <w:iCs/>
          <w:sz w:val="20"/>
          <w:szCs w:val="20"/>
        </w:rPr>
        <w:t>Risk of bias</w:t>
      </w:r>
      <w:r w:rsidRPr="002F51B4">
        <w:rPr>
          <w:rFonts w:ascii="Times New Roman" w:hAnsi="Times New Roman" w:cs="Times New Roman"/>
          <w:sz w:val="20"/>
          <w:szCs w:val="20"/>
        </w:rPr>
        <w:t xml:space="preserve">: Could the selection process of the participants </w:t>
      </w:r>
      <w:r w:rsidRPr="002F51B4">
        <w:rPr>
          <w:rFonts w:ascii="Times New Roman" w:eastAsia="Aptos" w:hAnsi="Times New Roman" w:cs="Times New Roman"/>
          <w:sz w:val="20"/>
          <w:szCs w:val="20"/>
        </w:rPr>
        <w:t>introduce</w:t>
      </w:r>
      <w:r w:rsidRPr="002F51B4">
        <w:rPr>
          <w:rFonts w:ascii="Times New Roman" w:hAnsi="Times New Roman" w:cs="Times New Roman"/>
          <w:sz w:val="20"/>
          <w:szCs w:val="20"/>
        </w:rPr>
        <w:t xml:space="preserve"> bias?</w:t>
      </w:r>
    </w:p>
    <w:p w14:paraId="5F7DF62F" w14:textId="77777777" w:rsidR="0069754C" w:rsidRPr="002F51B4" w:rsidRDefault="0069754C" w:rsidP="0069754C">
      <w:pPr>
        <w:numPr>
          <w:ilvl w:val="0"/>
          <w:numId w:val="1"/>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How were participants recruited (participants were selected randomly?</w:t>
      </w:r>
      <w:r w:rsidRPr="002F51B4">
        <w:rPr>
          <w:rFonts w:ascii="Times New Roman" w:eastAsia="Aptos" w:hAnsi="Times New Roman" w:cs="Times New Roman"/>
          <w:sz w:val="20"/>
          <w:szCs w:val="20"/>
        </w:rPr>
        <w:t>)</w:t>
      </w:r>
      <w:r w:rsidRPr="002F51B4">
        <w:rPr>
          <w:rFonts w:ascii="Times New Roman" w:hAnsi="Times New Roman" w:cs="Times New Roman"/>
          <w:sz w:val="20"/>
          <w:szCs w:val="20"/>
        </w:rPr>
        <w:t>;</w:t>
      </w:r>
    </w:p>
    <w:p w14:paraId="7E5A4A2E" w14:textId="77777777" w:rsidR="0069754C" w:rsidRPr="002F51B4" w:rsidRDefault="0069754C" w:rsidP="0069754C">
      <w:pPr>
        <w:numPr>
          <w:ilvl w:val="0"/>
          <w:numId w:val="1"/>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Do the participants represent the intended population?</w:t>
      </w:r>
    </w:p>
    <w:p w14:paraId="68DCB022"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 xml:space="preserve">Note: </w:t>
      </w:r>
      <w:r w:rsidRPr="002F51B4">
        <w:rPr>
          <w:rFonts w:ascii="Times New Roman" w:eastAsia="Aptos" w:hAnsi="Times New Roman" w:cs="Times New Roman"/>
          <w:sz w:val="20"/>
          <w:szCs w:val="20"/>
        </w:rPr>
        <w:t>With respect to</w:t>
      </w:r>
      <w:r w:rsidRPr="002F51B4">
        <w:rPr>
          <w:rFonts w:ascii="Times New Roman" w:hAnsi="Times New Roman" w:cs="Times New Roman"/>
          <w:sz w:val="20"/>
          <w:szCs w:val="20"/>
        </w:rPr>
        <w:t xml:space="preserve"> this domain</w:t>
      </w:r>
      <w:r w:rsidRPr="002F51B4">
        <w:rPr>
          <w:rFonts w:ascii="Times New Roman" w:eastAsia="Aptos" w:hAnsi="Times New Roman" w:cs="Times New Roman"/>
          <w:sz w:val="20"/>
          <w:szCs w:val="20"/>
        </w:rPr>
        <w:t>,</w:t>
      </w:r>
      <w:r w:rsidRPr="002F51B4">
        <w:rPr>
          <w:rFonts w:ascii="Times New Roman" w:hAnsi="Times New Roman" w:cs="Times New Roman"/>
          <w:sz w:val="20"/>
          <w:szCs w:val="20"/>
        </w:rPr>
        <w:t xml:space="preserve"> the present review considered that convenience sampling represented </w:t>
      </w:r>
      <w:r w:rsidRPr="002F51B4">
        <w:rPr>
          <w:rFonts w:ascii="Times New Roman" w:eastAsia="Aptos" w:hAnsi="Times New Roman" w:cs="Times New Roman"/>
          <w:sz w:val="20"/>
          <w:szCs w:val="20"/>
        </w:rPr>
        <w:t xml:space="preserve">a </w:t>
      </w:r>
      <w:r w:rsidRPr="002F51B4">
        <w:rPr>
          <w:rFonts w:ascii="Times New Roman" w:hAnsi="Times New Roman" w:cs="Times New Roman"/>
          <w:sz w:val="20"/>
          <w:szCs w:val="20"/>
        </w:rPr>
        <w:t>high level of risk of bias.</w:t>
      </w:r>
    </w:p>
    <w:p w14:paraId="755DF811"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i/>
          <w:iCs/>
          <w:sz w:val="20"/>
          <w:szCs w:val="20"/>
        </w:rPr>
        <w:t>Applicability</w:t>
      </w:r>
      <w:r w:rsidRPr="002F51B4">
        <w:rPr>
          <w:rFonts w:ascii="Times New Roman" w:hAnsi="Times New Roman" w:cs="Times New Roman"/>
          <w:sz w:val="20"/>
          <w:szCs w:val="20"/>
        </w:rPr>
        <w:t>:  Is there concern that the included participants do not match the study’s research question?</w:t>
      </w:r>
    </w:p>
    <w:p w14:paraId="31029DB6"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D2 - Index test</w:t>
      </w:r>
    </w:p>
    <w:p w14:paraId="4C691A92"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i/>
          <w:iCs/>
          <w:sz w:val="20"/>
          <w:szCs w:val="20"/>
        </w:rPr>
        <w:t>Risk of bias</w:t>
      </w:r>
      <w:r w:rsidRPr="002F51B4">
        <w:rPr>
          <w:rFonts w:ascii="Times New Roman" w:hAnsi="Times New Roman" w:cs="Times New Roman"/>
          <w:sz w:val="20"/>
          <w:szCs w:val="20"/>
        </w:rPr>
        <w:t>: Could the conduct or interpretation of the EFAT used in the study have introduced bias?</w:t>
      </w:r>
    </w:p>
    <w:p w14:paraId="772D2981" w14:textId="77777777" w:rsidR="0069754C" w:rsidRPr="002F51B4" w:rsidRDefault="0069754C" w:rsidP="0069754C">
      <w:pPr>
        <w:numPr>
          <w:ilvl w:val="0"/>
          <w:numId w:val="2"/>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Was the EFAT appropriate for the objectives of the study (the EF components it intends to investigate)?</w:t>
      </w:r>
    </w:p>
    <w:p w14:paraId="1A9E2B3B" w14:textId="77777777" w:rsidR="0069754C" w:rsidRPr="002F51B4" w:rsidRDefault="0069754C" w:rsidP="0069754C">
      <w:pPr>
        <w:numPr>
          <w:ilvl w:val="0"/>
          <w:numId w:val="2"/>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Were the study results interpreted without knowledge of the results of the gold standard measures (as reference standard)?</w:t>
      </w:r>
    </w:p>
    <w:p w14:paraId="40ED4988" w14:textId="77777777" w:rsidR="0069754C" w:rsidRPr="002F51B4" w:rsidRDefault="0069754C" w:rsidP="0069754C">
      <w:pPr>
        <w:numPr>
          <w:ilvl w:val="0"/>
          <w:numId w:val="2"/>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 xml:space="preserve">If a threshold for reliability and validity was established, was it </w:t>
      </w:r>
      <w:r w:rsidRPr="002F51B4">
        <w:rPr>
          <w:rFonts w:ascii="Times New Roman" w:eastAsia="Aptos" w:hAnsi="Times New Roman" w:cs="Times New Roman"/>
          <w:sz w:val="20"/>
          <w:szCs w:val="20"/>
        </w:rPr>
        <w:t>prespecified</w:t>
      </w:r>
      <w:r w:rsidRPr="002F51B4">
        <w:rPr>
          <w:rFonts w:ascii="Times New Roman" w:hAnsi="Times New Roman" w:cs="Times New Roman"/>
          <w:sz w:val="20"/>
          <w:szCs w:val="20"/>
        </w:rPr>
        <w:t>?</w:t>
      </w:r>
    </w:p>
    <w:p w14:paraId="6A2AAABD"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i/>
          <w:iCs/>
          <w:sz w:val="20"/>
          <w:szCs w:val="20"/>
        </w:rPr>
        <w:t>Applicability:</w:t>
      </w:r>
      <w:r w:rsidRPr="002F51B4">
        <w:rPr>
          <w:rFonts w:ascii="Times New Roman" w:hAnsi="Times New Roman" w:cs="Times New Roman"/>
          <w:sz w:val="20"/>
          <w:szCs w:val="20"/>
        </w:rPr>
        <w:t xml:space="preserve"> Is there concern that the index test (EFAT), its conduct, or interpretation differ from the study objectives?</w:t>
      </w:r>
    </w:p>
    <w:p w14:paraId="01E507AE" w14:textId="77777777" w:rsidR="0069754C" w:rsidRPr="002F51B4" w:rsidRDefault="0069754C" w:rsidP="0069754C">
      <w:pPr>
        <w:rPr>
          <w:rFonts w:ascii="Times New Roman" w:hAnsi="Times New Roman" w:cs="Times New Roman"/>
          <w:b/>
          <w:bCs/>
          <w:sz w:val="20"/>
          <w:szCs w:val="20"/>
        </w:rPr>
      </w:pPr>
      <w:r w:rsidRPr="002F51B4">
        <w:rPr>
          <w:rFonts w:ascii="Times New Roman" w:hAnsi="Times New Roman" w:cs="Times New Roman"/>
          <w:b/>
          <w:bCs/>
          <w:sz w:val="20"/>
          <w:szCs w:val="20"/>
        </w:rPr>
        <w:t>D3 - Reference standard</w:t>
      </w:r>
    </w:p>
    <w:p w14:paraId="4A644AB8"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i/>
          <w:iCs/>
          <w:sz w:val="20"/>
          <w:szCs w:val="20"/>
        </w:rPr>
        <w:t>Risk of bias</w:t>
      </w:r>
      <w:r w:rsidRPr="002F51B4">
        <w:rPr>
          <w:rFonts w:ascii="Times New Roman" w:hAnsi="Times New Roman" w:cs="Times New Roman"/>
          <w:sz w:val="20"/>
          <w:szCs w:val="20"/>
        </w:rPr>
        <w:t xml:space="preserve">: Could the reference standard (which in this review is represented by </w:t>
      </w:r>
      <w:r w:rsidRPr="002F51B4">
        <w:rPr>
          <w:rFonts w:ascii="Times New Roman" w:eastAsia="Aptos" w:hAnsi="Times New Roman" w:cs="Times New Roman"/>
          <w:sz w:val="20"/>
          <w:szCs w:val="20"/>
        </w:rPr>
        <w:t xml:space="preserve">the </w:t>
      </w:r>
      <w:r w:rsidRPr="002F51B4">
        <w:rPr>
          <w:rFonts w:ascii="Times New Roman" w:hAnsi="Times New Roman" w:cs="Times New Roman"/>
          <w:sz w:val="20"/>
          <w:szCs w:val="20"/>
        </w:rPr>
        <w:t xml:space="preserve">widely accepted gold standard EFAT used as </w:t>
      </w:r>
      <w:r w:rsidRPr="002F51B4">
        <w:rPr>
          <w:rFonts w:ascii="Times New Roman" w:eastAsia="Aptos" w:hAnsi="Times New Roman" w:cs="Times New Roman"/>
          <w:sz w:val="20"/>
          <w:szCs w:val="20"/>
        </w:rPr>
        <w:t xml:space="preserve">a </w:t>
      </w:r>
      <w:r w:rsidRPr="002F51B4">
        <w:rPr>
          <w:rFonts w:ascii="Times New Roman" w:hAnsi="Times New Roman" w:cs="Times New Roman"/>
          <w:sz w:val="20"/>
          <w:szCs w:val="20"/>
        </w:rPr>
        <w:t xml:space="preserve">comparison </w:t>
      </w:r>
      <w:r w:rsidRPr="002F51B4">
        <w:rPr>
          <w:rFonts w:ascii="Times New Roman" w:eastAsia="Aptos" w:hAnsi="Times New Roman" w:cs="Times New Roman"/>
          <w:sz w:val="20"/>
          <w:szCs w:val="20"/>
        </w:rPr>
        <w:t>criterion</w:t>
      </w:r>
      <w:r w:rsidRPr="002F51B4">
        <w:rPr>
          <w:rFonts w:ascii="Times New Roman" w:hAnsi="Times New Roman" w:cs="Times New Roman"/>
          <w:sz w:val="20"/>
          <w:szCs w:val="20"/>
        </w:rPr>
        <w:t xml:space="preserve">), its conduct, or its interpretation </w:t>
      </w:r>
      <w:r w:rsidRPr="002F51B4">
        <w:rPr>
          <w:rFonts w:ascii="Times New Roman" w:eastAsia="Aptos" w:hAnsi="Times New Roman" w:cs="Times New Roman"/>
          <w:sz w:val="20"/>
          <w:szCs w:val="20"/>
        </w:rPr>
        <w:t>introduce</w:t>
      </w:r>
      <w:r w:rsidRPr="002F51B4">
        <w:rPr>
          <w:rFonts w:ascii="Times New Roman" w:hAnsi="Times New Roman" w:cs="Times New Roman"/>
          <w:sz w:val="20"/>
          <w:szCs w:val="20"/>
        </w:rPr>
        <w:t xml:space="preserve"> bias?</w:t>
      </w:r>
    </w:p>
    <w:p w14:paraId="04934AA5" w14:textId="77777777" w:rsidR="0069754C" w:rsidRPr="002F51B4" w:rsidRDefault="0069754C" w:rsidP="0069754C">
      <w:pPr>
        <w:numPr>
          <w:ilvl w:val="0"/>
          <w:numId w:val="3"/>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Is the reference standard likely to correctly classify the respective executive ability (Executive Functioning)?</w:t>
      </w:r>
    </w:p>
    <w:p w14:paraId="21A33F3C" w14:textId="77777777" w:rsidR="0069754C" w:rsidRPr="002F51B4" w:rsidRDefault="0069754C" w:rsidP="0069754C">
      <w:pPr>
        <w:numPr>
          <w:ilvl w:val="0"/>
          <w:numId w:val="3"/>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Was the interpretation of reference standard results conducted independently, for instance, without prior knowledge of the study results?</w:t>
      </w:r>
    </w:p>
    <w:p w14:paraId="0EBDA97B"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sz w:val="20"/>
          <w:szCs w:val="20"/>
        </w:rPr>
        <w:lastRenderedPageBreak/>
        <w:t xml:space="preserve"> </w:t>
      </w:r>
      <w:r w:rsidRPr="002F51B4">
        <w:rPr>
          <w:rFonts w:ascii="Times New Roman" w:hAnsi="Times New Roman" w:cs="Times New Roman"/>
          <w:i/>
          <w:iCs/>
          <w:sz w:val="20"/>
          <w:szCs w:val="20"/>
        </w:rPr>
        <w:t>Applicability</w:t>
      </w:r>
      <w:r w:rsidRPr="002F51B4">
        <w:rPr>
          <w:rFonts w:ascii="Times New Roman" w:hAnsi="Times New Roman" w:cs="Times New Roman"/>
          <w:sz w:val="20"/>
          <w:szCs w:val="20"/>
        </w:rPr>
        <w:t xml:space="preserve">: Is there concern that the executive ability as defined by the gold standard measures used in the study (reference standard) does not match the </w:t>
      </w:r>
      <w:r w:rsidRPr="002F51B4">
        <w:rPr>
          <w:rFonts w:ascii="Times New Roman" w:eastAsia="Aptos" w:hAnsi="Times New Roman" w:cs="Times New Roman"/>
          <w:sz w:val="20"/>
          <w:szCs w:val="20"/>
        </w:rPr>
        <w:t>study’s</w:t>
      </w:r>
      <w:r w:rsidRPr="002F51B4">
        <w:rPr>
          <w:rFonts w:ascii="Times New Roman" w:hAnsi="Times New Roman" w:cs="Times New Roman"/>
          <w:sz w:val="20"/>
          <w:szCs w:val="20"/>
        </w:rPr>
        <w:t xml:space="preserve"> research question?</w:t>
      </w:r>
    </w:p>
    <w:p w14:paraId="1D1B8E81" w14:textId="77777777" w:rsidR="0069754C" w:rsidRPr="002F51B4" w:rsidRDefault="0069754C" w:rsidP="0069754C">
      <w:pPr>
        <w:pStyle w:val="Heading2"/>
      </w:pPr>
      <w:r w:rsidRPr="002F51B4">
        <w:t>D4 - Flow and timing</w:t>
      </w:r>
    </w:p>
    <w:p w14:paraId="4536B4E4" w14:textId="77777777" w:rsidR="0069754C" w:rsidRPr="002F51B4" w:rsidRDefault="0069754C" w:rsidP="0069754C">
      <w:pPr>
        <w:spacing w:after="0" w:line="480" w:lineRule="auto"/>
        <w:rPr>
          <w:rFonts w:ascii="Times New Roman" w:hAnsi="Times New Roman" w:cs="Times New Roman"/>
          <w:sz w:val="20"/>
          <w:szCs w:val="20"/>
        </w:rPr>
      </w:pPr>
      <w:r w:rsidRPr="002F51B4">
        <w:rPr>
          <w:rFonts w:ascii="Times New Roman" w:hAnsi="Times New Roman" w:cs="Times New Roman"/>
          <w:i/>
          <w:iCs/>
          <w:sz w:val="20"/>
          <w:szCs w:val="20"/>
        </w:rPr>
        <w:t>Risk of bias</w:t>
      </w:r>
      <w:r w:rsidRPr="002F51B4">
        <w:rPr>
          <w:rFonts w:ascii="Times New Roman" w:hAnsi="Times New Roman" w:cs="Times New Roman"/>
          <w:sz w:val="20"/>
          <w:szCs w:val="20"/>
        </w:rPr>
        <w:t>: Could the participant flow have introduced bias?</w:t>
      </w:r>
    </w:p>
    <w:p w14:paraId="5EC67A59" w14:textId="77777777" w:rsidR="0069754C" w:rsidRPr="002F51B4" w:rsidRDefault="0069754C" w:rsidP="0069754C">
      <w:pPr>
        <w:numPr>
          <w:ilvl w:val="0"/>
          <w:numId w:val="4"/>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Was there an appropriate interval between index test(s) and reference standard?</w:t>
      </w:r>
    </w:p>
    <w:p w14:paraId="7F509B45" w14:textId="77777777" w:rsidR="0069754C" w:rsidRPr="002F51B4" w:rsidRDefault="0069754C" w:rsidP="0069754C">
      <w:pPr>
        <w:numPr>
          <w:ilvl w:val="0"/>
          <w:numId w:val="4"/>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Did all participants receive the same instructions for the tests?</w:t>
      </w:r>
    </w:p>
    <w:p w14:paraId="52619855" w14:textId="77777777" w:rsidR="0069754C" w:rsidRPr="002F51B4" w:rsidRDefault="0069754C" w:rsidP="0069754C">
      <w:pPr>
        <w:numPr>
          <w:ilvl w:val="0"/>
          <w:numId w:val="4"/>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Did all participants receive both tests (EFAT under investigation and the reference standard)?</w:t>
      </w:r>
    </w:p>
    <w:p w14:paraId="051DCEDF" w14:textId="77777777" w:rsidR="0069754C" w:rsidRPr="002F51B4" w:rsidRDefault="0069754C" w:rsidP="0069754C">
      <w:pPr>
        <w:numPr>
          <w:ilvl w:val="0"/>
          <w:numId w:val="4"/>
        </w:numPr>
        <w:spacing w:after="0" w:line="480" w:lineRule="auto"/>
        <w:rPr>
          <w:rFonts w:ascii="Times New Roman" w:hAnsi="Times New Roman" w:cs="Times New Roman"/>
          <w:sz w:val="20"/>
          <w:szCs w:val="20"/>
        </w:rPr>
      </w:pPr>
      <w:r w:rsidRPr="002F51B4">
        <w:rPr>
          <w:rFonts w:ascii="Times New Roman" w:hAnsi="Times New Roman" w:cs="Times New Roman"/>
          <w:sz w:val="20"/>
          <w:szCs w:val="20"/>
        </w:rPr>
        <w:t>Were all participants submitted to the same testing procedures?</w:t>
      </w:r>
    </w:p>
    <w:p w14:paraId="6395FA41" w14:textId="77777777" w:rsidR="0069754C" w:rsidRPr="002F51B4" w:rsidRDefault="0069754C" w:rsidP="0069754C">
      <w:pPr>
        <w:rPr>
          <w:rFonts w:ascii="Times New Roman" w:hAnsi="Times New Roman" w:cs="Times New Roman"/>
          <w:sz w:val="20"/>
          <w:szCs w:val="20"/>
        </w:rPr>
      </w:pPr>
      <w:r w:rsidRPr="002F51B4">
        <w:rPr>
          <w:rFonts w:ascii="Times New Roman" w:hAnsi="Times New Roman" w:cs="Times New Roman"/>
          <w:sz w:val="20"/>
          <w:szCs w:val="20"/>
        </w:rPr>
        <w:br w:type="page"/>
      </w:r>
    </w:p>
    <w:p w14:paraId="488151C8"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924C44"/>
    <w:multiLevelType w:val="hybridMultilevel"/>
    <w:tmpl w:val="1C1A5F4C"/>
    <w:lvl w:ilvl="0" w:tplc="2D2E9ADA">
      <w:start w:val="1"/>
      <w:numFmt w:val="bullet"/>
      <w:lvlText w:val=""/>
      <w:lvlJc w:val="left"/>
      <w:pPr>
        <w:ind w:left="720" w:hanging="360"/>
      </w:pPr>
      <w:rPr>
        <w:rFonts w:ascii="Symbol" w:hAnsi="Symbol" w:hint="default"/>
      </w:rPr>
    </w:lvl>
    <w:lvl w:ilvl="1" w:tplc="4336D83E" w:tentative="1">
      <w:start w:val="1"/>
      <w:numFmt w:val="bullet"/>
      <w:lvlText w:val="o"/>
      <w:lvlJc w:val="left"/>
      <w:pPr>
        <w:ind w:left="1440" w:hanging="360"/>
      </w:pPr>
      <w:rPr>
        <w:rFonts w:ascii="Courier New" w:hAnsi="Courier New" w:cs="Courier New" w:hint="default"/>
      </w:rPr>
    </w:lvl>
    <w:lvl w:ilvl="2" w:tplc="4AC60CF8" w:tentative="1">
      <w:start w:val="1"/>
      <w:numFmt w:val="bullet"/>
      <w:lvlText w:val=""/>
      <w:lvlJc w:val="left"/>
      <w:pPr>
        <w:ind w:left="2160" w:hanging="360"/>
      </w:pPr>
      <w:rPr>
        <w:rFonts w:ascii="Wingdings" w:hAnsi="Wingdings" w:hint="default"/>
      </w:rPr>
    </w:lvl>
    <w:lvl w:ilvl="3" w:tplc="D97644FE" w:tentative="1">
      <w:start w:val="1"/>
      <w:numFmt w:val="bullet"/>
      <w:lvlText w:val=""/>
      <w:lvlJc w:val="left"/>
      <w:pPr>
        <w:ind w:left="2880" w:hanging="360"/>
      </w:pPr>
      <w:rPr>
        <w:rFonts w:ascii="Symbol" w:hAnsi="Symbol" w:hint="default"/>
      </w:rPr>
    </w:lvl>
    <w:lvl w:ilvl="4" w:tplc="10027C3C" w:tentative="1">
      <w:start w:val="1"/>
      <w:numFmt w:val="bullet"/>
      <w:lvlText w:val="o"/>
      <w:lvlJc w:val="left"/>
      <w:pPr>
        <w:ind w:left="3600" w:hanging="360"/>
      </w:pPr>
      <w:rPr>
        <w:rFonts w:ascii="Courier New" w:hAnsi="Courier New" w:cs="Courier New" w:hint="default"/>
      </w:rPr>
    </w:lvl>
    <w:lvl w:ilvl="5" w:tplc="AB52EF24" w:tentative="1">
      <w:start w:val="1"/>
      <w:numFmt w:val="bullet"/>
      <w:lvlText w:val=""/>
      <w:lvlJc w:val="left"/>
      <w:pPr>
        <w:ind w:left="4320" w:hanging="360"/>
      </w:pPr>
      <w:rPr>
        <w:rFonts w:ascii="Wingdings" w:hAnsi="Wingdings" w:hint="default"/>
      </w:rPr>
    </w:lvl>
    <w:lvl w:ilvl="6" w:tplc="C43E3182" w:tentative="1">
      <w:start w:val="1"/>
      <w:numFmt w:val="bullet"/>
      <w:lvlText w:val=""/>
      <w:lvlJc w:val="left"/>
      <w:pPr>
        <w:ind w:left="5040" w:hanging="360"/>
      </w:pPr>
      <w:rPr>
        <w:rFonts w:ascii="Symbol" w:hAnsi="Symbol" w:hint="default"/>
      </w:rPr>
    </w:lvl>
    <w:lvl w:ilvl="7" w:tplc="B70CE152" w:tentative="1">
      <w:start w:val="1"/>
      <w:numFmt w:val="bullet"/>
      <w:lvlText w:val="o"/>
      <w:lvlJc w:val="left"/>
      <w:pPr>
        <w:ind w:left="5760" w:hanging="360"/>
      </w:pPr>
      <w:rPr>
        <w:rFonts w:ascii="Courier New" w:hAnsi="Courier New" w:cs="Courier New" w:hint="default"/>
      </w:rPr>
    </w:lvl>
    <w:lvl w:ilvl="8" w:tplc="9DF69014" w:tentative="1">
      <w:start w:val="1"/>
      <w:numFmt w:val="bullet"/>
      <w:lvlText w:val=""/>
      <w:lvlJc w:val="left"/>
      <w:pPr>
        <w:ind w:left="6480" w:hanging="360"/>
      </w:pPr>
      <w:rPr>
        <w:rFonts w:ascii="Wingdings" w:hAnsi="Wingdings" w:hint="default"/>
      </w:rPr>
    </w:lvl>
  </w:abstractNum>
  <w:abstractNum w:abstractNumId="1" w15:restartNumberingAfterBreak="0">
    <w:nsid w:val="34CC2778"/>
    <w:multiLevelType w:val="hybridMultilevel"/>
    <w:tmpl w:val="AE5A5AB4"/>
    <w:lvl w:ilvl="0" w:tplc="036223C0">
      <w:start w:val="1"/>
      <w:numFmt w:val="bullet"/>
      <w:lvlText w:val=""/>
      <w:lvlJc w:val="left"/>
      <w:pPr>
        <w:ind w:left="720" w:hanging="360"/>
      </w:pPr>
      <w:rPr>
        <w:rFonts w:ascii="Symbol" w:hAnsi="Symbol" w:hint="default"/>
      </w:rPr>
    </w:lvl>
    <w:lvl w:ilvl="1" w:tplc="E1724EB6" w:tentative="1">
      <w:start w:val="1"/>
      <w:numFmt w:val="bullet"/>
      <w:lvlText w:val="o"/>
      <w:lvlJc w:val="left"/>
      <w:pPr>
        <w:ind w:left="1440" w:hanging="360"/>
      </w:pPr>
      <w:rPr>
        <w:rFonts w:ascii="Courier New" w:hAnsi="Courier New" w:cs="Courier New" w:hint="default"/>
      </w:rPr>
    </w:lvl>
    <w:lvl w:ilvl="2" w:tplc="34FE565A" w:tentative="1">
      <w:start w:val="1"/>
      <w:numFmt w:val="bullet"/>
      <w:lvlText w:val=""/>
      <w:lvlJc w:val="left"/>
      <w:pPr>
        <w:ind w:left="2160" w:hanging="360"/>
      </w:pPr>
      <w:rPr>
        <w:rFonts w:ascii="Wingdings" w:hAnsi="Wingdings" w:hint="default"/>
      </w:rPr>
    </w:lvl>
    <w:lvl w:ilvl="3" w:tplc="1FF66D6C" w:tentative="1">
      <w:start w:val="1"/>
      <w:numFmt w:val="bullet"/>
      <w:lvlText w:val=""/>
      <w:lvlJc w:val="left"/>
      <w:pPr>
        <w:ind w:left="2880" w:hanging="360"/>
      </w:pPr>
      <w:rPr>
        <w:rFonts w:ascii="Symbol" w:hAnsi="Symbol" w:hint="default"/>
      </w:rPr>
    </w:lvl>
    <w:lvl w:ilvl="4" w:tplc="38DA5B9C" w:tentative="1">
      <w:start w:val="1"/>
      <w:numFmt w:val="bullet"/>
      <w:lvlText w:val="o"/>
      <w:lvlJc w:val="left"/>
      <w:pPr>
        <w:ind w:left="3600" w:hanging="360"/>
      </w:pPr>
      <w:rPr>
        <w:rFonts w:ascii="Courier New" w:hAnsi="Courier New" w:cs="Courier New" w:hint="default"/>
      </w:rPr>
    </w:lvl>
    <w:lvl w:ilvl="5" w:tplc="C3621C9E" w:tentative="1">
      <w:start w:val="1"/>
      <w:numFmt w:val="bullet"/>
      <w:lvlText w:val=""/>
      <w:lvlJc w:val="left"/>
      <w:pPr>
        <w:ind w:left="4320" w:hanging="360"/>
      </w:pPr>
      <w:rPr>
        <w:rFonts w:ascii="Wingdings" w:hAnsi="Wingdings" w:hint="default"/>
      </w:rPr>
    </w:lvl>
    <w:lvl w:ilvl="6" w:tplc="5712B062" w:tentative="1">
      <w:start w:val="1"/>
      <w:numFmt w:val="bullet"/>
      <w:lvlText w:val=""/>
      <w:lvlJc w:val="left"/>
      <w:pPr>
        <w:ind w:left="5040" w:hanging="360"/>
      </w:pPr>
      <w:rPr>
        <w:rFonts w:ascii="Symbol" w:hAnsi="Symbol" w:hint="default"/>
      </w:rPr>
    </w:lvl>
    <w:lvl w:ilvl="7" w:tplc="49CA2E9C" w:tentative="1">
      <w:start w:val="1"/>
      <w:numFmt w:val="bullet"/>
      <w:lvlText w:val="o"/>
      <w:lvlJc w:val="left"/>
      <w:pPr>
        <w:ind w:left="5760" w:hanging="360"/>
      </w:pPr>
      <w:rPr>
        <w:rFonts w:ascii="Courier New" w:hAnsi="Courier New" w:cs="Courier New" w:hint="default"/>
      </w:rPr>
    </w:lvl>
    <w:lvl w:ilvl="8" w:tplc="73F606F6" w:tentative="1">
      <w:start w:val="1"/>
      <w:numFmt w:val="bullet"/>
      <w:lvlText w:val=""/>
      <w:lvlJc w:val="left"/>
      <w:pPr>
        <w:ind w:left="6480" w:hanging="360"/>
      </w:pPr>
      <w:rPr>
        <w:rFonts w:ascii="Wingdings" w:hAnsi="Wingdings" w:hint="default"/>
      </w:rPr>
    </w:lvl>
  </w:abstractNum>
  <w:abstractNum w:abstractNumId="2" w15:restartNumberingAfterBreak="0">
    <w:nsid w:val="34ED34E3"/>
    <w:multiLevelType w:val="hybridMultilevel"/>
    <w:tmpl w:val="52669B2A"/>
    <w:lvl w:ilvl="0" w:tplc="3374604C">
      <w:start w:val="1"/>
      <w:numFmt w:val="bullet"/>
      <w:lvlText w:val=""/>
      <w:lvlJc w:val="left"/>
      <w:pPr>
        <w:ind w:left="720" w:hanging="360"/>
      </w:pPr>
      <w:rPr>
        <w:rFonts w:ascii="Symbol" w:hAnsi="Symbol" w:hint="default"/>
      </w:rPr>
    </w:lvl>
    <w:lvl w:ilvl="1" w:tplc="AE6CECF6" w:tentative="1">
      <w:start w:val="1"/>
      <w:numFmt w:val="bullet"/>
      <w:lvlText w:val="o"/>
      <w:lvlJc w:val="left"/>
      <w:pPr>
        <w:ind w:left="1440" w:hanging="360"/>
      </w:pPr>
      <w:rPr>
        <w:rFonts w:ascii="Courier New" w:hAnsi="Courier New" w:cs="Courier New" w:hint="default"/>
      </w:rPr>
    </w:lvl>
    <w:lvl w:ilvl="2" w:tplc="24B8EFD0" w:tentative="1">
      <w:start w:val="1"/>
      <w:numFmt w:val="bullet"/>
      <w:lvlText w:val=""/>
      <w:lvlJc w:val="left"/>
      <w:pPr>
        <w:ind w:left="2160" w:hanging="360"/>
      </w:pPr>
      <w:rPr>
        <w:rFonts w:ascii="Wingdings" w:hAnsi="Wingdings" w:hint="default"/>
      </w:rPr>
    </w:lvl>
    <w:lvl w:ilvl="3" w:tplc="A7EC9E10" w:tentative="1">
      <w:start w:val="1"/>
      <w:numFmt w:val="bullet"/>
      <w:lvlText w:val=""/>
      <w:lvlJc w:val="left"/>
      <w:pPr>
        <w:ind w:left="2880" w:hanging="360"/>
      </w:pPr>
      <w:rPr>
        <w:rFonts w:ascii="Symbol" w:hAnsi="Symbol" w:hint="default"/>
      </w:rPr>
    </w:lvl>
    <w:lvl w:ilvl="4" w:tplc="4DA895D2" w:tentative="1">
      <w:start w:val="1"/>
      <w:numFmt w:val="bullet"/>
      <w:lvlText w:val="o"/>
      <w:lvlJc w:val="left"/>
      <w:pPr>
        <w:ind w:left="3600" w:hanging="360"/>
      </w:pPr>
      <w:rPr>
        <w:rFonts w:ascii="Courier New" w:hAnsi="Courier New" w:cs="Courier New" w:hint="default"/>
      </w:rPr>
    </w:lvl>
    <w:lvl w:ilvl="5" w:tplc="3BFA75BA" w:tentative="1">
      <w:start w:val="1"/>
      <w:numFmt w:val="bullet"/>
      <w:lvlText w:val=""/>
      <w:lvlJc w:val="left"/>
      <w:pPr>
        <w:ind w:left="4320" w:hanging="360"/>
      </w:pPr>
      <w:rPr>
        <w:rFonts w:ascii="Wingdings" w:hAnsi="Wingdings" w:hint="default"/>
      </w:rPr>
    </w:lvl>
    <w:lvl w:ilvl="6" w:tplc="FEE6630C" w:tentative="1">
      <w:start w:val="1"/>
      <w:numFmt w:val="bullet"/>
      <w:lvlText w:val=""/>
      <w:lvlJc w:val="left"/>
      <w:pPr>
        <w:ind w:left="5040" w:hanging="360"/>
      </w:pPr>
      <w:rPr>
        <w:rFonts w:ascii="Symbol" w:hAnsi="Symbol" w:hint="default"/>
      </w:rPr>
    </w:lvl>
    <w:lvl w:ilvl="7" w:tplc="315A9BC4" w:tentative="1">
      <w:start w:val="1"/>
      <w:numFmt w:val="bullet"/>
      <w:lvlText w:val="o"/>
      <w:lvlJc w:val="left"/>
      <w:pPr>
        <w:ind w:left="5760" w:hanging="360"/>
      </w:pPr>
      <w:rPr>
        <w:rFonts w:ascii="Courier New" w:hAnsi="Courier New" w:cs="Courier New" w:hint="default"/>
      </w:rPr>
    </w:lvl>
    <w:lvl w:ilvl="8" w:tplc="2E327E64" w:tentative="1">
      <w:start w:val="1"/>
      <w:numFmt w:val="bullet"/>
      <w:lvlText w:val=""/>
      <w:lvlJc w:val="left"/>
      <w:pPr>
        <w:ind w:left="6480" w:hanging="360"/>
      </w:pPr>
      <w:rPr>
        <w:rFonts w:ascii="Wingdings" w:hAnsi="Wingdings" w:hint="default"/>
      </w:rPr>
    </w:lvl>
  </w:abstractNum>
  <w:abstractNum w:abstractNumId="3" w15:restartNumberingAfterBreak="0">
    <w:nsid w:val="52316FFE"/>
    <w:multiLevelType w:val="hybridMultilevel"/>
    <w:tmpl w:val="7844401C"/>
    <w:lvl w:ilvl="0" w:tplc="EBB889FE">
      <w:start w:val="1"/>
      <w:numFmt w:val="bullet"/>
      <w:lvlText w:val=""/>
      <w:lvlJc w:val="left"/>
      <w:pPr>
        <w:ind w:left="720" w:hanging="360"/>
      </w:pPr>
      <w:rPr>
        <w:rFonts w:ascii="Symbol" w:hAnsi="Symbol" w:hint="default"/>
      </w:rPr>
    </w:lvl>
    <w:lvl w:ilvl="1" w:tplc="390E31C8" w:tentative="1">
      <w:start w:val="1"/>
      <w:numFmt w:val="bullet"/>
      <w:lvlText w:val="o"/>
      <w:lvlJc w:val="left"/>
      <w:pPr>
        <w:ind w:left="1440" w:hanging="360"/>
      </w:pPr>
      <w:rPr>
        <w:rFonts w:ascii="Courier New" w:hAnsi="Courier New" w:cs="Courier New" w:hint="default"/>
      </w:rPr>
    </w:lvl>
    <w:lvl w:ilvl="2" w:tplc="1DB61D6A" w:tentative="1">
      <w:start w:val="1"/>
      <w:numFmt w:val="bullet"/>
      <w:lvlText w:val=""/>
      <w:lvlJc w:val="left"/>
      <w:pPr>
        <w:ind w:left="2160" w:hanging="360"/>
      </w:pPr>
      <w:rPr>
        <w:rFonts w:ascii="Wingdings" w:hAnsi="Wingdings" w:hint="default"/>
      </w:rPr>
    </w:lvl>
    <w:lvl w:ilvl="3" w:tplc="BFBE90E4" w:tentative="1">
      <w:start w:val="1"/>
      <w:numFmt w:val="bullet"/>
      <w:lvlText w:val=""/>
      <w:lvlJc w:val="left"/>
      <w:pPr>
        <w:ind w:left="2880" w:hanging="360"/>
      </w:pPr>
      <w:rPr>
        <w:rFonts w:ascii="Symbol" w:hAnsi="Symbol" w:hint="default"/>
      </w:rPr>
    </w:lvl>
    <w:lvl w:ilvl="4" w:tplc="F1EC6F86" w:tentative="1">
      <w:start w:val="1"/>
      <w:numFmt w:val="bullet"/>
      <w:lvlText w:val="o"/>
      <w:lvlJc w:val="left"/>
      <w:pPr>
        <w:ind w:left="3600" w:hanging="360"/>
      </w:pPr>
      <w:rPr>
        <w:rFonts w:ascii="Courier New" w:hAnsi="Courier New" w:cs="Courier New" w:hint="default"/>
      </w:rPr>
    </w:lvl>
    <w:lvl w:ilvl="5" w:tplc="00900722" w:tentative="1">
      <w:start w:val="1"/>
      <w:numFmt w:val="bullet"/>
      <w:lvlText w:val=""/>
      <w:lvlJc w:val="left"/>
      <w:pPr>
        <w:ind w:left="4320" w:hanging="360"/>
      </w:pPr>
      <w:rPr>
        <w:rFonts w:ascii="Wingdings" w:hAnsi="Wingdings" w:hint="default"/>
      </w:rPr>
    </w:lvl>
    <w:lvl w:ilvl="6" w:tplc="ED8E249C" w:tentative="1">
      <w:start w:val="1"/>
      <w:numFmt w:val="bullet"/>
      <w:lvlText w:val=""/>
      <w:lvlJc w:val="left"/>
      <w:pPr>
        <w:ind w:left="5040" w:hanging="360"/>
      </w:pPr>
      <w:rPr>
        <w:rFonts w:ascii="Symbol" w:hAnsi="Symbol" w:hint="default"/>
      </w:rPr>
    </w:lvl>
    <w:lvl w:ilvl="7" w:tplc="E392ED4E" w:tentative="1">
      <w:start w:val="1"/>
      <w:numFmt w:val="bullet"/>
      <w:lvlText w:val="o"/>
      <w:lvlJc w:val="left"/>
      <w:pPr>
        <w:ind w:left="5760" w:hanging="360"/>
      </w:pPr>
      <w:rPr>
        <w:rFonts w:ascii="Courier New" w:hAnsi="Courier New" w:cs="Courier New" w:hint="default"/>
      </w:rPr>
    </w:lvl>
    <w:lvl w:ilvl="8" w:tplc="7170716E" w:tentative="1">
      <w:start w:val="1"/>
      <w:numFmt w:val="bullet"/>
      <w:lvlText w:val=""/>
      <w:lvlJc w:val="left"/>
      <w:pPr>
        <w:ind w:left="6480" w:hanging="360"/>
      </w:pPr>
      <w:rPr>
        <w:rFonts w:ascii="Wingdings" w:hAnsi="Wingdings" w:hint="default"/>
      </w:rPr>
    </w:lvl>
  </w:abstractNum>
  <w:num w:numId="1" w16cid:durableId="242030004">
    <w:abstractNumId w:val="3"/>
  </w:num>
  <w:num w:numId="2" w16cid:durableId="816192818">
    <w:abstractNumId w:val="2"/>
  </w:num>
  <w:num w:numId="3" w16cid:durableId="864442727">
    <w:abstractNumId w:val="0"/>
  </w:num>
  <w:num w:numId="4" w16cid:durableId="14051806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4C"/>
    <w:rsid w:val="005374DE"/>
    <w:rsid w:val="0069754C"/>
    <w:rsid w:val="0085404A"/>
    <w:rsid w:val="00871FE1"/>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8FC16"/>
  <w15:chartTrackingRefBased/>
  <w15:docId w15:val="{6127C8BB-816E-4069-8926-757FB2C82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54C"/>
    <w:pPr>
      <w:spacing w:line="278" w:lineRule="auto"/>
    </w:pPr>
    <w:rPr>
      <w:sz w:val="24"/>
      <w:szCs w:val="24"/>
    </w:rPr>
  </w:style>
  <w:style w:type="paragraph" w:styleId="Heading1">
    <w:name w:val="heading 1"/>
    <w:basedOn w:val="Normal"/>
    <w:next w:val="Normal"/>
    <w:link w:val="Heading1Char"/>
    <w:uiPriority w:val="9"/>
    <w:qFormat/>
    <w:rsid w:val="006975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975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75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75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75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75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75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75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75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75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975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75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75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75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75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75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75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754C"/>
    <w:rPr>
      <w:rFonts w:eastAsiaTheme="majorEastAsia" w:cstheme="majorBidi"/>
      <w:color w:val="272727" w:themeColor="text1" w:themeTint="D8"/>
    </w:rPr>
  </w:style>
  <w:style w:type="paragraph" w:styleId="Title">
    <w:name w:val="Title"/>
    <w:basedOn w:val="Normal"/>
    <w:next w:val="Normal"/>
    <w:link w:val="TitleChar"/>
    <w:uiPriority w:val="10"/>
    <w:qFormat/>
    <w:rsid w:val="006975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75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75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75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754C"/>
    <w:pPr>
      <w:spacing w:before="160"/>
      <w:jc w:val="center"/>
    </w:pPr>
    <w:rPr>
      <w:i/>
      <w:iCs/>
      <w:color w:val="404040" w:themeColor="text1" w:themeTint="BF"/>
    </w:rPr>
  </w:style>
  <w:style w:type="character" w:customStyle="1" w:styleId="QuoteChar">
    <w:name w:val="Quote Char"/>
    <w:basedOn w:val="DefaultParagraphFont"/>
    <w:link w:val="Quote"/>
    <w:uiPriority w:val="29"/>
    <w:rsid w:val="0069754C"/>
    <w:rPr>
      <w:i/>
      <w:iCs/>
      <w:color w:val="404040" w:themeColor="text1" w:themeTint="BF"/>
    </w:rPr>
  </w:style>
  <w:style w:type="paragraph" w:styleId="ListParagraph">
    <w:name w:val="List Paragraph"/>
    <w:basedOn w:val="Normal"/>
    <w:uiPriority w:val="34"/>
    <w:qFormat/>
    <w:rsid w:val="0069754C"/>
    <w:pPr>
      <w:ind w:left="720"/>
      <w:contextualSpacing/>
    </w:pPr>
  </w:style>
  <w:style w:type="character" w:styleId="IntenseEmphasis">
    <w:name w:val="Intense Emphasis"/>
    <w:basedOn w:val="DefaultParagraphFont"/>
    <w:uiPriority w:val="21"/>
    <w:qFormat/>
    <w:rsid w:val="0069754C"/>
    <w:rPr>
      <w:i/>
      <w:iCs/>
      <w:color w:val="0F4761" w:themeColor="accent1" w:themeShade="BF"/>
    </w:rPr>
  </w:style>
  <w:style w:type="paragraph" w:styleId="IntenseQuote">
    <w:name w:val="Intense Quote"/>
    <w:basedOn w:val="Normal"/>
    <w:next w:val="Normal"/>
    <w:link w:val="IntenseQuoteChar"/>
    <w:uiPriority w:val="30"/>
    <w:qFormat/>
    <w:rsid w:val="006975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754C"/>
    <w:rPr>
      <w:i/>
      <w:iCs/>
      <w:color w:val="0F4761" w:themeColor="accent1" w:themeShade="BF"/>
    </w:rPr>
  </w:style>
  <w:style w:type="character" w:styleId="IntenseReference">
    <w:name w:val="Intense Reference"/>
    <w:basedOn w:val="DefaultParagraphFont"/>
    <w:uiPriority w:val="32"/>
    <w:qFormat/>
    <w:rsid w:val="006975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1840</Words>
  <Characters>10489</Characters>
  <Application>Microsoft Office Word</Application>
  <DocSecurity>0</DocSecurity>
  <Lines>87</Lines>
  <Paragraphs>24</Paragraphs>
  <ScaleCrop>false</ScaleCrop>
  <Company>Springer Nature</Company>
  <LinksUpToDate>false</LinksUpToDate>
  <CharactersWithSpaces>12305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2024-10-14T07:17:00Z</dcterms:created>
  <dcterms:modified xsi:type="dcterms:W3CDTF">2024-10-14T07:17:00Z</dcterms:modified>
</cp:coreProperties>
</file>