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571BDB" w14:textId="77777777" w:rsidR="00667525" w:rsidRDefault="00667525" w:rsidP="00667525">
      <w:pPr>
        <w:tabs>
          <w:tab w:val="left" w:pos="360"/>
          <w:tab w:val="left" w:pos="450"/>
        </w:tabs>
        <w:spacing w:line="276" w:lineRule="auto"/>
        <w:ind w:left="360" w:hanging="360"/>
      </w:pPr>
      <w:r w:rsidRPr="0038334B">
        <w:rPr>
          <w:rFonts w:ascii="Times New Roman" w:hAnsi="Times New Roman" w:cs="Times New Roman"/>
          <w:b/>
          <w:bCs/>
          <w:iCs/>
        </w:rPr>
        <w:t>Extended Data</w:t>
      </w:r>
      <w:r w:rsidRPr="009C7F19">
        <w:rPr>
          <w:rFonts w:ascii="Times New Roman" w:hAnsi="Times New Roman" w:cs="Times New Roman"/>
          <w:noProof/>
        </w:rPr>
        <w:t xml:space="preserve"> </w:t>
      </w:r>
      <w:r>
        <w:rPr>
          <w:noProof/>
          <w:lang w:val="en-GB" w:eastAsia="en-GB"/>
        </w:rPr>
        <mc:AlternateContent>
          <mc:Choice Requires="wps">
            <w:drawing>
              <wp:anchor distT="0" distB="0" distL="114300" distR="114300" simplePos="0" relativeHeight="251670528" behindDoc="0" locked="0" layoutInCell="1" allowOverlap="1" wp14:anchorId="5428502F" wp14:editId="2998EED9">
                <wp:simplePos x="0" y="0"/>
                <wp:positionH relativeFrom="margin">
                  <wp:posOffset>0</wp:posOffset>
                </wp:positionH>
                <wp:positionV relativeFrom="paragraph">
                  <wp:posOffset>5619750</wp:posOffset>
                </wp:positionV>
                <wp:extent cx="5939155" cy="1333500"/>
                <wp:effectExtent l="0" t="0" r="4445" b="0"/>
                <wp:wrapSquare wrapText="bothSides"/>
                <wp:docPr id="8" name="Text Box 1"/>
                <wp:cNvGraphicFramePr/>
                <a:graphic xmlns:a="http://schemas.openxmlformats.org/drawingml/2006/main">
                  <a:graphicData uri="http://schemas.microsoft.com/office/word/2010/wordprocessingShape">
                    <wps:wsp>
                      <wps:cNvSpPr txBox="1"/>
                      <wps:spPr>
                        <a:xfrm>
                          <a:off x="0" y="0"/>
                          <a:ext cx="5939155" cy="1333500"/>
                        </a:xfrm>
                        <a:prstGeom prst="rect">
                          <a:avLst/>
                        </a:prstGeom>
                        <a:solidFill>
                          <a:prstClr val="white"/>
                        </a:solidFill>
                        <a:ln>
                          <a:noFill/>
                        </a:ln>
                      </wps:spPr>
                      <wps:txbx>
                        <w:txbxContent>
                          <w:p w14:paraId="11C1F368" w14:textId="77777777" w:rsidR="00667525" w:rsidRPr="009062EA" w:rsidRDefault="00667525" w:rsidP="00667525">
                            <w:pPr>
                              <w:pStyle w:val="Caption"/>
                              <w:jc w:val="both"/>
                              <w:rPr>
                                <w:rFonts w:ascii="Arial" w:hAnsi="Arial" w:cs="Arial"/>
                                <w:i w:val="0"/>
                                <w:iCs w:val="0"/>
                                <w:noProof/>
                                <w:color w:val="auto"/>
                                <w:sz w:val="20"/>
                                <w:szCs w:val="20"/>
                              </w:rPr>
                            </w:pPr>
                            <w:r w:rsidRPr="001E57BF">
                              <w:rPr>
                                <w:rFonts w:ascii="Arial" w:hAnsi="Arial" w:cs="Arial"/>
                                <w:b/>
                                <w:bCs/>
                                <w:i w:val="0"/>
                                <w:iCs w:val="0"/>
                                <w:noProof/>
                                <w:color w:val="auto"/>
                                <w:sz w:val="20"/>
                                <w:szCs w:val="20"/>
                              </w:rPr>
                              <w:t>Extended Data Fig. 1| In silico and in vitro modeling of ascitic FSS in ovarian cancer. a</w:t>
                            </w:r>
                            <w:r w:rsidRPr="001E57BF">
                              <w:rPr>
                                <w:rFonts w:ascii="Arial" w:hAnsi="Arial" w:cs="Arial"/>
                                <w:bCs/>
                                <w:i w:val="0"/>
                                <w:iCs w:val="0"/>
                                <w:noProof/>
                                <w:color w:val="auto"/>
                                <w:sz w:val="20"/>
                                <w:szCs w:val="20"/>
                              </w:rPr>
                              <w:t>,</w:t>
                            </w:r>
                            <w:r w:rsidRPr="001E57BF">
                              <w:rPr>
                                <w:rFonts w:ascii="Arial" w:hAnsi="Arial" w:cs="Arial"/>
                                <w:b/>
                                <w:bCs/>
                                <w:i w:val="0"/>
                                <w:iCs w:val="0"/>
                                <w:noProof/>
                                <w:color w:val="auto"/>
                                <w:sz w:val="20"/>
                                <w:szCs w:val="20"/>
                              </w:rPr>
                              <w:t xml:space="preserve"> </w:t>
                            </w:r>
                            <w:r w:rsidRPr="001E57BF">
                              <w:rPr>
                                <w:rFonts w:ascii="Arial" w:hAnsi="Arial" w:cs="Arial"/>
                                <w:bCs/>
                                <w:i w:val="0"/>
                                <w:iCs w:val="0"/>
                                <w:noProof/>
                                <w:color w:val="auto"/>
                                <w:sz w:val="20"/>
                                <w:szCs w:val="20"/>
                              </w:rPr>
                              <w:t xml:space="preserve">Segmentation of ascites fluid mask provided by University of Michigan’s Radiology Department and final model generation (left). The surface of the ovaries are highlighted in blue (right ovary) and red (left ovary) (right). Tetrahedral volume meshing of the model and definition of isovolumetric deformation for boundary driven CFD problem. </w:t>
                            </w:r>
                            <w:r w:rsidRPr="001E57BF">
                              <w:rPr>
                                <w:rFonts w:ascii="Arial" w:hAnsi="Arial" w:cs="Arial"/>
                                <w:b/>
                                <w:bCs/>
                                <w:i w:val="0"/>
                                <w:iCs w:val="0"/>
                                <w:noProof/>
                                <w:color w:val="auto"/>
                                <w:sz w:val="20"/>
                                <w:szCs w:val="20"/>
                              </w:rPr>
                              <w:t>b</w:t>
                            </w:r>
                            <w:r w:rsidRPr="001E57BF">
                              <w:rPr>
                                <w:rFonts w:ascii="Arial" w:hAnsi="Arial" w:cs="Arial"/>
                                <w:bCs/>
                                <w:i w:val="0"/>
                                <w:iCs w:val="0"/>
                                <w:noProof/>
                                <w:color w:val="auto"/>
                                <w:sz w:val="20"/>
                                <w:szCs w:val="20"/>
                              </w:rPr>
                              <w:t>, FSS bioreactor in operation within a CO</w:t>
                            </w:r>
                            <w:r w:rsidRPr="006D3EF2">
                              <w:rPr>
                                <w:rFonts w:ascii="Arial" w:hAnsi="Arial" w:cs="Arial"/>
                                <w:bCs/>
                                <w:i w:val="0"/>
                                <w:iCs w:val="0"/>
                                <w:noProof/>
                                <w:color w:val="auto"/>
                                <w:sz w:val="20"/>
                                <w:szCs w:val="20"/>
                                <w:vertAlign w:val="subscript"/>
                              </w:rPr>
                              <w:t>2</w:t>
                            </w:r>
                            <w:r w:rsidRPr="001E57BF">
                              <w:rPr>
                                <w:rFonts w:ascii="Arial" w:hAnsi="Arial" w:cs="Arial"/>
                                <w:bCs/>
                                <w:i w:val="0"/>
                                <w:iCs w:val="0"/>
                                <w:noProof/>
                                <w:color w:val="auto"/>
                                <w:sz w:val="20"/>
                                <w:szCs w:val="20"/>
                              </w:rPr>
                              <w:t xml:space="preserve"> incubator. Fluid flow is produced by a peristaltic pump. </w:t>
                            </w:r>
                            <w:r w:rsidRPr="001E57BF">
                              <w:rPr>
                                <w:rFonts w:ascii="Arial" w:hAnsi="Arial" w:cs="Arial"/>
                                <w:b/>
                                <w:bCs/>
                                <w:i w:val="0"/>
                                <w:iCs w:val="0"/>
                                <w:noProof/>
                                <w:color w:val="auto"/>
                                <w:sz w:val="20"/>
                                <w:szCs w:val="20"/>
                              </w:rPr>
                              <w:t>c</w:t>
                            </w:r>
                            <w:r w:rsidRPr="001E57BF">
                              <w:rPr>
                                <w:rFonts w:ascii="Arial" w:hAnsi="Arial" w:cs="Arial"/>
                                <w:bCs/>
                                <w:i w:val="0"/>
                                <w:iCs w:val="0"/>
                                <w:noProof/>
                                <w:color w:val="auto"/>
                                <w:sz w:val="20"/>
                                <w:szCs w:val="20"/>
                              </w:rPr>
                              <w:t xml:space="preserve">, Rendered cross-section of the assembled FSS bioreactor. </w:t>
                            </w:r>
                            <w:r w:rsidRPr="001E57BF">
                              <w:rPr>
                                <w:rFonts w:ascii="Arial" w:hAnsi="Arial" w:cs="Arial"/>
                                <w:b/>
                                <w:bCs/>
                                <w:i w:val="0"/>
                                <w:iCs w:val="0"/>
                                <w:noProof/>
                                <w:color w:val="auto"/>
                                <w:sz w:val="20"/>
                                <w:szCs w:val="20"/>
                              </w:rPr>
                              <w:t>d</w:t>
                            </w:r>
                            <w:r w:rsidRPr="001E57BF">
                              <w:rPr>
                                <w:rFonts w:ascii="Arial" w:hAnsi="Arial" w:cs="Arial"/>
                                <w:bCs/>
                                <w:i w:val="0"/>
                                <w:iCs w:val="0"/>
                                <w:noProof/>
                                <w:color w:val="auto"/>
                                <w:sz w:val="20"/>
                                <w:szCs w:val="20"/>
                              </w:rPr>
                              <w:t xml:space="preserve">, FSS bioreactor cross-section showing the locations of radial flow chambers and hydrogel stacks that allow the perfusion flow. Hydrogel stack regions contain a notch to assist in hydrogel stack removal. </w:t>
                            </w:r>
                            <w:r w:rsidRPr="001E57BF">
                              <w:rPr>
                                <w:rFonts w:ascii="Arial" w:hAnsi="Arial" w:cs="Arial"/>
                                <w:b/>
                                <w:bCs/>
                                <w:i w:val="0"/>
                                <w:iCs w:val="0"/>
                                <w:noProof/>
                                <w:color w:val="auto"/>
                                <w:sz w:val="20"/>
                                <w:szCs w:val="20"/>
                              </w:rPr>
                              <w:t>e</w:t>
                            </w:r>
                            <w:r w:rsidRPr="001E57BF">
                              <w:rPr>
                                <w:rFonts w:ascii="Arial" w:hAnsi="Arial" w:cs="Arial"/>
                                <w:bCs/>
                                <w:i w:val="0"/>
                                <w:iCs w:val="0"/>
                                <w:noProof/>
                                <w:color w:val="auto"/>
                                <w:sz w:val="20"/>
                                <w:szCs w:val="20"/>
                              </w:rPr>
                              <w:t>, Mesh convergence analysis on the output of fluid velocity within the FSS bioreactor.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428502F" id="_x0000_t202" coordsize="21600,21600" o:spt="202" path="m,l,21600r21600,l21600,xe">
                <v:stroke joinstyle="miter"/>
                <v:path gradientshapeok="t" o:connecttype="rect"/>
              </v:shapetype>
              <v:shape id="Text Box 1" o:spid="_x0000_s1026" type="#_x0000_t202" style="position:absolute;left:0;text-align:left;margin-left:0;margin-top:442.5pt;width:467.65pt;height:105pt;z-index:25167052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" stroked="f">
                <v:textbox inset="0,0,0,0">
                  <w:txbxContent>
                    <w:p w14:paraId="11C1F368" w14:textId="77777777" w:rsidR="00667525" w:rsidRPr="009062EA" w:rsidRDefault="00667525" w:rsidP="00667525">
                      <w:pPr>
                        <w:pStyle w:val="Caption"/>
                        <w:jc w:val="both"/>
                        <w:rPr>
                          <w:rFonts w:ascii="Arial" w:hAnsi="Arial" w:cs="Arial"/>
                          <w:i w:val="0"/>
                          <w:iCs w:val="0"/>
                          <w:noProof/>
                          <w:color w:val="auto"/>
                          <w:sz w:val="20"/>
                          <w:szCs w:val="20"/>
                        </w:rPr>
                      </w:pPr>
                      <w:r w:rsidRPr="001E57BF">
                        <w:rPr>
                          <w:rFonts w:ascii="Arial" w:hAnsi="Arial" w:cs="Arial"/>
                          <w:b/>
                          <w:bCs/>
                          <w:i w:val="0"/>
                          <w:iCs w:val="0"/>
                          <w:noProof/>
                          <w:color w:val="auto"/>
                          <w:sz w:val="20"/>
                          <w:szCs w:val="20"/>
                        </w:rPr>
                        <w:t>Extended Data Fig. 1| In silico and in vitro modeling of ascitic FSS in ovarian cancer. a</w:t>
                      </w:r>
                      <w:r w:rsidRPr="001E57BF">
                        <w:rPr>
                          <w:rFonts w:ascii="Arial" w:hAnsi="Arial" w:cs="Arial"/>
                          <w:bCs/>
                          <w:i w:val="0"/>
                          <w:iCs w:val="0"/>
                          <w:noProof/>
                          <w:color w:val="auto"/>
                          <w:sz w:val="20"/>
                          <w:szCs w:val="20"/>
                        </w:rPr>
                        <w:t>,</w:t>
                      </w:r>
                      <w:r w:rsidRPr="001E57BF">
                        <w:rPr>
                          <w:rFonts w:ascii="Arial" w:hAnsi="Arial" w:cs="Arial"/>
                          <w:b/>
                          <w:bCs/>
                          <w:i w:val="0"/>
                          <w:iCs w:val="0"/>
                          <w:noProof/>
                          <w:color w:val="auto"/>
                          <w:sz w:val="20"/>
                          <w:szCs w:val="20"/>
                        </w:rPr>
                        <w:t xml:space="preserve"> </w:t>
                      </w:r>
                      <w:r w:rsidRPr="001E57BF">
                        <w:rPr>
                          <w:rFonts w:ascii="Arial" w:hAnsi="Arial" w:cs="Arial"/>
                          <w:bCs/>
                          <w:i w:val="0"/>
                          <w:iCs w:val="0"/>
                          <w:noProof/>
                          <w:color w:val="auto"/>
                          <w:sz w:val="20"/>
                          <w:szCs w:val="20"/>
                        </w:rPr>
                        <w:t xml:space="preserve">Segmentation of ascites fluid mask provided by University of Michigan’s Radiology Department and final model generation (left). The surface of the ovaries are highlighted in blue (right ovary) and red (left ovary) (right). Tetrahedral volume meshing of the model and definition of isovolumetric deformation for boundary driven CFD problem. </w:t>
                      </w:r>
                      <w:r w:rsidRPr="001E57BF">
                        <w:rPr>
                          <w:rFonts w:ascii="Arial" w:hAnsi="Arial" w:cs="Arial"/>
                          <w:b/>
                          <w:bCs/>
                          <w:i w:val="0"/>
                          <w:iCs w:val="0"/>
                          <w:noProof/>
                          <w:color w:val="auto"/>
                          <w:sz w:val="20"/>
                          <w:szCs w:val="20"/>
                        </w:rPr>
                        <w:t>b</w:t>
                      </w:r>
                      <w:r w:rsidRPr="001E57BF">
                        <w:rPr>
                          <w:rFonts w:ascii="Arial" w:hAnsi="Arial" w:cs="Arial"/>
                          <w:bCs/>
                          <w:i w:val="0"/>
                          <w:iCs w:val="0"/>
                          <w:noProof/>
                          <w:color w:val="auto"/>
                          <w:sz w:val="20"/>
                          <w:szCs w:val="20"/>
                        </w:rPr>
                        <w:t>, FSS bioreactor in operation within a CO</w:t>
                      </w:r>
                      <w:r w:rsidRPr="006D3EF2">
                        <w:rPr>
                          <w:rFonts w:ascii="Arial" w:hAnsi="Arial" w:cs="Arial"/>
                          <w:bCs/>
                          <w:i w:val="0"/>
                          <w:iCs w:val="0"/>
                          <w:noProof/>
                          <w:color w:val="auto"/>
                          <w:sz w:val="20"/>
                          <w:szCs w:val="20"/>
                          <w:vertAlign w:val="subscript"/>
                        </w:rPr>
                        <w:t>2</w:t>
                      </w:r>
                      <w:r w:rsidRPr="001E57BF">
                        <w:rPr>
                          <w:rFonts w:ascii="Arial" w:hAnsi="Arial" w:cs="Arial"/>
                          <w:bCs/>
                          <w:i w:val="0"/>
                          <w:iCs w:val="0"/>
                          <w:noProof/>
                          <w:color w:val="auto"/>
                          <w:sz w:val="20"/>
                          <w:szCs w:val="20"/>
                        </w:rPr>
                        <w:t xml:space="preserve"> incubator. Fluid flow is produced by a peristaltic pump. </w:t>
                      </w:r>
                      <w:r w:rsidRPr="001E57BF">
                        <w:rPr>
                          <w:rFonts w:ascii="Arial" w:hAnsi="Arial" w:cs="Arial"/>
                          <w:b/>
                          <w:bCs/>
                          <w:i w:val="0"/>
                          <w:iCs w:val="0"/>
                          <w:noProof/>
                          <w:color w:val="auto"/>
                          <w:sz w:val="20"/>
                          <w:szCs w:val="20"/>
                        </w:rPr>
                        <w:t>c</w:t>
                      </w:r>
                      <w:r w:rsidRPr="001E57BF">
                        <w:rPr>
                          <w:rFonts w:ascii="Arial" w:hAnsi="Arial" w:cs="Arial"/>
                          <w:bCs/>
                          <w:i w:val="0"/>
                          <w:iCs w:val="0"/>
                          <w:noProof/>
                          <w:color w:val="auto"/>
                          <w:sz w:val="20"/>
                          <w:szCs w:val="20"/>
                        </w:rPr>
                        <w:t xml:space="preserve">, Rendered cross-section of the assembled FSS bioreactor. </w:t>
                      </w:r>
                      <w:r w:rsidRPr="001E57BF">
                        <w:rPr>
                          <w:rFonts w:ascii="Arial" w:hAnsi="Arial" w:cs="Arial"/>
                          <w:b/>
                          <w:bCs/>
                          <w:i w:val="0"/>
                          <w:iCs w:val="0"/>
                          <w:noProof/>
                          <w:color w:val="auto"/>
                          <w:sz w:val="20"/>
                          <w:szCs w:val="20"/>
                        </w:rPr>
                        <w:t>d</w:t>
                      </w:r>
                      <w:r w:rsidRPr="001E57BF">
                        <w:rPr>
                          <w:rFonts w:ascii="Arial" w:hAnsi="Arial" w:cs="Arial"/>
                          <w:bCs/>
                          <w:i w:val="0"/>
                          <w:iCs w:val="0"/>
                          <w:noProof/>
                          <w:color w:val="auto"/>
                          <w:sz w:val="20"/>
                          <w:szCs w:val="20"/>
                        </w:rPr>
                        <w:t xml:space="preserve">, FSS bioreactor cross-section showing the locations of radial flow chambers and hydrogel stacks that allow the perfusion flow. Hydrogel stack regions contain a notch to assist in hydrogel stack removal. </w:t>
                      </w:r>
                      <w:r w:rsidRPr="001E57BF">
                        <w:rPr>
                          <w:rFonts w:ascii="Arial" w:hAnsi="Arial" w:cs="Arial"/>
                          <w:b/>
                          <w:bCs/>
                          <w:i w:val="0"/>
                          <w:iCs w:val="0"/>
                          <w:noProof/>
                          <w:color w:val="auto"/>
                          <w:sz w:val="20"/>
                          <w:szCs w:val="20"/>
                        </w:rPr>
                        <w:t>e</w:t>
                      </w:r>
                      <w:r w:rsidRPr="001E57BF">
                        <w:rPr>
                          <w:rFonts w:ascii="Arial" w:hAnsi="Arial" w:cs="Arial"/>
                          <w:bCs/>
                          <w:i w:val="0"/>
                          <w:iCs w:val="0"/>
                          <w:noProof/>
                          <w:color w:val="auto"/>
                          <w:sz w:val="20"/>
                          <w:szCs w:val="20"/>
                        </w:rPr>
                        <w:t>, Mesh convergence analysis on the output of fluid velocity within the FSS bioreactor.</w:t>
                      </w:r>
                    </w:p>
                  </w:txbxContent>
                </v:textbox>
                <w10:wrap type="square" anchorx="margin"/>
              </v:shape>
            </w:pict>
          </mc:Fallback>
        </mc:AlternateContent>
      </w:r>
      <w:r>
        <w:rPr>
          <w:rFonts w:ascii="Times New Roman" w:hAnsi="Times New Roman" w:cs="Times New Roman"/>
          <w:b/>
          <w:bCs/>
          <w:iCs/>
          <w:noProof/>
          <w:lang w:val="en-GB" w:eastAsia="en-GB"/>
        </w:rPr>
        <w:drawing>
          <wp:inline distT="0" distB="0" distL="0" distR="0" wp14:anchorId="6B0FB127" wp14:editId="540C1975">
            <wp:extent cx="5095799" cy="54006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tended Data Figure 1.png"/>
                    <pic:cNvPicPr/>
                  </pic:nvPicPr>
                  <pic:blipFill>
                    <a:blip r:embed="rId4">
                      <a:extLst>
                        <a:ext uri="{28A0092B-C50C-407E-A947-70E740481C1C}">
                          <a14:useLocalDpi xmlns:a14="http://schemas.microsoft.com/office/drawing/2010/main" val="0"/>
                        </a:ext>
                      </a:extLst>
                    </a:blip>
                    <a:stretch>
                      <a:fillRect/>
                    </a:stretch>
                  </pic:blipFill>
                  <pic:spPr>
                    <a:xfrm>
                      <a:off x="0" y="0"/>
                      <a:ext cx="5130356" cy="5437299"/>
                    </a:xfrm>
                    <a:prstGeom prst="rect">
                      <a:avLst/>
                    </a:prstGeom>
                  </pic:spPr>
                </pic:pic>
              </a:graphicData>
            </a:graphic>
          </wp:inline>
        </w:drawing>
      </w:r>
    </w:p>
    <w:p w14:paraId="54D45B27" w14:textId="77777777" w:rsidR="00667525" w:rsidRDefault="00667525" w:rsidP="00667525">
      <w:pPr>
        <w:spacing w:line="240" w:lineRule="auto"/>
        <w:rPr>
          <w:rFonts w:ascii="Times New Roman" w:hAnsi="Times New Roman" w:cs="Times New Roman"/>
          <w:b/>
          <w:bCs/>
          <w:iCs/>
        </w:rPr>
      </w:pPr>
      <w:r>
        <w:rPr>
          <w:rFonts w:ascii="Times New Roman" w:hAnsi="Times New Roman" w:cs="Times New Roman"/>
          <w:b/>
          <w:bCs/>
          <w:iCs/>
          <w:noProof/>
          <w:lang w:val="en-GB" w:eastAsia="en-GB"/>
        </w:rPr>
        <w:lastRenderedPageBreak/>
        <w:drawing>
          <wp:anchor distT="0" distB="0" distL="114300" distR="114300" simplePos="0" relativeHeight="251671552" behindDoc="0" locked="0" layoutInCell="1" allowOverlap="1" wp14:anchorId="6F3973BE" wp14:editId="0A1A42DA">
            <wp:simplePos x="0" y="0"/>
            <wp:positionH relativeFrom="column">
              <wp:posOffset>-114300</wp:posOffset>
            </wp:positionH>
            <wp:positionV relativeFrom="paragraph">
              <wp:posOffset>0</wp:posOffset>
            </wp:positionV>
            <wp:extent cx="6200140" cy="6042025"/>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Extended Data Figure 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200140" cy="6042025"/>
                    </a:xfrm>
                    <a:prstGeom prst="rect">
                      <a:avLst/>
                    </a:prstGeom>
                  </pic:spPr>
                </pic:pic>
              </a:graphicData>
            </a:graphic>
            <wp14:sizeRelH relativeFrom="margin">
              <wp14:pctWidth>0</wp14:pctWidth>
            </wp14:sizeRelH>
            <wp14:sizeRelV relativeFrom="margin">
              <wp14:pctHeight>0</wp14:pctHeight>
            </wp14:sizeRelV>
          </wp:anchor>
        </w:drawing>
      </w:r>
    </w:p>
    <w:p w14:paraId="71B9C2A7" w14:textId="77777777" w:rsidR="00667525" w:rsidRDefault="00667525" w:rsidP="00667525">
      <w:pPr>
        <w:rPr>
          <w:rFonts w:ascii="Times New Roman" w:hAnsi="Times New Roman" w:cs="Times New Roman"/>
          <w:b/>
          <w:bCs/>
          <w:iCs/>
        </w:rPr>
      </w:pPr>
      <w:r>
        <w:rPr>
          <w:noProof/>
          <w:lang w:val="en-GB" w:eastAsia="en-GB"/>
        </w:rPr>
        <w:lastRenderedPageBreak/>
        <mc:AlternateContent>
          <mc:Choice Requires="wps">
            <w:drawing>
              <wp:anchor distT="0" distB="0" distL="114300" distR="114300" simplePos="0" relativeHeight="251659264" behindDoc="0" locked="0" layoutInCell="1" allowOverlap="1" wp14:anchorId="2C835E5E" wp14:editId="46C80654">
                <wp:simplePos x="0" y="0"/>
                <wp:positionH relativeFrom="margin">
                  <wp:align>right</wp:align>
                </wp:positionH>
                <wp:positionV relativeFrom="paragraph">
                  <wp:posOffset>0</wp:posOffset>
                </wp:positionV>
                <wp:extent cx="5939155" cy="2266950"/>
                <wp:effectExtent l="0" t="0" r="4445" b="0"/>
                <wp:wrapSquare wrapText="bothSides"/>
                <wp:docPr id="2136155282" name="Text Box 1"/>
                <wp:cNvGraphicFramePr/>
                <a:graphic xmlns:a="http://schemas.openxmlformats.org/drawingml/2006/main">
                  <a:graphicData uri="http://schemas.microsoft.com/office/word/2010/wordprocessingShape">
                    <wps:wsp>
                      <wps:cNvSpPr txBox="1"/>
                      <wps:spPr>
                        <a:xfrm>
                          <a:off x="0" y="0"/>
                          <a:ext cx="5939155" cy="2266950"/>
                        </a:xfrm>
                        <a:prstGeom prst="rect">
                          <a:avLst/>
                        </a:prstGeom>
                        <a:solidFill>
                          <a:prstClr val="white"/>
                        </a:solidFill>
                        <a:ln>
                          <a:noFill/>
                        </a:ln>
                      </wps:spPr>
                      <wps:txbx>
                        <w:txbxContent>
                          <w:p w14:paraId="16AE1C78" w14:textId="77777777" w:rsidR="00667525" w:rsidRPr="00982988" w:rsidRDefault="00667525" w:rsidP="00667525">
                            <w:pPr>
                              <w:pStyle w:val="Caption"/>
                              <w:jc w:val="both"/>
                              <w:rPr>
                                <w:rFonts w:ascii="Arial" w:hAnsi="Arial" w:cs="Arial"/>
                                <w:b/>
                                <w:bCs/>
                                <w:noProof/>
                                <w:sz w:val="20"/>
                                <w:szCs w:val="20"/>
                                <w:lang w:val="en-GB"/>
                              </w:rPr>
                            </w:pPr>
                            <w:r w:rsidRPr="009062EA">
                              <w:rPr>
                                <w:rFonts w:ascii="Arial" w:hAnsi="Arial" w:cs="Arial"/>
                                <w:b/>
                                <w:bCs/>
                                <w:i w:val="0"/>
                                <w:iCs w:val="0"/>
                                <w:noProof/>
                                <w:color w:val="auto"/>
                                <w:sz w:val="20"/>
                                <w:szCs w:val="20"/>
                              </w:rPr>
                              <w:t>Extended Data Fig. 2 | Phenotypic alterations in FSS-exposed ovarian cancer cells.</w:t>
                            </w:r>
                            <w:r w:rsidRPr="009062EA">
                              <w:rPr>
                                <w:rFonts w:ascii="Arial" w:hAnsi="Arial" w:cs="Arial"/>
                                <w:i w:val="0"/>
                                <w:iCs w:val="0"/>
                                <w:noProof/>
                                <w:color w:val="auto"/>
                                <w:sz w:val="20"/>
                                <w:szCs w:val="20"/>
                              </w:rPr>
                              <w:t xml:space="preserve"> </w:t>
                            </w:r>
                            <w:r w:rsidRPr="00982988">
                              <w:rPr>
                                <w:rFonts w:ascii="Arial" w:hAnsi="Arial" w:cs="Arial"/>
                                <w:b/>
                                <w:bCs/>
                                <w:i w:val="0"/>
                                <w:noProof/>
                                <w:color w:val="auto"/>
                                <w:sz w:val="20"/>
                                <w:szCs w:val="20"/>
                                <w:lang w:val="en-GB"/>
                              </w:rPr>
                              <w:t>a</w:t>
                            </w:r>
                            <w:r w:rsidRPr="00982988">
                              <w:rPr>
                                <w:rFonts w:ascii="Arial" w:hAnsi="Arial" w:cs="Arial"/>
                                <w:bCs/>
                                <w:i w:val="0"/>
                                <w:noProof/>
                                <w:color w:val="auto"/>
                                <w:sz w:val="20"/>
                                <w:szCs w:val="20"/>
                                <w:lang w:val="en-GB"/>
                              </w:rPr>
                              <w:t>, Cell perimeter, circularity, and roundness of OVCAR3 (top) and OVSAHO (bottom) cells exposed to static or increasing FSS conditions (1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5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11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xml:space="preserve"> ; 24 hr; n = 3). </w:t>
                            </w:r>
                            <w:r w:rsidRPr="00982988">
                              <w:rPr>
                                <w:rFonts w:ascii="Arial" w:hAnsi="Arial" w:cs="Arial"/>
                                <w:b/>
                                <w:bCs/>
                                <w:i w:val="0"/>
                                <w:noProof/>
                                <w:color w:val="auto"/>
                                <w:sz w:val="20"/>
                                <w:szCs w:val="20"/>
                                <w:lang w:val="en-GB"/>
                              </w:rPr>
                              <w:t>b</w:t>
                            </w:r>
                            <w:r w:rsidRPr="00982988">
                              <w:rPr>
                                <w:rFonts w:ascii="Arial" w:hAnsi="Arial" w:cs="Arial"/>
                                <w:bCs/>
                                <w:i w:val="0"/>
                                <w:noProof/>
                                <w:color w:val="auto"/>
                                <w:sz w:val="20"/>
                                <w:szCs w:val="20"/>
                                <w:lang w:val="en-GB"/>
                              </w:rPr>
                              <w:t>,</w:t>
                            </w:r>
                            <w:r w:rsidRPr="00982988">
                              <w:rPr>
                                <w:rFonts w:ascii="Arial" w:hAnsi="Arial" w:cs="Arial"/>
                                <w:b/>
                                <w:bCs/>
                                <w:i w:val="0"/>
                                <w:noProof/>
                                <w:color w:val="auto"/>
                                <w:sz w:val="20"/>
                                <w:szCs w:val="20"/>
                                <w:lang w:val="en-GB"/>
                              </w:rPr>
                              <w:t>c</w:t>
                            </w:r>
                            <w:r w:rsidRPr="00982988">
                              <w:rPr>
                                <w:rFonts w:ascii="Arial" w:hAnsi="Arial" w:cs="Arial"/>
                                <w:bCs/>
                                <w:i w:val="0"/>
                                <w:noProof/>
                                <w:color w:val="auto"/>
                                <w:sz w:val="20"/>
                                <w:szCs w:val="20"/>
                                <w:lang w:val="en-GB"/>
                              </w:rPr>
                              <w:t>, Ki67 stains (</w:t>
                            </w:r>
                            <w:r w:rsidRPr="00982988">
                              <w:rPr>
                                <w:rFonts w:ascii="Arial" w:hAnsi="Arial" w:cs="Arial"/>
                                <w:b/>
                                <w:bCs/>
                                <w:i w:val="0"/>
                                <w:noProof/>
                                <w:color w:val="auto"/>
                                <w:sz w:val="20"/>
                                <w:szCs w:val="20"/>
                                <w:lang w:val="en-GB"/>
                              </w:rPr>
                              <w:t>b</w:t>
                            </w:r>
                            <w:r w:rsidRPr="00982988">
                              <w:rPr>
                                <w:rFonts w:ascii="Arial" w:hAnsi="Arial" w:cs="Arial"/>
                                <w:bCs/>
                                <w:i w:val="0"/>
                                <w:noProof/>
                                <w:color w:val="auto"/>
                                <w:sz w:val="20"/>
                                <w:szCs w:val="20"/>
                                <w:lang w:val="en-GB"/>
                              </w:rPr>
                              <w:t>) of static and sheared OVCAR3 (top) and OHSAHO (bottom) cells (1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5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11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24 hr) and the associated quantification of the number of Ki67</w:t>
                            </w:r>
                            <w:r w:rsidRPr="00982988">
                              <w:rPr>
                                <w:rFonts w:ascii="Arial" w:hAnsi="Arial" w:cs="Arial"/>
                                <w:bCs/>
                                <w:i w:val="0"/>
                                <w:noProof/>
                                <w:color w:val="auto"/>
                                <w:sz w:val="20"/>
                                <w:szCs w:val="20"/>
                                <w:vertAlign w:val="superscript"/>
                                <w:lang w:val="en-GB"/>
                              </w:rPr>
                              <w:t>+</w:t>
                            </w:r>
                            <w:r w:rsidRPr="00982988">
                              <w:rPr>
                                <w:rFonts w:ascii="Arial" w:hAnsi="Arial" w:cs="Arial"/>
                                <w:bCs/>
                                <w:i w:val="0"/>
                                <w:noProof/>
                                <w:color w:val="auto"/>
                                <w:sz w:val="20"/>
                                <w:szCs w:val="20"/>
                                <w:lang w:val="en-GB"/>
                              </w:rPr>
                              <w:t xml:space="preserve"> cells (</w:t>
                            </w:r>
                            <w:r w:rsidRPr="00982988">
                              <w:rPr>
                                <w:rFonts w:ascii="Arial" w:hAnsi="Arial" w:cs="Arial"/>
                                <w:b/>
                                <w:bCs/>
                                <w:i w:val="0"/>
                                <w:noProof/>
                                <w:color w:val="auto"/>
                                <w:sz w:val="20"/>
                                <w:szCs w:val="20"/>
                                <w:lang w:val="en-GB"/>
                              </w:rPr>
                              <w:t>c</w:t>
                            </w:r>
                            <w:r w:rsidRPr="00982988">
                              <w:rPr>
                                <w:rFonts w:ascii="Arial" w:hAnsi="Arial" w:cs="Arial"/>
                                <w:bCs/>
                                <w:i w:val="0"/>
                                <w:noProof/>
                                <w:color w:val="auto"/>
                                <w:sz w:val="20"/>
                                <w:szCs w:val="20"/>
                                <w:lang w:val="en-GB"/>
                              </w:rPr>
                              <w:t xml:space="preserve">; n = 3). Significance evaluated by Student t-test. </w:t>
                            </w:r>
                            <w:r w:rsidRPr="00982988">
                              <w:rPr>
                                <w:rFonts w:ascii="Arial" w:hAnsi="Arial" w:cs="Arial"/>
                                <w:b/>
                                <w:bCs/>
                                <w:i w:val="0"/>
                                <w:noProof/>
                                <w:color w:val="auto"/>
                                <w:sz w:val="20"/>
                                <w:szCs w:val="20"/>
                                <w:lang w:val="en-GB"/>
                              </w:rPr>
                              <w:t>d</w:t>
                            </w:r>
                            <w:r w:rsidRPr="00982988">
                              <w:rPr>
                                <w:rFonts w:ascii="Arial" w:hAnsi="Arial" w:cs="Arial"/>
                                <w:bCs/>
                                <w:i w:val="0"/>
                                <w:noProof/>
                                <w:color w:val="auto"/>
                                <w:sz w:val="20"/>
                                <w:szCs w:val="20"/>
                                <w:lang w:val="en-GB"/>
                              </w:rPr>
                              <w:t>, Bru-seq PCA of sheared OVSAHO cells (11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xml:space="preserve">, 1 hr). </w:t>
                            </w:r>
                            <w:r w:rsidRPr="00982988">
                              <w:rPr>
                                <w:rFonts w:ascii="Arial" w:hAnsi="Arial" w:cs="Arial"/>
                                <w:b/>
                                <w:bCs/>
                                <w:i w:val="0"/>
                                <w:noProof/>
                                <w:color w:val="auto"/>
                                <w:sz w:val="20"/>
                                <w:szCs w:val="20"/>
                                <w:lang w:val="en-GB"/>
                              </w:rPr>
                              <w:t>e</w:t>
                            </w:r>
                            <w:r w:rsidRPr="00982988">
                              <w:rPr>
                                <w:rFonts w:ascii="Arial" w:hAnsi="Arial" w:cs="Arial"/>
                                <w:bCs/>
                                <w:i w:val="0"/>
                                <w:noProof/>
                                <w:color w:val="auto"/>
                                <w:sz w:val="20"/>
                                <w:szCs w:val="20"/>
                                <w:lang w:val="en-GB"/>
                              </w:rPr>
                              <w:t xml:space="preserve">, Nascent </w:t>
                            </w:r>
                            <w:r w:rsidRPr="00982988">
                              <w:rPr>
                                <w:rFonts w:ascii="Arial" w:hAnsi="Arial" w:cs="Arial"/>
                                <w:bCs/>
                                <w:noProof/>
                                <w:color w:val="auto"/>
                                <w:sz w:val="20"/>
                                <w:szCs w:val="20"/>
                                <w:lang w:val="en-GB"/>
                              </w:rPr>
                              <w:t>MUC15</w:t>
                            </w:r>
                            <w:r w:rsidRPr="00982988">
                              <w:rPr>
                                <w:rFonts w:ascii="Arial" w:hAnsi="Arial" w:cs="Arial"/>
                                <w:bCs/>
                                <w:i w:val="0"/>
                                <w:noProof/>
                                <w:color w:val="auto"/>
                                <w:sz w:val="20"/>
                                <w:szCs w:val="20"/>
                                <w:lang w:val="en-GB"/>
                              </w:rPr>
                              <w:t xml:space="preserve"> RNA signal from Bru-seq libraries is represented as reads per kilobase per million (RPKM) and is shown for the static control (green) and shear condition (yellow). </w:t>
                            </w:r>
                            <w:r w:rsidRPr="00982988">
                              <w:rPr>
                                <w:rFonts w:ascii="Arial" w:hAnsi="Arial" w:cs="Arial"/>
                                <w:b/>
                                <w:bCs/>
                                <w:i w:val="0"/>
                                <w:noProof/>
                                <w:color w:val="auto"/>
                                <w:sz w:val="20"/>
                                <w:szCs w:val="20"/>
                                <w:lang w:val="en-GB"/>
                              </w:rPr>
                              <w:t>f</w:t>
                            </w:r>
                            <w:r w:rsidRPr="00982988">
                              <w:rPr>
                                <w:rFonts w:ascii="Arial" w:hAnsi="Arial" w:cs="Arial"/>
                                <w:bCs/>
                                <w:i w:val="0"/>
                                <w:noProof/>
                                <w:color w:val="auto"/>
                                <w:sz w:val="20"/>
                                <w:szCs w:val="20"/>
                                <w:lang w:val="en-GB"/>
                              </w:rPr>
                              <w:t>, GSEA of Bru-seq data showing gene sets upregulated and downregulated in OVSAHO following a 1 h</w:t>
                            </w:r>
                            <w:r>
                              <w:rPr>
                                <w:rFonts w:ascii="Arial" w:hAnsi="Arial" w:cs="Arial"/>
                                <w:bCs/>
                                <w:i w:val="0"/>
                                <w:noProof/>
                                <w:color w:val="auto"/>
                                <w:sz w:val="20"/>
                                <w:szCs w:val="20"/>
                                <w:lang w:val="en-GB"/>
                              </w:rPr>
                              <w:t>r</w:t>
                            </w:r>
                            <w:r w:rsidRPr="00982988">
                              <w:rPr>
                                <w:rFonts w:ascii="Arial" w:hAnsi="Arial" w:cs="Arial"/>
                                <w:bCs/>
                                <w:i w:val="0"/>
                                <w:noProof/>
                                <w:color w:val="auto"/>
                                <w:sz w:val="20"/>
                                <w:szCs w:val="20"/>
                                <w:lang w:val="en-GB"/>
                              </w:rPr>
                              <w:t xml:space="preserve"> exposure to shear. Gene sets in the Hallmark pathways are shown and the data is expressed as NES. </w:t>
                            </w:r>
                            <w:r w:rsidRPr="00982988">
                              <w:rPr>
                                <w:rFonts w:ascii="Arial" w:hAnsi="Arial" w:cs="Arial"/>
                                <w:b/>
                                <w:bCs/>
                                <w:i w:val="0"/>
                                <w:noProof/>
                                <w:color w:val="auto"/>
                                <w:sz w:val="20"/>
                                <w:szCs w:val="20"/>
                                <w:lang w:val="en-GB"/>
                              </w:rPr>
                              <w:t>g</w:t>
                            </w:r>
                            <w:r w:rsidRPr="00982988">
                              <w:rPr>
                                <w:rFonts w:ascii="Arial" w:hAnsi="Arial" w:cs="Arial"/>
                                <w:bCs/>
                                <w:i w:val="0"/>
                                <w:noProof/>
                                <w:color w:val="auto"/>
                                <w:sz w:val="20"/>
                                <w:szCs w:val="20"/>
                                <w:lang w:val="en-GB"/>
                              </w:rPr>
                              <w:t>, RNA-seq PCA of sheared OVCAR3 cells (11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xml:space="preserve">, 24 hr).  </w:t>
                            </w:r>
                            <w:r w:rsidRPr="00982988">
                              <w:rPr>
                                <w:rFonts w:ascii="Arial" w:hAnsi="Arial" w:cs="Arial"/>
                                <w:b/>
                                <w:bCs/>
                                <w:i w:val="0"/>
                                <w:noProof/>
                                <w:color w:val="auto"/>
                                <w:sz w:val="20"/>
                                <w:szCs w:val="20"/>
                                <w:lang w:val="en-GB"/>
                              </w:rPr>
                              <w:t>h</w:t>
                            </w:r>
                            <w:r w:rsidRPr="00982988">
                              <w:rPr>
                                <w:rFonts w:ascii="Arial" w:hAnsi="Arial" w:cs="Arial"/>
                                <w:bCs/>
                                <w:i w:val="0"/>
                                <w:noProof/>
                                <w:color w:val="auto"/>
                                <w:sz w:val="20"/>
                                <w:szCs w:val="20"/>
                                <w:lang w:val="en-GB"/>
                              </w:rPr>
                              <w:t xml:space="preserve">, ORA of RNA-seq data showing gene sets upregulated in OVCAR3 following 24 hr exposure to shear. Gene sets in the Hallmark pathways are shown and the data is expressed as enrichment ratio. </w:t>
                            </w:r>
                            <w:r w:rsidRPr="00982988">
                              <w:rPr>
                                <w:rFonts w:ascii="Arial" w:hAnsi="Arial" w:cs="Arial"/>
                                <w:b/>
                                <w:bCs/>
                                <w:i w:val="0"/>
                                <w:noProof/>
                                <w:color w:val="auto"/>
                                <w:sz w:val="20"/>
                                <w:szCs w:val="20"/>
                                <w:lang w:val="en-GB"/>
                              </w:rPr>
                              <w:t>i</w:t>
                            </w:r>
                            <w:r w:rsidRPr="00982988">
                              <w:rPr>
                                <w:rFonts w:ascii="Arial" w:hAnsi="Arial" w:cs="Arial"/>
                                <w:bCs/>
                                <w:i w:val="0"/>
                                <w:noProof/>
                                <w:color w:val="auto"/>
                                <w:sz w:val="20"/>
                                <w:szCs w:val="20"/>
                                <w:lang w:val="en-GB"/>
                              </w:rPr>
                              <w:t>,</w:t>
                            </w:r>
                            <w:r w:rsidRPr="00982988">
                              <w:rPr>
                                <w:rFonts w:ascii="Arial" w:hAnsi="Arial" w:cs="Arial"/>
                                <w:b/>
                                <w:bCs/>
                                <w:i w:val="0"/>
                                <w:noProof/>
                                <w:color w:val="auto"/>
                                <w:sz w:val="20"/>
                                <w:szCs w:val="20"/>
                                <w:lang w:val="en-GB"/>
                              </w:rPr>
                              <w:t>j</w:t>
                            </w:r>
                            <w:r w:rsidRPr="00982988">
                              <w:rPr>
                                <w:rFonts w:ascii="Arial" w:hAnsi="Arial" w:cs="Arial"/>
                                <w:bCs/>
                                <w:i w:val="0"/>
                                <w:noProof/>
                                <w:color w:val="auto"/>
                                <w:sz w:val="20"/>
                                <w:szCs w:val="20"/>
                                <w:lang w:val="en-GB"/>
                              </w:rPr>
                              <w:t>, NTA of RNA-seq representation of uniquely upregulated genes in sheared OVCAR3 when compared to sheared FTE237, gene sets in TCGA RNAseq TGCT (</w:t>
                            </w:r>
                            <w:r w:rsidRPr="00982988">
                              <w:rPr>
                                <w:rFonts w:ascii="Arial" w:hAnsi="Arial" w:cs="Arial"/>
                                <w:b/>
                                <w:bCs/>
                                <w:i w:val="0"/>
                                <w:noProof/>
                                <w:color w:val="auto"/>
                                <w:sz w:val="20"/>
                                <w:szCs w:val="20"/>
                                <w:lang w:val="en-GB"/>
                              </w:rPr>
                              <w:t>i</w:t>
                            </w:r>
                            <w:r w:rsidRPr="00982988">
                              <w:rPr>
                                <w:rFonts w:ascii="Arial" w:hAnsi="Arial" w:cs="Arial"/>
                                <w:bCs/>
                                <w:i w:val="0"/>
                                <w:noProof/>
                                <w:color w:val="auto"/>
                                <w:sz w:val="20"/>
                                <w:szCs w:val="20"/>
                                <w:lang w:val="en-GB"/>
                              </w:rPr>
                              <w:t>) and ACC (</w:t>
                            </w:r>
                            <w:r w:rsidRPr="00982988">
                              <w:rPr>
                                <w:rFonts w:ascii="Arial" w:hAnsi="Arial" w:cs="Arial"/>
                                <w:b/>
                                <w:bCs/>
                                <w:i w:val="0"/>
                                <w:noProof/>
                                <w:color w:val="auto"/>
                                <w:sz w:val="20"/>
                                <w:szCs w:val="20"/>
                                <w:lang w:val="en-GB"/>
                              </w:rPr>
                              <w:t>j</w:t>
                            </w:r>
                            <w:r w:rsidRPr="00982988">
                              <w:rPr>
                                <w:rFonts w:ascii="Arial" w:hAnsi="Arial" w:cs="Arial"/>
                                <w:bCs/>
                                <w:i w:val="0"/>
                                <w:noProof/>
                                <w:color w:val="auto"/>
                                <w:sz w:val="20"/>
                                <w:szCs w:val="20"/>
                                <w:lang w:val="en-GB"/>
                              </w:rPr>
                              <w:t xml:space="preserve">) datasets are shown. Significance evaluated by Student’s t-test, *P ≤ 0.05, </w:t>
                            </w:r>
                            <w:r w:rsidRPr="00982988">
                              <w:rPr>
                                <w:rFonts w:ascii="Arial" w:hAnsi="Arial" w:cs="Arial"/>
                                <w:bCs/>
                                <w:i w:val="0"/>
                                <w:noProof/>
                                <w:color w:val="auto"/>
                                <w:sz w:val="20"/>
                                <w:szCs w:val="20"/>
                                <w:vertAlign w:val="superscript"/>
                                <w:lang w:val="en-GB"/>
                              </w:rPr>
                              <w:t>**</w:t>
                            </w:r>
                            <w:r w:rsidRPr="00982988">
                              <w:rPr>
                                <w:rFonts w:ascii="Arial" w:hAnsi="Arial" w:cs="Arial"/>
                                <w:bCs/>
                                <w:i w:val="0"/>
                                <w:noProof/>
                                <w:color w:val="auto"/>
                                <w:sz w:val="20"/>
                                <w:szCs w:val="20"/>
                                <w:lang w:val="en-GB"/>
                              </w:rPr>
                              <w:t xml:space="preserve">P ≤ 0.01, </w:t>
                            </w:r>
                            <w:r w:rsidRPr="00982988">
                              <w:rPr>
                                <w:rFonts w:ascii="Arial" w:hAnsi="Arial" w:cs="Arial"/>
                                <w:bCs/>
                                <w:i w:val="0"/>
                                <w:noProof/>
                                <w:color w:val="auto"/>
                                <w:sz w:val="20"/>
                                <w:szCs w:val="20"/>
                                <w:vertAlign w:val="superscript"/>
                                <w:lang w:val="en-GB"/>
                              </w:rPr>
                              <w:t>***</w:t>
                            </w:r>
                            <w:r w:rsidRPr="00982988">
                              <w:rPr>
                                <w:rFonts w:ascii="Arial" w:hAnsi="Arial" w:cs="Arial"/>
                                <w:bCs/>
                                <w:i w:val="0"/>
                                <w:noProof/>
                                <w:color w:val="auto"/>
                                <w:sz w:val="20"/>
                                <w:szCs w:val="20"/>
                                <w:lang w:val="en-GB"/>
                              </w:rPr>
                              <w:t xml:space="preserve">P ≤ 0.001, </w:t>
                            </w:r>
                            <w:r w:rsidRPr="00982988">
                              <w:rPr>
                                <w:rFonts w:ascii="Arial" w:hAnsi="Arial" w:cs="Arial"/>
                                <w:bCs/>
                                <w:i w:val="0"/>
                                <w:noProof/>
                                <w:color w:val="auto"/>
                                <w:sz w:val="20"/>
                                <w:szCs w:val="20"/>
                                <w:vertAlign w:val="superscript"/>
                                <w:lang w:val="en-GB"/>
                              </w:rPr>
                              <w:t>****</w:t>
                            </w:r>
                            <w:r w:rsidRPr="00982988">
                              <w:rPr>
                                <w:rFonts w:ascii="Arial" w:hAnsi="Arial" w:cs="Arial"/>
                                <w:bCs/>
                                <w:i w:val="0"/>
                                <w:noProof/>
                                <w:color w:val="auto"/>
                                <w:sz w:val="20"/>
                                <w:szCs w:val="20"/>
                                <w:lang w:val="en-GB"/>
                              </w:rPr>
                              <w:t>P ≤ 0.0001.</w:t>
                            </w:r>
                          </w:p>
                          <w:p w14:paraId="3086E8EF" w14:textId="77777777" w:rsidR="00667525" w:rsidRPr="009062EA" w:rsidRDefault="00667525" w:rsidP="00667525">
                            <w:pPr>
                              <w:pStyle w:val="Caption"/>
                              <w:jc w:val="both"/>
                              <w:rPr>
                                <w:rFonts w:ascii="Arial" w:hAnsi="Arial" w:cs="Arial"/>
                                <w:i w:val="0"/>
                                <w:iCs w:val="0"/>
                                <w:noProof/>
                                <w:color w:val="auto"/>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C835E5E" id="_x0000_s1027" type="#_x0000_t202" style="position:absolute;margin-left:416.45pt;margin-top:0;width:467.65pt;height:178.5pt;z-index:251659264;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" stroked="f">
                <v:textbox inset="0,0,0,0">
                  <w:txbxContent>
                    <w:p w14:paraId="16AE1C78" w14:textId="77777777" w:rsidR="00667525" w:rsidRPr="00982988" w:rsidRDefault="00667525" w:rsidP="00667525">
                      <w:pPr>
                        <w:pStyle w:val="Caption"/>
                        <w:jc w:val="both"/>
                        <w:rPr>
                          <w:rFonts w:ascii="Arial" w:hAnsi="Arial" w:cs="Arial"/>
                          <w:b/>
                          <w:bCs/>
                          <w:noProof/>
                          <w:sz w:val="20"/>
                          <w:szCs w:val="20"/>
                          <w:lang w:val="en-GB"/>
                        </w:rPr>
                      </w:pPr>
                      <w:r w:rsidRPr="009062EA">
                        <w:rPr>
                          <w:rFonts w:ascii="Arial" w:hAnsi="Arial" w:cs="Arial"/>
                          <w:b/>
                          <w:bCs/>
                          <w:i w:val="0"/>
                          <w:iCs w:val="0"/>
                          <w:noProof/>
                          <w:color w:val="auto"/>
                          <w:sz w:val="20"/>
                          <w:szCs w:val="20"/>
                        </w:rPr>
                        <w:t>Extended Data Fig. 2 | Phenotypic alterations in FSS-exposed ovarian cancer cells.</w:t>
                      </w:r>
                      <w:r w:rsidRPr="009062EA">
                        <w:rPr>
                          <w:rFonts w:ascii="Arial" w:hAnsi="Arial" w:cs="Arial"/>
                          <w:i w:val="0"/>
                          <w:iCs w:val="0"/>
                          <w:noProof/>
                          <w:color w:val="auto"/>
                          <w:sz w:val="20"/>
                          <w:szCs w:val="20"/>
                        </w:rPr>
                        <w:t xml:space="preserve"> </w:t>
                      </w:r>
                      <w:r w:rsidRPr="00982988">
                        <w:rPr>
                          <w:rFonts w:ascii="Arial" w:hAnsi="Arial" w:cs="Arial"/>
                          <w:b/>
                          <w:bCs/>
                          <w:i w:val="0"/>
                          <w:noProof/>
                          <w:color w:val="auto"/>
                          <w:sz w:val="20"/>
                          <w:szCs w:val="20"/>
                          <w:lang w:val="en-GB"/>
                        </w:rPr>
                        <w:t>a</w:t>
                      </w:r>
                      <w:r w:rsidRPr="00982988">
                        <w:rPr>
                          <w:rFonts w:ascii="Arial" w:hAnsi="Arial" w:cs="Arial"/>
                          <w:bCs/>
                          <w:i w:val="0"/>
                          <w:noProof/>
                          <w:color w:val="auto"/>
                          <w:sz w:val="20"/>
                          <w:szCs w:val="20"/>
                          <w:lang w:val="en-GB"/>
                        </w:rPr>
                        <w:t>, Cell perimeter, circularity, and roundness of OVCAR3 (top) and OVSAHO (bottom) cells exposed to static or increasing FSS conditions (1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5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11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xml:space="preserve"> ; 24 hr; n = 3). </w:t>
                      </w:r>
                      <w:r w:rsidRPr="00982988">
                        <w:rPr>
                          <w:rFonts w:ascii="Arial" w:hAnsi="Arial" w:cs="Arial"/>
                          <w:b/>
                          <w:bCs/>
                          <w:i w:val="0"/>
                          <w:noProof/>
                          <w:color w:val="auto"/>
                          <w:sz w:val="20"/>
                          <w:szCs w:val="20"/>
                          <w:lang w:val="en-GB"/>
                        </w:rPr>
                        <w:t>b</w:t>
                      </w:r>
                      <w:r w:rsidRPr="00982988">
                        <w:rPr>
                          <w:rFonts w:ascii="Arial" w:hAnsi="Arial" w:cs="Arial"/>
                          <w:bCs/>
                          <w:i w:val="0"/>
                          <w:noProof/>
                          <w:color w:val="auto"/>
                          <w:sz w:val="20"/>
                          <w:szCs w:val="20"/>
                          <w:lang w:val="en-GB"/>
                        </w:rPr>
                        <w:t>,</w:t>
                      </w:r>
                      <w:r w:rsidRPr="00982988">
                        <w:rPr>
                          <w:rFonts w:ascii="Arial" w:hAnsi="Arial" w:cs="Arial"/>
                          <w:b/>
                          <w:bCs/>
                          <w:i w:val="0"/>
                          <w:noProof/>
                          <w:color w:val="auto"/>
                          <w:sz w:val="20"/>
                          <w:szCs w:val="20"/>
                          <w:lang w:val="en-GB"/>
                        </w:rPr>
                        <w:t>c</w:t>
                      </w:r>
                      <w:r w:rsidRPr="00982988">
                        <w:rPr>
                          <w:rFonts w:ascii="Arial" w:hAnsi="Arial" w:cs="Arial"/>
                          <w:bCs/>
                          <w:i w:val="0"/>
                          <w:noProof/>
                          <w:color w:val="auto"/>
                          <w:sz w:val="20"/>
                          <w:szCs w:val="20"/>
                          <w:lang w:val="en-GB"/>
                        </w:rPr>
                        <w:t>, Ki67 stains (</w:t>
                      </w:r>
                      <w:r w:rsidRPr="00982988">
                        <w:rPr>
                          <w:rFonts w:ascii="Arial" w:hAnsi="Arial" w:cs="Arial"/>
                          <w:b/>
                          <w:bCs/>
                          <w:i w:val="0"/>
                          <w:noProof/>
                          <w:color w:val="auto"/>
                          <w:sz w:val="20"/>
                          <w:szCs w:val="20"/>
                          <w:lang w:val="en-GB"/>
                        </w:rPr>
                        <w:t>b</w:t>
                      </w:r>
                      <w:r w:rsidRPr="00982988">
                        <w:rPr>
                          <w:rFonts w:ascii="Arial" w:hAnsi="Arial" w:cs="Arial"/>
                          <w:bCs/>
                          <w:i w:val="0"/>
                          <w:noProof/>
                          <w:color w:val="auto"/>
                          <w:sz w:val="20"/>
                          <w:szCs w:val="20"/>
                          <w:lang w:val="en-GB"/>
                        </w:rPr>
                        <w:t>) of static and sheared OVCAR3 (top) and OHSAHO (bottom) cells (1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5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11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24 hr) and the associated quantification of the number of Ki67</w:t>
                      </w:r>
                      <w:r w:rsidRPr="00982988">
                        <w:rPr>
                          <w:rFonts w:ascii="Arial" w:hAnsi="Arial" w:cs="Arial"/>
                          <w:bCs/>
                          <w:i w:val="0"/>
                          <w:noProof/>
                          <w:color w:val="auto"/>
                          <w:sz w:val="20"/>
                          <w:szCs w:val="20"/>
                          <w:vertAlign w:val="superscript"/>
                          <w:lang w:val="en-GB"/>
                        </w:rPr>
                        <w:t>+</w:t>
                      </w:r>
                      <w:r w:rsidRPr="00982988">
                        <w:rPr>
                          <w:rFonts w:ascii="Arial" w:hAnsi="Arial" w:cs="Arial"/>
                          <w:bCs/>
                          <w:i w:val="0"/>
                          <w:noProof/>
                          <w:color w:val="auto"/>
                          <w:sz w:val="20"/>
                          <w:szCs w:val="20"/>
                          <w:lang w:val="en-GB"/>
                        </w:rPr>
                        <w:t xml:space="preserve"> cells (</w:t>
                      </w:r>
                      <w:r w:rsidRPr="00982988">
                        <w:rPr>
                          <w:rFonts w:ascii="Arial" w:hAnsi="Arial" w:cs="Arial"/>
                          <w:b/>
                          <w:bCs/>
                          <w:i w:val="0"/>
                          <w:noProof/>
                          <w:color w:val="auto"/>
                          <w:sz w:val="20"/>
                          <w:szCs w:val="20"/>
                          <w:lang w:val="en-GB"/>
                        </w:rPr>
                        <w:t>c</w:t>
                      </w:r>
                      <w:r w:rsidRPr="00982988">
                        <w:rPr>
                          <w:rFonts w:ascii="Arial" w:hAnsi="Arial" w:cs="Arial"/>
                          <w:bCs/>
                          <w:i w:val="0"/>
                          <w:noProof/>
                          <w:color w:val="auto"/>
                          <w:sz w:val="20"/>
                          <w:szCs w:val="20"/>
                          <w:lang w:val="en-GB"/>
                        </w:rPr>
                        <w:t xml:space="preserve">; n = 3). Significance evaluated by Student t-test. </w:t>
                      </w:r>
                      <w:r w:rsidRPr="00982988">
                        <w:rPr>
                          <w:rFonts w:ascii="Arial" w:hAnsi="Arial" w:cs="Arial"/>
                          <w:b/>
                          <w:bCs/>
                          <w:i w:val="0"/>
                          <w:noProof/>
                          <w:color w:val="auto"/>
                          <w:sz w:val="20"/>
                          <w:szCs w:val="20"/>
                          <w:lang w:val="en-GB"/>
                        </w:rPr>
                        <w:t>d</w:t>
                      </w:r>
                      <w:r w:rsidRPr="00982988">
                        <w:rPr>
                          <w:rFonts w:ascii="Arial" w:hAnsi="Arial" w:cs="Arial"/>
                          <w:bCs/>
                          <w:i w:val="0"/>
                          <w:noProof/>
                          <w:color w:val="auto"/>
                          <w:sz w:val="20"/>
                          <w:szCs w:val="20"/>
                          <w:lang w:val="en-GB"/>
                        </w:rPr>
                        <w:t>, Bru-seq PCA of sheared OVSAHO cells (11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xml:space="preserve">, 1 hr). </w:t>
                      </w:r>
                      <w:r w:rsidRPr="00982988">
                        <w:rPr>
                          <w:rFonts w:ascii="Arial" w:hAnsi="Arial" w:cs="Arial"/>
                          <w:b/>
                          <w:bCs/>
                          <w:i w:val="0"/>
                          <w:noProof/>
                          <w:color w:val="auto"/>
                          <w:sz w:val="20"/>
                          <w:szCs w:val="20"/>
                          <w:lang w:val="en-GB"/>
                        </w:rPr>
                        <w:t>e</w:t>
                      </w:r>
                      <w:r w:rsidRPr="00982988">
                        <w:rPr>
                          <w:rFonts w:ascii="Arial" w:hAnsi="Arial" w:cs="Arial"/>
                          <w:bCs/>
                          <w:i w:val="0"/>
                          <w:noProof/>
                          <w:color w:val="auto"/>
                          <w:sz w:val="20"/>
                          <w:szCs w:val="20"/>
                          <w:lang w:val="en-GB"/>
                        </w:rPr>
                        <w:t xml:space="preserve">, Nascent </w:t>
                      </w:r>
                      <w:r w:rsidRPr="00982988">
                        <w:rPr>
                          <w:rFonts w:ascii="Arial" w:hAnsi="Arial" w:cs="Arial"/>
                          <w:bCs/>
                          <w:noProof/>
                          <w:color w:val="auto"/>
                          <w:sz w:val="20"/>
                          <w:szCs w:val="20"/>
                          <w:lang w:val="en-GB"/>
                        </w:rPr>
                        <w:t>MUC15</w:t>
                      </w:r>
                      <w:r w:rsidRPr="00982988">
                        <w:rPr>
                          <w:rFonts w:ascii="Arial" w:hAnsi="Arial" w:cs="Arial"/>
                          <w:bCs/>
                          <w:i w:val="0"/>
                          <w:noProof/>
                          <w:color w:val="auto"/>
                          <w:sz w:val="20"/>
                          <w:szCs w:val="20"/>
                          <w:lang w:val="en-GB"/>
                        </w:rPr>
                        <w:t xml:space="preserve"> RNA signal from Bru-seq libraries is represented as reads per kilobase per million (RPKM) and is shown for the static control (green) and shear condition (yellow). </w:t>
                      </w:r>
                      <w:r w:rsidRPr="00982988">
                        <w:rPr>
                          <w:rFonts w:ascii="Arial" w:hAnsi="Arial" w:cs="Arial"/>
                          <w:b/>
                          <w:bCs/>
                          <w:i w:val="0"/>
                          <w:noProof/>
                          <w:color w:val="auto"/>
                          <w:sz w:val="20"/>
                          <w:szCs w:val="20"/>
                          <w:lang w:val="en-GB"/>
                        </w:rPr>
                        <w:t>f</w:t>
                      </w:r>
                      <w:r w:rsidRPr="00982988">
                        <w:rPr>
                          <w:rFonts w:ascii="Arial" w:hAnsi="Arial" w:cs="Arial"/>
                          <w:bCs/>
                          <w:i w:val="0"/>
                          <w:noProof/>
                          <w:color w:val="auto"/>
                          <w:sz w:val="20"/>
                          <w:szCs w:val="20"/>
                          <w:lang w:val="en-GB"/>
                        </w:rPr>
                        <w:t>, GSEA of Bru-seq data showing gene sets upregulated and downregulated in OVSAHO following a 1 h</w:t>
                      </w:r>
                      <w:r>
                        <w:rPr>
                          <w:rFonts w:ascii="Arial" w:hAnsi="Arial" w:cs="Arial"/>
                          <w:bCs/>
                          <w:i w:val="0"/>
                          <w:noProof/>
                          <w:color w:val="auto"/>
                          <w:sz w:val="20"/>
                          <w:szCs w:val="20"/>
                          <w:lang w:val="en-GB"/>
                        </w:rPr>
                        <w:t>r</w:t>
                      </w:r>
                      <w:r w:rsidRPr="00982988">
                        <w:rPr>
                          <w:rFonts w:ascii="Arial" w:hAnsi="Arial" w:cs="Arial"/>
                          <w:bCs/>
                          <w:i w:val="0"/>
                          <w:noProof/>
                          <w:color w:val="auto"/>
                          <w:sz w:val="20"/>
                          <w:szCs w:val="20"/>
                          <w:lang w:val="en-GB"/>
                        </w:rPr>
                        <w:t xml:space="preserve"> exposure to shear. Gene sets in the Hallmark pathways are shown and the data is expressed as NES. </w:t>
                      </w:r>
                      <w:r w:rsidRPr="00982988">
                        <w:rPr>
                          <w:rFonts w:ascii="Arial" w:hAnsi="Arial" w:cs="Arial"/>
                          <w:b/>
                          <w:bCs/>
                          <w:i w:val="0"/>
                          <w:noProof/>
                          <w:color w:val="auto"/>
                          <w:sz w:val="20"/>
                          <w:szCs w:val="20"/>
                          <w:lang w:val="en-GB"/>
                        </w:rPr>
                        <w:t>g</w:t>
                      </w:r>
                      <w:r w:rsidRPr="00982988">
                        <w:rPr>
                          <w:rFonts w:ascii="Arial" w:hAnsi="Arial" w:cs="Arial"/>
                          <w:bCs/>
                          <w:i w:val="0"/>
                          <w:noProof/>
                          <w:color w:val="auto"/>
                          <w:sz w:val="20"/>
                          <w:szCs w:val="20"/>
                          <w:lang w:val="en-GB"/>
                        </w:rPr>
                        <w:t>, RNA-seq PCA of sheared OVCAR3 cells (11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xml:space="preserve">, 24 hr).  </w:t>
                      </w:r>
                      <w:r w:rsidRPr="00982988">
                        <w:rPr>
                          <w:rFonts w:ascii="Arial" w:hAnsi="Arial" w:cs="Arial"/>
                          <w:b/>
                          <w:bCs/>
                          <w:i w:val="0"/>
                          <w:noProof/>
                          <w:color w:val="auto"/>
                          <w:sz w:val="20"/>
                          <w:szCs w:val="20"/>
                          <w:lang w:val="en-GB"/>
                        </w:rPr>
                        <w:t>h</w:t>
                      </w:r>
                      <w:r w:rsidRPr="00982988">
                        <w:rPr>
                          <w:rFonts w:ascii="Arial" w:hAnsi="Arial" w:cs="Arial"/>
                          <w:bCs/>
                          <w:i w:val="0"/>
                          <w:noProof/>
                          <w:color w:val="auto"/>
                          <w:sz w:val="20"/>
                          <w:szCs w:val="20"/>
                          <w:lang w:val="en-GB"/>
                        </w:rPr>
                        <w:t xml:space="preserve">, ORA of RNA-seq data showing gene sets upregulated in OVCAR3 following 24 hr exposure to shear. Gene sets in the Hallmark pathways are shown and the data is expressed as enrichment ratio. </w:t>
                      </w:r>
                      <w:r w:rsidRPr="00982988">
                        <w:rPr>
                          <w:rFonts w:ascii="Arial" w:hAnsi="Arial" w:cs="Arial"/>
                          <w:b/>
                          <w:bCs/>
                          <w:i w:val="0"/>
                          <w:noProof/>
                          <w:color w:val="auto"/>
                          <w:sz w:val="20"/>
                          <w:szCs w:val="20"/>
                          <w:lang w:val="en-GB"/>
                        </w:rPr>
                        <w:t>i</w:t>
                      </w:r>
                      <w:r w:rsidRPr="00982988">
                        <w:rPr>
                          <w:rFonts w:ascii="Arial" w:hAnsi="Arial" w:cs="Arial"/>
                          <w:bCs/>
                          <w:i w:val="0"/>
                          <w:noProof/>
                          <w:color w:val="auto"/>
                          <w:sz w:val="20"/>
                          <w:szCs w:val="20"/>
                          <w:lang w:val="en-GB"/>
                        </w:rPr>
                        <w:t>,</w:t>
                      </w:r>
                      <w:r w:rsidRPr="00982988">
                        <w:rPr>
                          <w:rFonts w:ascii="Arial" w:hAnsi="Arial" w:cs="Arial"/>
                          <w:b/>
                          <w:bCs/>
                          <w:i w:val="0"/>
                          <w:noProof/>
                          <w:color w:val="auto"/>
                          <w:sz w:val="20"/>
                          <w:szCs w:val="20"/>
                          <w:lang w:val="en-GB"/>
                        </w:rPr>
                        <w:t>j</w:t>
                      </w:r>
                      <w:r w:rsidRPr="00982988">
                        <w:rPr>
                          <w:rFonts w:ascii="Arial" w:hAnsi="Arial" w:cs="Arial"/>
                          <w:bCs/>
                          <w:i w:val="0"/>
                          <w:noProof/>
                          <w:color w:val="auto"/>
                          <w:sz w:val="20"/>
                          <w:szCs w:val="20"/>
                          <w:lang w:val="en-GB"/>
                        </w:rPr>
                        <w:t>, NTA of RNA-seq representation of uniquely upregulated genes in sheared OVCAR3 when compared to sheared FTE237, gene sets in TCGA RNAseq TGCT (</w:t>
                      </w:r>
                      <w:r w:rsidRPr="00982988">
                        <w:rPr>
                          <w:rFonts w:ascii="Arial" w:hAnsi="Arial" w:cs="Arial"/>
                          <w:b/>
                          <w:bCs/>
                          <w:i w:val="0"/>
                          <w:noProof/>
                          <w:color w:val="auto"/>
                          <w:sz w:val="20"/>
                          <w:szCs w:val="20"/>
                          <w:lang w:val="en-GB"/>
                        </w:rPr>
                        <w:t>i</w:t>
                      </w:r>
                      <w:r w:rsidRPr="00982988">
                        <w:rPr>
                          <w:rFonts w:ascii="Arial" w:hAnsi="Arial" w:cs="Arial"/>
                          <w:bCs/>
                          <w:i w:val="0"/>
                          <w:noProof/>
                          <w:color w:val="auto"/>
                          <w:sz w:val="20"/>
                          <w:szCs w:val="20"/>
                          <w:lang w:val="en-GB"/>
                        </w:rPr>
                        <w:t>) and ACC (</w:t>
                      </w:r>
                      <w:r w:rsidRPr="00982988">
                        <w:rPr>
                          <w:rFonts w:ascii="Arial" w:hAnsi="Arial" w:cs="Arial"/>
                          <w:b/>
                          <w:bCs/>
                          <w:i w:val="0"/>
                          <w:noProof/>
                          <w:color w:val="auto"/>
                          <w:sz w:val="20"/>
                          <w:szCs w:val="20"/>
                          <w:lang w:val="en-GB"/>
                        </w:rPr>
                        <w:t>j</w:t>
                      </w:r>
                      <w:r w:rsidRPr="00982988">
                        <w:rPr>
                          <w:rFonts w:ascii="Arial" w:hAnsi="Arial" w:cs="Arial"/>
                          <w:bCs/>
                          <w:i w:val="0"/>
                          <w:noProof/>
                          <w:color w:val="auto"/>
                          <w:sz w:val="20"/>
                          <w:szCs w:val="20"/>
                          <w:lang w:val="en-GB"/>
                        </w:rPr>
                        <w:t xml:space="preserve">) datasets are shown. Significance evaluated by Student’s t-test, *P ≤ 0.05, </w:t>
                      </w:r>
                      <w:r w:rsidRPr="00982988">
                        <w:rPr>
                          <w:rFonts w:ascii="Arial" w:hAnsi="Arial" w:cs="Arial"/>
                          <w:bCs/>
                          <w:i w:val="0"/>
                          <w:noProof/>
                          <w:color w:val="auto"/>
                          <w:sz w:val="20"/>
                          <w:szCs w:val="20"/>
                          <w:vertAlign w:val="superscript"/>
                          <w:lang w:val="en-GB"/>
                        </w:rPr>
                        <w:t>**</w:t>
                      </w:r>
                      <w:r w:rsidRPr="00982988">
                        <w:rPr>
                          <w:rFonts w:ascii="Arial" w:hAnsi="Arial" w:cs="Arial"/>
                          <w:bCs/>
                          <w:i w:val="0"/>
                          <w:noProof/>
                          <w:color w:val="auto"/>
                          <w:sz w:val="20"/>
                          <w:szCs w:val="20"/>
                          <w:lang w:val="en-GB"/>
                        </w:rPr>
                        <w:t xml:space="preserve">P ≤ 0.01, </w:t>
                      </w:r>
                      <w:r w:rsidRPr="00982988">
                        <w:rPr>
                          <w:rFonts w:ascii="Arial" w:hAnsi="Arial" w:cs="Arial"/>
                          <w:bCs/>
                          <w:i w:val="0"/>
                          <w:noProof/>
                          <w:color w:val="auto"/>
                          <w:sz w:val="20"/>
                          <w:szCs w:val="20"/>
                          <w:vertAlign w:val="superscript"/>
                          <w:lang w:val="en-GB"/>
                        </w:rPr>
                        <w:t>***</w:t>
                      </w:r>
                      <w:r w:rsidRPr="00982988">
                        <w:rPr>
                          <w:rFonts w:ascii="Arial" w:hAnsi="Arial" w:cs="Arial"/>
                          <w:bCs/>
                          <w:i w:val="0"/>
                          <w:noProof/>
                          <w:color w:val="auto"/>
                          <w:sz w:val="20"/>
                          <w:szCs w:val="20"/>
                          <w:lang w:val="en-GB"/>
                        </w:rPr>
                        <w:t xml:space="preserve">P ≤ 0.001, </w:t>
                      </w:r>
                      <w:r w:rsidRPr="00982988">
                        <w:rPr>
                          <w:rFonts w:ascii="Arial" w:hAnsi="Arial" w:cs="Arial"/>
                          <w:bCs/>
                          <w:i w:val="0"/>
                          <w:noProof/>
                          <w:color w:val="auto"/>
                          <w:sz w:val="20"/>
                          <w:szCs w:val="20"/>
                          <w:vertAlign w:val="superscript"/>
                          <w:lang w:val="en-GB"/>
                        </w:rPr>
                        <w:t>****</w:t>
                      </w:r>
                      <w:r w:rsidRPr="00982988">
                        <w:rPr>
                          <w:rFonts w:ascii="Arial" w:hAnsi="Arial" w:cs="Arial"/>
                          <w:bCs/>
                          <w:i w:val="0"/>
                          <w:noProof/>
                          <w:color w:val="auto"/>
                          <w:sz w:val="20"/>
                          <w:szCs w:val="20"/>
                          <w:lang w:val="en-GB"/>
                        </w:rPr>
                        <w:t>P ≤ 0.0001.</w:t>
                      </w:r>
                    </w:p>
                    <w:p w14:paraId="3086E8EF" w14:textId="77777777" w:rsidR="00667525" w:rsidRPr="009062EA" w:rsidRDefault="00667525" w:rsidP="00667525">
                      <w:pPr>
                        <w:pStyle w:val="Caption"/>
                        <w:jc w:val="both"/>
                        <w:rPr>
                          <w:rFonts w:ascii="Arial" w:hAnsi="Arial" w:cs="Arial"/>
                          <w:i w:val="0"/>
                          <w:iCs w:val="0"/>
                          <w:noProof/>
                          <w:color w:val="auto"/>
                          <w:sz w:val="20"/>
                          <w:szCs w:val="20"/>
                        </w:rPr>
                      </w:pPr>
                    </w:p>
                  </w:txbxContent>
                </v:textbox>
                <w10:wrap type="square" anchorx="margin"/>
              </v:shape>
            </w:pict>
          </mc:Fallback>
        </mc:AlternateContent>
      </w:r>
      <w:r>
        <w:rPr>
          <w:rFonts w:ascii="Times New Roman" w:hAnsi="Times New Roman" w:cs="Times New Roman"/>
          <w:b/>
          <w:bCs/>
          <w:iCs/>
        </w:rPr>
        <w:br w:type="page"/>
      </w:r>
      <w:r>
        <w:rPr>
          <w:rFonts w:ascii="Times New Roman" w:hAnsi="Times New Roman" w:cs="Times New Roman"/>
          <w:b/>
          <w:bCs/>
          <w:iCs/>
          <w:noProof/>
          <w:lang w:val="en-GB" w:eastAsia="en-GB"/>
        </w:rPr>
        <w:lastRenderedPageBreak/>
        <w:drawing>
          <wp:anchor distT="0" distB="0" distL="114300" distR="114300" simplePos="0" relativeHeight="251666432" behindDoc="0" locked="0" layoutInCell="1" allowOverlap="1" wp14:anchorId="02A7979D" wp14:editId="7270265E">
            <wp:simplePos x="0" y="0"/>
            <wp:positionH relativeFrom="column">
              <wp:posOffset>-46412</wp:posOffset>
            </wp:positionH>
            <wp:positionV relativeFrom="paragraph">
              <wp:posOffset>0</wp:posOffset>
            </wp:positionV>
            <wp:extent cx="6057900" cy="4971415"/>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xtended Data Figure 3.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057900" cy="4971415"/>
                    </a:xfrm>
                    <a:prstGeom prst="rect">
                      <a:avLst/>
                    </a:prstGeom>
                  </pic:spPr>
                </pic:pic>
              </a:graphicData>
            </a:graphic>
            <wp14:sizeRelH relativeFrom="margin">
              <wp14:pctWidth>0</wp14:pctWidth>
            </wp14:sizeRelH>
            <wp14:sizeRelV relativeFrom="margin">
              <wp14:pctHeight>0</wp14:pctHeight>
            </wp14:sizeRelV>
          </wp:anchor>
        </w:drawing>
      </w:r>
      <w:r>
        <w:rPr>
          <w:noProof/>
          <w:lang w:val="en-GB" w:eastAsia="en-GB"/>
        </w:rPr>
        <mc:AlternateContent>
          <mc:Choice Requires="wps">
            <w:drawing>
              <wp:anchor distT="0" distB="0" distL="114300" distR="114300" simplePos="0" relativeHeight="251660288" behindDoc="0" locked="0" layoutInCell="1" allowOverlap="1" wp14:anchorId="537CD72A" wp14:editId="77575021">
                <wp:simplePos x="0" y="0"/>
                <wp:positionH relativeFrom="column">
                  <wp:posOffset>0</wp:posOffset>
                </wp:positionH>
                <wp:positionV relativeFrom="paragraph">
                  <wp:posOffset>5050155</wp:posOffset>
                </wp:positionV>
                <wp:extent cx="5937885" cy="635"/>
                <wp:effectExtent l="0" t="0" r="0" b="0"/>
                <wp:wrapSquare wrapText="bothSides"/>
                <wp:docPr id="216303901" name="Text Box 1"/>
                <wp:cNvGraphicFramePr/>
                <a:graphic xmlns:a="http://schemas.openxmlformats.org/drawingml/2006/main">
                  <a:graphicData uri="http://schemas.microsoft.com/office/word/2010/wordprocessingShape">
                    <wps:wsp>
                      <wps:cNvSpPr txBox="1"/>
                      <wps:spPr>
                        <a:xfrm>
                          <a:off x="0" y="0"/>
                          <a:ext cx="5937885" cy="635"/>
                        </a:xfrm>
                        <a:prstGeom prst="rect">
                          <a:avLst/>
                        </a:prstGeom>
                        <a:solidFill>
                          <a:prstClr val="white"/>
                        </a:solidFill>
                        <a:ln>
                          <a:noFill/>
                        </a:ln>
                      </wps:spPr>
                      <wps:txbx>
                        <w:txbxContent>
                          <w:p w14:paraId="7CC35DC7" w14:textId="77777777" w:rsidR="00667525" w:rsidRPr="006749FD" w:rsidRDefault="00667525" w:rsidP="00667525">
                            <w:pPr>
                              <w:pStyle w:val="Caption"/>
                              <w:jc w:val="both"/>
                              <w:rPr>
                                <w:rFonts w:ascii="Arial" w:hAnsi="Arial" w:cs="Arial"/>
                                <w:i w:val="0"/>
                                <w:iCs w:val="0"/>
                                <w:noProof/>
                                <w:color w:val="auto"/>
                                <w:sz w:val="20"/>
                                <w:szCs w:val="20"/>
                              </w:rPr>
                            </w:pPr>
                            <w:r w:rsidRPr="006749FD">
                              <w:rPr>
                                <w:rFonts w:ascii="Arial" w:hAnsi="Arial" w:cs="Arial"/>
                                <w:b/>
                                <w:bCs/>
                                <w:i w:val="0"/>
                                <w:iCs w:val="0"/>
                                <w:noProof/>
                                <w:color w:val="auto"/>
                                <w:sz w:val="20"/>
                                <w:szCs w:val="20"/>
                              </w:rPr>
                              <w:t xml:space="preserve">Extended Data Fig. 3 | FSS-activated signal transducers in ovarian cancer cells. </w:t>
                            </w:r>
                            <w:r w:rsidRPr="006749FD">
                              <w:rPr>
                                <w:rFonts w:ascii="Arial" w:hAnsi="Arial" w:cs="Arial"/>
                                <w:i w:val="0"/>
                                <w:iCs w:val="0"/>
                                <w:noProof/>
                                <w:color w:val="auto"/>
                                <w:sz w:val="20"/>
                                <w:szCs w:val="20"/>
                              </w:rPr>
                              <w:t>OVCAR3 and OVSAHO cell lines were exposed to static conditions or 11 dynes/cm</w:t>
                            </w:r>
                            <w:r w:rsidRPr="006749FD">
                              <w:rPr>
                                <w:rFonts w:ascii="Arial" w:hAnsi="Arial" w:cs="Arial"/>
                                <w:i w:val="0"/>
                                <w:iCs w:val="0"/>
                                <w:noProof/>
                                <w:color w:val="auto"/>
                                <w:sz w:val="20"/>
                                <w:szCs w:val="20"/>
                                <w:vertAlign w:val="superscript"/>
                              </w:rPr>
                              <w:t>2</w:t>
                            </w:r>
                            <w:r w:rsidRPr="006749FD">
                              <w:rPr>
                                <w:rFonts w:ascii="Arial" w:hAnsi="Arial" w:cs="Arial"/>
                                <w:i w:val="0"/>
                                <w:iCs w:val="0"/>
                                <w:noProof/>
                                <w:color w:val="auto"/>
                                <w:sz w:val="20"/>
                                <w:szCs w:val="20"/>
                              </w:rPr>
                              <w:t xml:space="preserve"> FSS for 24 hr. </w:t>
                            </w:r>
                            <w:r w:rsidRPr="006749FD">
                              <w:rPr>
                                <w:rFonts w:ascii="Arial" w:hAnsi="Arial" w:cs="Arial"/>
                                <w:b/>
                                <w:bCs/>
                                <w:i w:val="0"/>
                                <w:iCs w:val="0"/>
                                <w:noProof/>
                                <w:color w:val="auto"/>
                                <w:sz w:val="20"/>
                                <w:szCs w:val="20"/>
                              </w:rPr>
                              <w:t>a</w:t>
                            </w:r>
                            <w:r w:rsidRPr="006749FD">
                              <w:rPr>
                                <w:rFonts w:ascii="Arial" w:hAnsi="Arial" w:cs="Arial"/>
                                <w:i w:val="0"/>
                                <w:iCs w:val="0"/>
                                <w:noProof/>
                                <w:color w:val="auto"/>
                                <w:sz w:val="20"/>
                                <w:szCs w:val="20"/>
                              </w:rPr>
                              <w:t xml:space="preserve">, MUC15 immunohistochemistry and quantification of MUC15 fold change between paired tumour sections from primary and metastatic sites of HGSC patients (stages III and IV). </w:t>
                            </w:r>
                            <w:r w:rsidRPr="006749FD">
                              <w:rPr>
                                <w:rFonts w:ascii="Arial" w:hAnsi="Arial" w:cs="Arial"/>
                                <w:b/>
                                <w:bCs/>
                                <w:i w:val="0"/>
                                <w:iCs w:val="0"/>
                                <w:noProof/>
                                <w:color w:val="auto"/>
                                <w:sz w:val="20"/>
                                <w:szCs w:val="20"/>
                              </w:rPr>
                              <w:t>b</w:t>
                            </w:r>
                            <w:r w:rsidRPr="006749FD">
                              <w:rPr>
                                <w:rFonts w:ascii="Arial" w:hAnsi="Arial" w:cs="Arial"/>
                                <w:i w:val="0"/>
                                <w:iCs w:val="0"/>
                                <w:noProof/>
                                <w:color w:val="auto"/>
                                <w:sz w:val="20"/>
                                <w:szCs w:val="20"/>
                              </w:rPr>
                              <w:t>, Protein expression and quantification of EMT markers in static and sheared OVCAR3 and OVSAHO cells (11 dynes/cm</w:t>
                            </w:r>
                            <w:r w:rsidRPr="006749FD">
                              <w:rPr>
                                <w:rFonts w:ascii="Arial" w:hAnsi="Arial" w:cs="Arial"/>
                                <w:i w:val="0"/>
                                <w:iCs w:val="0"/>
                                <w:noProof/>
                                <w:color w:val="auto"/>
                                <w:sz w:val="20"/>
                                <w:szCs w:val="20"/>
                                <w:vertAlign w:val="superscript"/>
                              </w:rPr>
                              <w:t>2</w:t>
                            </w:r>
                            <w:r w:rsidRPr="006749FD">
                              <w:rPr>
                                <w:rFonts w:ascii="Arial" w:hAnsi="Arial" w:cs="Arial"/>
                                <w:i w:val="0"/>
                                <w:iCs w:val="0"/>
                                <w:noProof/>
                                <w:color w:val="auto"/>
                                <w:sz w:val="20"/>
                                <w:szCs w:val="20"/>
                              </w:rPr>
                              <w:t xml:space="preserve">, 24 hr). </w:t>
                            </w:r>
                            <w:r w:rsidRPr="006749FD">
                              <w:rPr>
                                <w:rFonts w:ascii="Arial" w:hAnsi="Arial" w:cs="Arial"/>
                                <w:b/>
                                <w:bCs/>
                                <w:i w:val="0"/>
                                <w:iCs w:val="0"/>
                                <w:noProof/>
                                <w:color w:val="auto"/>
                                <w:sz w:val="20"/>
                                <w:szCs w:val="20"/>
                              </w:rPr>
                              <w:t>c</w:t>
                            </w:r>
                            <w:r w:rsidRPr="006749FD">
                              <w:rPr>
                                <w:rFonts w:ascii="Arial" w:hAnsi="Arial" w:cs="Arial"/>
                                <w:i w:val="0"/>
                                <w:iCs w:val="0"/>
                                <w:noProof/>
                                <w:color w:val="auto"/>
                                <w:sz w:val="20"/>
                                <w:szCs w:val="20"/>
                              </w:rPr>
                              <w:t xml:space="preserve">, Phospho-kinase array quantification of suspected FSS signal transducers. </w:t>
                            </w:r>
                            <w:r w:rsidRPr="006749FD">
                              <w:rPr>
                                <w:rFonts w:ascii="Arial" w:hAnsi="Arial" w:cs="Arial"/>
                                <w:b/>
                                <w:bCs/>
                                <w:i w:val="0"/>
                                <w:iCs w:val="0"/>
                                <w:noProof/>
                                <w:color w:val="auto"/>
                                <w:sz w:val="20"/>
                                <w:szCs w:val="20"/>
                              </w:rPr>
                              <w:t>d</w:t>
                            </w:r>
                            <w:r w:rsidRPr="006749FD">
                              <w:rPr>
                                <w:rFonts w:ascii="Arial" w:hAnsi="Arial" w:cs="Arial"/>
                                <w:i w:val="0"/>
                                <w:iCs w:val="0"/>
                                <w:noProof/>
                                <w:color w:val="auto"/>
                                <w:sz w:val="20"/>
                                <w:szCs w:val="20"/>
                              </w:rPr>
                              <w:t>, Phospho-kinase array legend. Significance evaluated by Student’s t-test.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37CD72A" id="_x0000_s1028" type="#_x0000_t202" style="position:absolute;margin-left:0;margin-top:397.65pt;width:467.5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" stroked="f">
                <v:textbox style="mso-fit-shape-to-text:t" inset="0,0,0,0">
                  <w:txbxContent>
                    <w:p w14:paraId="7CC35DC7" w14:textId="77777777" w:rsidR="00667525" w:rsidRPr="006749FD" w:rsidRDefault="00667525" w:rsidP="00667525">
                      <w:pPr>
                        <w:pStyle w:val="Caption"/>
                        <w:jc w:val="both"/>
                        <w:rPr>
                          <w:rFonts w:ascii="Arial" w:hAnsi="Arial" w:cs="Arial"/>
                          <w:i w:val="0"/>
                          <w:iCs w:val="0"/>
                          <w:noProof/>
                          <w:color w:val="auto"/>
                          <w:sz w:val="20"/>
                          <w:szCs w:val="20"/>
                        </w:rPr>
                      </w:pPr>
                      <w:r w:rsidRPr="006749FD">
                        <w:rPr>
                          <w:rFonts w:ascii="Arial" w:hAnsi="Arial" w:cs="Arial"/>
                          <w:b/>
                          <w:bCs/>
                          <w:i w:val="0"/>
                          <w:iCs w:val="0"/>
                          <w:noProof/>
                          <w:color w:val="auto"/>
                          <w:sz w:val="20"/>
                          <w:szCs w:val="20"/>
                        </w:rPr>
                        <w:t xml:space="preserve">Extended Data Fig. 3 | FSS-activated signal transducers in ovarian cancer cells. </w:t>
                      </w:r>
                      <w:r w:rsidRPr="006749FD">
                        <w:rPr>
                          <w:rFonts w:ascii="Arial" w:hAnsi="Arial" w:cs="Arial"/>
                          <w:i w:val="0"/>
                          <w:iCs w:val="0"/>
                          <w:noProof/>
                          <w:color w:val="auto"/>
                          <w:sz w:val="20"/>
                          <w:szCs w:val="20"/>
                        </w:rPr>
                        <w:t>OVCAR3 and OVSAHO cell lines were exposed to static conditions or 11 dynes/cm</w:t>
                      </w:r>
                      <w:r w:rsidRPr="006749FD">
                        <w:rPr>
                          <w:rFonts w:ascii="Arial" w:hAnsi="Arial" w:cs="Arial"/>
                          <w:i w:val="0"/>
                          <w:iCs w:val="0"/>
                          <w:noProof/>
                          <w:color w:val="auto"/>
                          <w:sz w:val="20"/>
                          <w:szCs w:val="20"/>
                          <w:vertAlign w:val="superscript"/>
                        </w:rPr>
                        <w:t>2</w:t>
                      </w:r>
                      <w:r w:rsidRPr="006749FD">
                        <w:rPr>
                          <w:rFonts w:ascii="Arial" w:hAnsi="Arial" w:cs="Arial"/>
                          <w:i w:val="0"/>
                          <w:iCs w:val="0"/>
                          <w:noProof/>
                          <w:color w:val="auto"/>
                          <w:sz w:val="20"/>
                          <w:szCs w:val="20"/>
                        </w:rPr>
                        <w:t xml:space="preserve"> FSS for 24 hr. </w:t>
                      </w:r>
                      <w:r w:rsidRPr="006749FD">
                        <w:rPr>
                          <w:rFonts w:ascii="Arial" w:hAnsi="Arial" w:cs="Arial"/>
                          <w:b/>
                          <w:bCs/>
                          <w:i w:val="0"/>
                          <w:iCs w:val="0"/>
                          <w:noProof/>
                          <w:color w:val="auto"/>
                          <w:sz w:val="20"/>
                          <w:szCs w:val="20"/>
                        </w:rPr>
                        <w:t>a</w:t>
                      </w:r>
                      <w:r w:rsidRPr="006749FD">
                        <w:rPr>
                          <w:rFonts w:ascii="Arial" w:hAnsi="Arial" w:cs="Arial"/>
                          <w:i w:val="0"/>
                          <w:iCs w:val="0"/>
                          <w:noProof/>
                          <w:color w:val="auto"/>
                          <w:sz w:val="20"/>
                          <w:szCs w:val="20"/>
                        </w:rPr>
                        <w:t xml:space="preserve">, MUC15 immunohistochemistry and quantification of MUC15 fold change between paired tumour sections from primary and metastatic sites of HGSC patients (stages III and IV). </w:t>
                      </w:r>
                      <w:r w:rsidRPr="006749FD">
                        <w:rPr>
                          <w:rFonts w:ascii="Arial" w:hAnsi="Arial" w:cs="Arial"/>
                          <w:b/>
                          <w:bCs/>
                          <w:i w:val="0"/>
                          <w:iCs w:val="0"/>
                          <w:noProof/>
                          <w:color w:val="auto"/>
                          <w:sz w:val="20"/>
                          <w:szCs w:val="20"/>
                        </w:rPr>
                        <w:t>b</w:t>
                      </w:r>
                      <w:r w:rsidRPr="006749FD">
                        <w:rPr>
                          <w:rFonts w:ascii="Arial" w:hAnsi="Arial" w:cs="Arial"/>
                          <w:i w:val="0"/>
                          <w:iCs w:val="0"/>
                          <w:noProof/>
                          <w:color w:val="auto"/>
                          <w:sz w:val="20"/>
                          <w:szCs w:val="20"/>
                        </w:rPr>
                        <w:t>, Protein expression and quantification of EMT markers in static and sheared OVCAR3 and OVSAHO cells (11 dynes/cm</w:t>
                      </w:r>
                      <w:r w:rsidRPr="006749FD">
                        <w:rPr>
                          <w:rFonts w:ascii="Arial" w:hAnsi="Arial" w:cs="Arial"/>
                          <w:i w:val="0"/>
                          <w:iCs w:val="0"/>
                          <w:noProof/>
                          <w:color w:val="auto"/>
                          <w:sz w:val="20"/>
                          <w:szCs w:val="20"/>
                          <w:vertAlign w:val="superscript"/>
                        </w:rPr>
                        <w:t>2</w:t>
                      </w:r>
                      <w:r w:rsidRPr="006749FD">
                        <w:rPr>
                          <w:rFonts w:ascii="Arial" w:hAnsi="Arial" w:cs="Arial"/>
                          <w:i w:val="0"/>
                          <w:iCs w:val="0"/>
                          <w:noProof/>
                          <w:color w:val="auto"/>
                          <w:sz w:val="20"/>
                          <w:szCs w:val="20"/>
                        </w:rPr>
                        <w:t xml:space="preserve">, 24 hr). </w:t>
                      </w:r>
                      <w:r w:rsidRPr="006749FD">
                        <w:rPr>
                          <w:rFonts w:ascii="Arial" w:hAnsi="Arial" w:cs="Arial"/>
                          <w:b/>
                          <w:bCs/>
                          <w:i w:val="0"/>
                          <w:iCs w:val="0"/>
                          <w:noProof/>
                          <w:color w:val="auto"/>
                          <w:sz w:val="20"/>
                          <w:szCs w:val="20"/>
                        </w:rPr>
                        <w:t>c</w:t>
                      </w:r>
                      <w:r w:rsidRPr="006749FD">
                        <w:rPr>
                          <w:rFonts w:ascii="Arial" w:hAnsi="Arial" w:cs="Arial"/>
                          <w:i w:val="0"/>
                          <w:iCs w:val="0"/>
                          <w:noProof/>
                          <w:color w:val="auto"/>
                          <w:sz w:val="20"/>
                          <w:szCs w:val="20"/>
                        </w:rPr>
                        <w:t xml:space="preserve">, Phospho-kinase array quantification of suspected FSS signal transducers. </w:t>
                      </w:r>
                      <w:r w:rsidRPr="006749FD">
                        <w:rPr>
                          <w:rFonts w:ascii="Arial" w:hAnsi="Arial" w:cs="Arial"/>
                          <w:b/>
                          <w:bCs/>
                          <w:i w:val="0"/>
                          <w:iCs w:val="0"/>
                          <w:noProof/>
                          <w:color w:val="auto"/>
                          <w:sz w:val="20"/>
                          <w:szCs w:val="20"/>
                        </w:rPr>
                        <w:t>d</w:t>
                      </w:r>
                      <w:r w:rsidRPr="006749FD">
                        <w:rPr>
                          <w:rFonts w:ascii="Arial" w:hAnsi="Arial" w:cs="Arial"/>
                          <w:i w:val="0"/>
                          <w:iCs w:val="0"/>
                          <w:noProof/>
                          <w:color w:val="auto"/>
                          <w:sz w:val="20"/>
                          <w:szCs w:val="20"/>
                        </w:rPr>
                        <w:t>, Phospho-kinase array legend. Significance evaluated by Student’s t-test.</w:t>
                      </w:r>
                    </w:p>
                  </w:txbxContent>
                </v:textbox>
                <w10:wrap type="square"/>
              </v:shape>
            </w:pict>
          </mc:Fallback>
        </mc:AlternateContent>
      </w:r>
      <w:r>
        <w:rPr>
          <w:rFonts w:ascii="Times New Roman" w:hAnsi="Times New Roman" w:cs="Times New Roman"/>
          <w:b/>
          <w:bCs/>
          <w:iCs/>
        </w:rPr>
        <w:br w:type="page"/>
      </w:r>
    </w:p>
    <w:p w14:paraId="7E6D788D" w14:textId="77777777" w:rsidR="00667525" w:rsidRDefault="00667525" w:rsidP="00667525">
      <w:pPr>
        <w:rPr>
          <w:rFonts w:ascii="Times New Roman" w:hAnsi="Times New Roman" w:cs="Times New Roman"/>
          <w:b/>
          <w:bCs/>
          <w:iCs/>
        </w:rPr>
      </w:pPr>
      <w:r>
        <w:rPr>
          <w:rFonts w:ascii="Times New Roman" w:hAnsi="Times New Roman" w:cs="Times New Roman"/>
          <w:b/>
          <w:bCs/>
          <w:iCs/>
          <w:noProof/>
          <w:lang w:val="en-GB" w:eastAsia="en-GB"/>
        </w:rPr>
        <w:lastRenderedPageBreak/>
        <w:drawing>
          <wp:anchor distT="0" distB="0" distL="114300" distR="114300" simplePos="0" relativeHeight="251667456" behindDoc="0" locked="0" layoutInCell="1" allowOverlap="1" wp14:anchorId="6BA9F513" wp14:editId="722BDA1A">
            <wp:simplePos x="0" y="0"/>
            <wp:positionH relativeFrom="column">
              <wp:posOffset>-46061</wp:posOffset>
            </wp:positionH>
            <wp:positionV relativeFrom="paragraph">
              <wp:posOffset>10236</wp:posOffset>
            </wp:positionV>
            <wp:extent cx="6080125" cy="5257800"/>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xtended Data Figure 4.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80125" cy="5257800"/>
                    </a:xfrm>
                    <a:prstGeom prst="rect">
                      <a:avLst/>
                    </a:prstGeom>
                  </pic:spPr>
                </pic:pic>
              </a:graphicData>
            </a:graphic>
            <wp14:sizeRelH relativeFrom="margin">
              <wp14:pctWidth>0</wp14:pctWidth>
            </wp14:sizeRelH>
            <wp14:sizeRelV relativeFrom="margin">
              <wp14:pctHeight>0</wp14:pctHeight>
            </wp14:sizeRelV>
          </wp:anchor>
        </w:drawing>
      </w:r>
      <w:r>
        <w:rPr>
          <w:noProof/>
          <w:lang w:val="en-GB" w:eastAsia="en-GB"/>
        </w:rPr>
        <mc:AlternateContent>
          <mc:Choice Requires="wps">
            <w:drawing>
              <wp:anchor distT="0" distB="0" distL="114300" distR="114300" simplePos="0" relativeHeight="251661312" behindDoc="0" locked="0" layoutInCell="1" allowOverlap="1" wp14:anchorId="175B0F8F" wp14:editId="1B709B05">
                <wp:simplePos x="0" y="0"/>
                <wp:positionH relativeFrom="column">
                  <wp:posOffset>0</wp:posOffset>
                </wp:positionH>
                <wp:positionV relativeFrom="paragraph">
                  <wp:posOffset>5264785</wp:posOffset>
                </wp:positionV>
                <wp:extent cx="5934710" cy="635"/>
                <wp:effectExtent l="0" t="0" r="0" b="0"/>
                <wp:wrapSquare wrapText="bothSides"/>
                <wp:docPr id="1844556297" name="Text Box 1"/>
                <wp:cNvGraphicFramePr/>
                <a:graphic xmlns:a="http://schemas.openxmlformats.org/drawingml/2006/main">
                  <a:graphicData uri="http://schemas.microsoft.com/office/word/2010/wordprocessingShape">
                    <wps:wsp>
                      <wps:cNvSpPr txBox="1"/>
                      <wps:spPr>
                        <a:xfrm>
                          <a:off x="0" y="0"/>
                          <a:ext cx="5934710" cy="635"/>
                        </a:xfrm>
                        <a:prstGeom prst="rect">
                          <a:avLst/>
                        </a:prstGeom>
                        <a:solidFill>
                          <a:prstClr val="white"/>
                        </a:solidFill>
                        <a:ln>
                          <a:noFill/>
                        </a:ln>
                      </wps:spPr>
                      <wps:txbx>
                        <w:txbxContent>
                          <w:p w14:paraId="660D09BB" w14:textId="77777777" w:rsidR="00667525" w:rsidRPr="00544599" w:rsidRDefault="00667525" w:rsidP="00667525">
                            <w:pPr>
                              <w:pStyle w:val="Caption"/>
                              <w:jc w:val="both"/>
                              <w:rPr>
                                <w:rFonts w:ascii="Arial" w:hAnsi="Arial" w:cs="Arial"/>
                                <w:i w:val="0"/>
                                <w:iCs w:val="0"/>
                                <w:noProof/>
                                <w:color w:val="auto"/>
                                <w:sz w:val="20"/>
                                <w:szCs w:val="20"/>
                              </w:rPr>
                            </w:pPr>
                            <w:r w:rsidRPr="00544599">
                              <w:rPr>
                                <w:rFonts w:ascii="Arial" w:hAnsi="Arial" w:cs="Arial"/>
                                <w:b/>
                                <w:bCs/>
                                <w:i w:val="0"/>
                                <w:iCs w:val="0"/>
                                <w:noProof/>
                                <w:color w:val="auto"/>
                                <w:sz w:val="20"/>
                                <w:szCs w:val="20"/>
                              </w:rPr>
                              <w:t>Extended Data Fig. 4 | p38α MAPK signaling and MUC15 in ovarian cancer cell FSS-associated behaviors.</w:t>
                            </w:r>
                            <w:r w:rsidRPr="00544599">
                              <w:rPr>
                                <w:rFonts w:ascii="Arial" w:hAnsi="Arial" w:cs="Arial"/>
                                <w:i w:val="0"/>
                                <w:iCs w:val="0"/>
                                <w:noProof/>
                                <w:color w:val="auto"/>
                                <w:sz w:val="20"/>
                                <w:szCs w:val="20"/>
                              </w:rPr>
                              <w:t xml:space="preserve"> </w:t>
                            </w:r>
                            <w:r w:rsidRPr="00544599">
                              <w:rPr>
                                <w:rFonts w:ascii="Arial" w:hAnsi="Arial" w:cs="Arial"/>
                                <w:b/>
                                <w:bCs/>
                                <w:i w:val="0"/>
                                <w:iCs w:val="0"/>
                                <w:noProof/>
                                <w:color w:val="auto"/>
                                <w:sz w:val="20"/>
                                <w:szCs w:val="20"/>
                              </w:rPr>
                              <w:t>a</w:t>
                            </w:r>
                            <w:r w:rsidRPr="00544599">
                              <w:rPr>
                                <w:rFonts w:ascii="Arial" w:hAnsi="Arial" w:cs="Arial"/>
                                <w:i w:val="0"/>
                                <w:iCs w:val="0"/>
                                <w:noProof/>
                                <w:color w:val="auto"/>
                                <w:sz w:val="20"/>
                                <w:szCs w:val="20"/>
                              </w:rPr>
                              <w:t>, Protein expression and quantification of p38α MAPK-associated signaling molecules in static and sheared OVSAHO cells (11 dynes/cm</w:t>
                            </w:r>
                            <w:r w:rsidRPr="00544599">
                              <w:rPr>
                                <w:rFonts w:ascii="Arial" w:hAnsi="Arial" w:cs="Arial"/>
                                <w:i w:val="0"/>
                                <w:iCs w:val="0"/>
                                <w:noProof/>
                                <w:color w:val="auto"/>
                                <w:sz w:val="20"/>
                                <w:szCs w:val="20"/>
                                <w:vertAlign w:val="superscript"/>
                              </w:rPr>
                              <w:t>2</w:t>
                            </w:r>
                            <w:r w:rsidRPr="00544599">
                              <w:rPr>
                                <w:rFonts w:ascii="Arial" w:hAnsi="Arial" w:cs="Arial"/>
                                <w:i w:val="0"/>
                                <w:iCs w:val="0"/>
                                <w:noProof/>
                                <w:color w:val="auto"/>
                                <w:sz w:val="20"/>
                                <w:szCs w:val="20"/>
                              </w:rPr>
                              <w:t xml:space="preserve">, 24 hr). Significance evaluated by Student’s t-test. </w:t>
                            </w:r>
                            <w:r w:rsidRPr="00544599">
                              <w:rPr>
                                <w:rFonts w:ascii="Arial" w:hAnsi="Arial" w:cs="Arial"/>
                                <w:b/>
                                <w:bCs/>
                                <w:i w:val="0"/>
                                <w:iCs w:val="0"/>
                                <w:noProof/>
                                <w:color w:val="auto"/>
                                <w:sz w:val="20"/>
                                <w:szCs w:val="20"/>
                              </w:rPr>
                              <w:t>b</w:t>
                            </w:r>
                            <w:r w:rsidRPr="00544599">
                              <w:rPr>
                                <w:rFonts w:ascii="Arial" w:hAnsi="Arial" w:cs="Arial"/>
                                <w:i w:val="0"/>
                                <w:iCs w:val="0"/>
                                <w:noProof/>
                                <w:color w:val="auto"/>
                                <w:sz w:val="20"/>
                                <w:szCs w:val="20"/>
                              </w:rPr>
                              <w:t xml:space="preserve">, MUC15 protein expression of the OVCAR3 parental line and MUC15-transduced overexpressing, knockdown, and scramble control lines. </w:t>
                            </w:r>
                            <w:r w:rsidRPr="00544599">
                              <w:rPr>
                                <w:rFonts w:ascii="Arial" w:hAnsi="Arial" w:cs="Arial"/>
                                <w:b/>
                                <w:bCs/>
                                <w:i w:val="0"/>
                                <w:iCs w:val="0"/>
                                <w:noProof/>
                                <w:color w:val="auto"/>
                                <w:sz w:val="20"/>
                                <w:szCs w:val="20"/>
                              </w:rPr>
                              <w:t>c</w:t>
                            </w:r>
                            <w:r w:rsidRPr="00544599">
                              <w:rPr>
                                <w:rFonts w:ascii="Arial" w:hAnsi="Arial" w:cs="Arial"/>
                                <w:i w:val="0"/>
                                <w:iCs w:val="0"/>
                                <w:noProof/>
                                <w:color w:val="auto"/>
                                <w:sz w:val="20"/>
                                <w:szCs w:val="20"/>
                              </w:rPr>
                              <w:t xml:space="preserve">, Phopsho-kinase array and quantification of suspected FSS signal transducers in MUC15 knockdown and scrambled shRNA control OVCAR4. </w:t>
                            </w:r>
                            <w:r w:rsidRPr="00544599">
                              <w:rPr>
                                <w:rFonts w:ascii="Arial" w:hAnsi="Arial" w:cs="Arial"/>
                                <w:b/>
                                <w:bCs/>
                                <w:i w:val="0"/>
                                <w:iCs w:val="0"/>
                                <w:noProof/>
                                <w:color w:val="auto"/>
                                <w:sz w:val="20"/>
                                <w:szCs w:val="20"/>
                              </w:rPr>
                              <w:t>d</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e</w:t>
                            </w:r>
                            <w:r w:rsidRPr="00544599">
                              <w:rPr>
                                <w:rFonts w:ascii="Arial" w:hAnsi="Arial" w:cs="Arial"/>
                                <w:i w:val="0"/>
                                <w:iCs w:val="0"/>
                                <w:noProof/>
                                <w:color w:val="auto"/>
                                <w:sz w:val="20"/>
                                <w:szCs w:val="20"/>
                              </w:rPr>
                              <w:t>, MUC15-transduced OVCAR4 Boyden chamber Matrigel invasion assays (</w:t>
                            </w:r>
                            <w:r w:rsidRPr="00544599">
                              <w:rPr>
                                <w:rFonts w:ascii="Arial" w:hAnsi="Arial" w:cs="Arial"/>
                                <w:b/>
                                <w:bCs/>
                                <w:i w:val="0"/>
                                <w:iCs w:val="0"/>
                                <w:noProof/>
                                <w:color w:val="auto"/>
                                <w:sz w:val="20"/>
                                <w:szCs w:val="20"/>
                              </w:rPr>
                              <w:t>d</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e</w:t>
                            </w:r>
                            <w:r w:rsidRPr="00544599">
                              <w:rPr>
                                <w:rFonts w:ascii="Arial" w:hAnsi="Arial" w:cs="Arial"/>
                                <w:i w:val="0"/>
                                <w:iCs w:val="0"/>
                                <w:noProof/>
                                <w:color w:val="auto"/>
                                <w:sz w:val="20"/>
                                <w:szCs w:val="20"/>
                              </w:rPr>
                              <w:t xml:space="preserve">) of the number of invaded cells per FOV. Significance evaluated by one-way ANOVA, multiple comparisons. No significance, n.s. </w:t>
                            </w:r>
                            <w:r w:rsidRPr="00544599">
                              <w:rPr>
                                <w:rFonts w:ascii="Arial" w:hAnsi="Arial" w:cs="Arial"/>
                                <w:b/>
                                <w:bCs/>
                                <w:i w:val="0"/>
                                <w:iCs w:val="0"/>
                                <w:noProof/>
                                <w:color w:val="auto"/>
                                <w:sz w:val="20"/>
                                <w:szCs w:val="20"/>
                              </w:rPr>
                              <w:t>f</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g</w:t>
                            </w:r>
                            <w:r w:rsidRPr="00544599">
                              <w:rPr>
                                <w:rFonts w:ascii="Arial" w:hAnsi="Arial" w:cs="Arial"/>
                                <w:i w:val="0"/>
                                <w:iCs w:val="0"/>
                                <w:noProof/>
                                <w:color w:val="auto"/>
                                <w:sz w:val="20"/>
                                <w:szCs w:val="20"/>
                              </w:rPr>
                              <w:t>, MUC15-transduced OVCAR3 Boyden chamber migration assays (</w:t>
                            </w:r>
                            <w:r w:rsidRPr="00544599">
                              <w:rPr>
                                <w:rFonts w:ascii="Arial" w:hAnsi="Arial" w:cs="Arial"/>
                                <w:b/>
                                <w:bCs/>
                                <w:i w:val="0"/>
                                <w:iCs w:val="0"/>
                                <w:noProof/>
                                <w:color w:val="auto"/>
                                <w:sz w:val="20"/>
                                <w:szCs w:val="20"/>
                              </w:rPr>
                              <w:t>f</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g</w:t>
                            </w:r>
                            <w:r w:rsidRPr="00544599">
                              <w:rPr>
                                <w:rFonts w:ascii="Arial" w:hAnsi="Arial" w:cs="Arial"/>
                                <w:i w:val="0"/>
                                <w:iCs w:val="0"/>
                                <w:noProof/>
                                <w:color w:val="auto"/>
                                <w:sz w:val="20"/>
                                <w:szCs w:val="20"/>
                              </w:rPr>
                              <w:t xml:space="preserve">) of the number of migrated cells per FOV. Significance evaluated by one-way ANOVA, multiple comparisons. </w:t>
                            </w:r>
                            <w:r w:rsidRPr="00544599">
                              <w:rPr>
                                <w:rFonts w:ascii="Arial" w:hAnsi="Arial" w:cs="Arial"/>
                                <w:b/>
                                <w:bCs/>
                                <w:i w:val="0"/>
                                <w:iCs w:val="0"/>
                                <w:noProof/>
                                <w:color w:val="auto"/>
                                <w:sz w:val="20"/>
                                <w:szCs w:val="20"/>
                              </w:rPr>
                              <w:t>h</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i</w:t>
                            </w:r>
                            <w:r w:rsidRPr="00544599">
                              <w:rPr>
                                <w:rFonts w:ascii="Arial" w:hAnsi="Arial" w:cs="Arial"/>
                                <w:i w:val="0"/>
                                <w:iCs w:val="0"/>
                                <w:noProof/>
                                <w:color w:val="auto"/>
                                <w:sz w:val="20"/>
                                <w:szCs w:val="20"/>
                              </w:rPr>
                              <w:t>, MUC15-transduced OVCAR3 Boyden chamber Matrigel invasion assays (</w:t>
                            </w:r>
                            <w:r w:rsidRPr="00544599">
                              <w:rPr>
                                <w:rFonts w:ascii="Arial" w:hAnsi="Arial" w:cs="Arial"/>
                                <w:b/>
                                <w:bCs/>
                                <w:i w:val="0"/>
                                <w:iCs w:val="0"/>
                                <w:noProof/>
                                <w:color w:val="auto"/>
                                <w:sz w:val="20"/>
                                <w:szCs w:val="20"/>
                              </w:rPr>
                              <w:t>h</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i</w:t>
                            </w:r>
                            <w:r w:rsidRPr="00544599">
                              <w:rPr>
                                <w:rFonts w:ascii="Arial" w:hAnsi="Arial" w:cs="Arial"/>
                                <w:i w:val="0"/>
                                <w:iCs w:val="0"/>
                                <w:noProof/>
                                <w:color w:val="auto"/>
                                <w:sz w:val="20"/>
                                <w:szCs w:val="20"/>
                              </w:rPr>
                              <w:t xml:space="preserve">) of the number of invaded cells per FOV. Significance evaluated by one-way ANOVA, multiple comparisons. </w:t>
                            </w:r>
                            <w:r w:rsidRPr="00544599">
                              <w:rPr>
                                <w:rFonts w:ascii="Arial" w:hAnsi="Arial" w:cs="Arial"/>
                                <w:b/>
                                <w:bCs/>
                                <w:i w:val="0"/>
                                <w:iCs w:val="0"/>
                                <w:noProof/>
                                <w:color w:val="auto"/>
                                <w:sz w:val="20"/>
                                <w:szCs w:val="20"/>
                              </w:rPr>
                              <w:t>j</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k</w:t>
                            </w:r>
                            <w:r w:rsidRPr="00544599">
                              <w:rPr>
                                <w:rFonts w:ascii="Arial" w:hAnsi="Arial" w:cs="Arial"/>
                                <w:i w:val="0"/>
                                <w:iCs w:val="0"/>
                                <w:noProof/>
                                <w:color w:val="auto"/>
                                <w:sz w:val="20"/>
                                <w:szCs w:val="20"/>
                              </w:rPr>
                              <w:t>, MUC15-transduced OVCAR4 EdU proliferation assays (</w:t>
                            </w:r>
                            <w:r w:rsidRPr="00544599">
                              <w:rPr>
                                <w:rFonts w:ascii="Arial" w:hAnsi="Arial" w:cs="Arial"/>
                                <w:b/>
                                <w:bCs/>
                                <w:i w:val="0"/>
                                <w:iCs w:val="0"/>
                                <w:noProof/>
                                <w:color w:val="auto"/>
                                <w:sz w:val="20"/>
                                <w:szCs w:val="20"/>
                              </w:rPr>
                              <w:t>j</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k</w:t>
                            </w:r>
                            <w:r w:rsidRPr="00544599">
                              <w:rPr>
                                <w:rFonts w:ascii="Arial" w:hAnsi="Arial" w:cs="Arial"/>
                                <w:i w:val="0"/>
                                <w:iCs w:val="0"/>
                                <w:noProof/>
                                <w:color w:val="auto"/>
                                <w:sz w:val="20"/>
                                <w:szCs w:val="20"/>
                              </w:rPr>
                              <w:t>) of the number of EdU</w:t>
                            </w:r>
                            <w:r w:rsidRPr="00544599">
                              <w:rPr>
                                <w:rFonts w:ascii="Arial" w:hAnsi="Arial" w:cs="Arial"/>
                                <w:i w:val="0"/>
                                <w:iCs w:val="0"/>
                                <w:noProof/>
                                <w:color w:val="auto"/>
                                <w:sz w:val="20"/>
                                <w:szCs w:val="20"/>
                                <w:vertAlign w:val="superscript"/>
                              </w:rPr>
                              <w:t>+</w:t>
                            </w:r>
                            <w:r w:rsidRPr="00544599">
                              <w:rPr>
                                <w:rFonts w:ascii="Arial" w:hAnsi="Arial" w:cs="Arial"/>
                                <w:i w:val="0"/>
                                <w:iCs w:val="0"/>
                                <w:noProof/>
                                <w:color w:val="auto"/>
                                <w:sz w:val="20"/>
                                <w:szCs w:val="20"/>
                              </w:rPr>
                              <w:t xml:space="preserve"> cells per FOV. Significance evaluated by one-way ANOVA, multiple comparisons. </w:t>
                            </w:r>
                            <w:r w:rsidRPr="00544599">
                              <w:rPr>
                                <w:rFonts w:ascii="Arial" w:hAnsi="Arial" w:cs="Arial"/>
                                <w:b/>
                                <w:bCs/>
                                <w:i w:val="0"/>
                                <w:iCs w:val="0"/>
                                <w:noProof/>
                                <w:color w:val="auto"/>
                                <w:sz w:val="20"/>
                                <w:szCs w:val="20"/>
                              </w:rPr>
                              <w:t>l</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m</w:t>
                            </w:r>
                            <w:r w:rsidRPr="00544599">
                              <w:rPr>
                                <w:rFonts w:ascii="Arial" w:hAnsi="Arial" w:cs="Arial"/>
                                <w:i w:val="0"/>
                                <w:iCs w:val="0"/>
                                <w:noProof/>
                                <w:color w:val="auto"/>
                                <w:sz w:val="20"/>
                                <w:szCs w:val="20"/>
                              </w:rPr>
                              <w:t>, MUC15-transduced OVCAR4 EdU proliferation assays (</w:t>
                            </w:r>
                            <w:r w:rsidRPr="00544599">
                              <w:rPr>
                                <w:rFonts w:ascii="Arial" w:hAnsi="Arial" w:cs="Arial"/>
                                <w:b/>
                                <w:bCs/>
                                <w:i w:val="0"/>
                                <w:iCs w:val="0"/>
                                <w:noProof/>
                                <w:color w:val="auto"/>
                                <w:sz w:val="20"/>
                                <w:szCs w:val="20"/>
                              </w:rPr>
                              <w:t>l</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m</w:t>
                            </w:r>
                            <w:r w:rsidRPr="00544599">
                              <w:rPr>
                                <w:rFonts w:ascii="Arial" w:hAnsi="Arial" w:cs="Arial"/>
                                <w:i w:val="0"/>
                                <w:iCs w:val="0"/>
                                <w:noProof/>
                                <w:color w:val="auto"/>
                                <w:sz w:val="20"/>
                                <w:szCs w:val="20"/>
                              </w:rPr>
                              <w:t>) of the number of EdU</w:t>
                            </w:r>
                            <w:r w:rsidRPr="00544599">
                              <w:rPr>
                                <w:rFonts w:ascii="Arial" w:hAnsi="Arial" w:cs="Arial"/>
                                <w:i w:val="0"/>
                                <w:iCs w:val="0"/>
                                <w:noProof/>
                                <w:color w:val="auto"/>
                                <w:sz w:val="20"/>
                                <w:szCs w:val="20"/>
                                <w:vertAlign w:val="superscript"/>
                              </w:rPr>
                              <w:t>+</w:t>
                            </w:r>
                            <w:r w:rsidRPr="00544599">
                              <w:rPr>
                                <w:rFonts w:ascii="Arial" w:hAnsi="Arial" w:cs="Arial"/>
                                <w:i w:val="0"/>
                                <w:iCs w:val="0"/>
                                <w:noProof/>
                                <w:color w:val="auto"/>
                                <w:sz w:val="20"/>
                                <w:szCs w:val="20"/>
                              </w:rPr>
                              <w:t xml:space="preserve"> cells per FOV. Significance evaluated by one-way ANOVA, multiple comparisons.</w:t>
                            </w:r>
                          </w:p>
                          <w:p w14:paraId="1D3B364F" w14:textId="77777777" w:rsidR="00667525" w:rsidRPr="00544599" w:rsidRDefault="00667525" w:rsidP="00667525">
                            <w:pPr>
                              <w:pStyle w:val="Caption"/>
                              <w:jc w:val="both"/>
                              <w:rPr>
                                <w:rFonts w:ascii="Arial" w:hAnsi="Arial" w:cs="Arial"/>
                                <w:i w:val="0"/>
                                <w:iCs w:val="0"/>
                                <w:noProof/>
                                <w:color w:val="auto"/>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75B0F8F" id="_x0000_s1029" type="#_x0000_t202" style="position:absolute;margin-left:0;margin-top:414.55pt;width:467.3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" stroked="f">
                <v:textbox style="mso-fit-shape-to-text:t" inset="0,0,0,0">
                  <w:txbxContent>
                    <w:p w14:paraId="660D09BB" w14:textId="77777777" w:rsidR="00667525" w:rsidRPr="00544599" w:rsidRDefault="00667525" w:rsidP="00667525">
                      <w:pPr>
                        <w:pStyle w:val="Caption"/>
                        <w:jc w:val="both"/>
                        <w:rPr>
                          <w:rFonts w:ascii="Arial" w:hAnsi="Arial" w:cs="Arial"/>
                          <w:i w:val="0"/>
                          <w:iCs w:val="0"/>
                          <w:noProof/>
                          <w:color w:val="auto"/>
                          <w:sz w:val="20"/>
                          <w:szCs w:val="20"/>
                        </w:rPr>
                      </w:pPr>
                      <w:r w:rsidRPr="00544599">
                        <w:rPr>
                          <w:rFonts w:ascii="Arial" w:hAnsi="Arial" w:cs="Arial"/>
                          <w:b/>
                          <w:bCs/>
                          <w:i w:val="0"/>
                          <w:iCs w:val="0"/>
                          <w:noProof/>
                          <w:color w:val="auto"/>
                          <w:sz w:val="20"/>
                          <w:szCs w:val="20"/>
                        </w:rPr>
                        <w:t>Extended Data Fig. 4 | p38α MAPK signaling and MUC15 in ovarian cancer cell FSS-associated behaviors.</w:t>
                      </w:r>
                      <w:r w:rsidRPr="00544599">
                        <w:rPr>
                          <w:rFonts w:ascii="Arial" w:hAnsi="Arial" w:cs="Arial"/>
                          <w:i w:val="0"/>
                          <w:iCs w:val="0"/>
                          <w:noProof/>
                          <w:color w:val="auto"/>
                          <w:sz w:val="20"/>
                          <w:szCs w:val="20"/>
                        </w:rPr>
                        <w:t xml:space="preserve"> </w:t>
                      </w:r>
                      <w:r w:rsidRPr="00544599">
                        <w:rPr>
                          <w:rFonts w:ascii="Arial" w:hAnsi="Arial" w:cs="Arial"/>
                          <w:b/>
                          <w:bCs/>
                          <w:i w:val="0"/>
                          <w:iCs w:val="0"/>
                          <w:noProof/>
                          <w:color w:val="auto"/>
                          <w:sz w:val="20"/>
                          <w:szCs w:val="20"/>
                        </w:rPr>
                        <w:t>a</w:t>
                      </w:r>
                      <w:r w:rsidRPr="00544599">
                        <w:rPr>
                          <w:rFonts w:ascii="Arial" w:hAnsi="Arial" w:cs="Arial"/>
                          <w:i w:val="0"/>
                          <w:iCs w:val="0"/>
                          <w:noProof/>
                          <w:color w:val="auto"/>
                          <w:sz w:val="20"/>
                          <w:szCs w:val="20"/>
                        </w:rPr>
                        <w:t>, Protein expression and quantification of p38α MAPK-associated signaling molecules in static and sheared OVSAHO cells (11 dynes/cm</w:t>
                      </w:r>
                      <w:r w:rsidRPr="00544599">
                        <w:rPr>
                          <w:rFonts w:ascii="Arial" w:hAnsi="Arial" w:cs="Arial"/>
                          <w:i w:val="0"/>
                          <w:iCs w:val="0"/>
                          <w:noProof/>
                          <w:color w:val="auto"/>
                          <w:sz w:val="20"/>
                          <w:szCs w:val="20"/>
                          <w:vertAlign w:val="superscript"/>
                        </w:rPr>
                        <w:t>2</w:t>
                      </w:r>
                      <w:r w:rsidRPr="00544599">
                        <w:rPr>
                          <w:rFonts w:ascii="Arial" w:hAnsi="Arial" w:cs="Arial"/>
                          <w:i w:val="0"/>
                          <w:iCs w:val="0"/>
                          <w:noProof/>
                          <w:color w:val="auto"/>
                          <w:sz w:val="20"/>
                          <w:szCs w:val="20"/>
                        </w:rPr>
                        <w:t xml:space="preserve">, 24 hr). Significance evaluated by Student’s t-test. </w:t>
                      </w:r>
                      <w:r w:rsidRPr="00544599">
                        <w:rPr>
                          <w:rFonts w:ascii="Arial" w:hAnsi="Arial" w:cs="Arial"/>
                          <w:b/>
                          <w:bCs/>
                          <w:i w:val="0"/>
                          <w:iCs w:val="0"/>
                          <w:noProof/>
                          <w:color w:val="auto"/>
                          <w:sz w:val="20"/>
                          <w:szCs w:val="20"/>
                        </w:rPr>
                        <w:t>b</w:t>
                      </w:r>
                      <w:r w:rsidRPr="00544599">
                        <w:rPr>
                          <w:rFonts w:ascii="Arial" w:hAnsi="Arial" w:cs="Arial"/>
                          <w:i w:val="0"/>
                          <w:iCs w:val="0"/>
                          <w:noProof/>
                          <w:color w:val="auto"/>
                          <w:sz w:val="20"/>
                          <w:szCs w:val="20"/>
                        </w:rPr>
                        <w:t xml:space="preserve">, MUC15 protein expression of the OVCAR3 parental line and MUC15-transduced overexpressing, knockdown, and scramble control lines. </w:t>
                      </w:r>
                      <w:r w:rsidRPr="00544599">
                        <w:rPr>
                          <w:rFonts w:ascii="Arial" w:hAnsi="Arial" w:cs="Arial"/>
                          <w:b/>
                          <w:bCs/>
                          <w:i w:val="0"/>
                          <w:iCs w:val="0"/>
                          <w:noProof/>
                          <w:color w:val="auto"/>
                          <w:sz w:val="20"/>
                          <w:szCs w:val="20"/>
                        </w:rPr>
                        <w:t>c</w:t>
                      </w:r>
                      <w:r w:rsidRPr="00544599">
                        <w:rPr>
                          <w:rFonts w:ascii="Arial" w:hAnsi="Arial" w:cs="Arial"/>
                          <w:i w:val="0"/>
                          <w:iCs w:val="0"/>
                          <w:noProof/>
                          <w:color w:val="auto"/>
                          <w:sz w:val="20"/>
                          <w:szCs w:val="20"/>
                        </w:rPr>
                        <w:t xml:space="preserve">, Phopsho-kinase array and quantification of suspected FSS signal transducers in MUC15 knockdown and scrambled shRNA control OVCAR4. </w:t>
                      </w:r>
                      <w:r w:rsidRPr="00544599">
                        <w:rPr>
                          <w:rFonts w:ascii="Arial" w:hAnsi="Arial" w:cs="Arial"/>
                          <w:b/>
                          <w:bCs/>
                          <w:i w:val="0"/>
                          <w:iCs w:val="0"/>
                          <w:noProof/>
                          <w:color w:val="auto"/>
                          <w:sz w:val="20"/>
                          <w:szCs w:val="20"/>
                        </w:rPr>
                        <w:t>d</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e</w:t>
                      </w:r>
                      <w:r w:rsidRPr="00544599">
                        <w:rPr>
                          <w:rFonts w:ascii="Arial" w:hAnsi="Arial" w:cs="Arial"/>
                          <w:i w:val="0"/>
                          <w:iCs w:val="0"/>
                          <w:noProof/>
                          <w:color w:val="auto"/>
                          <w:sz w:val="20"/>
                          <w:szCs w:val="20"/>
                        </w:rPr>
                        <w:t>, MUC15-transduced OVCAR4 Boyden chamber Matrigel invasion assays (</w:t>
                      </w:r>
                      <w:r w:rsidRPr="00544599">
                        <w:rPr>
                          <w:rFonts w:ascii="Arial" w:hAnsi="Arial" w:cs="Arial"/>
                          <w:b/>
                          <w:bCs/>
                          <w:i w:val="0"/>
                          <w:iCs w:val="0"/>
                          <w:noProof/>
                          <w:color w:val="auto"/>
                          <w:sz w:val="20"/>
                          <w:szCs w:val="20"/>
                        </w:rPr>
                        <w:t>d</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e</w:t>
                      </w:r>
                      <w:r w:rsidRPr="00544599">
                        <w:rPr>
                          <w:rFonts w:ascii="Arial" w:hAnsi="Arial" w:cs="Arial"/>
                          <w:i w:val="0"/>
                          <w:iCs w:val="0"/>
                          <w:noProof/>
                          <w:color w:val="auto"/>
                          <w:sz w:val="20"/>
                          <w:szCs w:val="20"/>
                        </w:rPr>
                        <w:t xml:space="preserve">) of the number of invaded cells per FOV. Significance evaluated by one-way ANOVA, multiple comparisons. No significance, n.s. </w:t>
                      </w:r>
                      <w:r w:rsidRPr="00544599">
                        <w:rPr>
                          <w:rFonts w:ascii="Arial" w:hAnsi="Arial" w:cs="Arial"/>
                          <w:b/>
                          <w:bCs/>
                          <w:i w:val="0"/>
                          <w:iCs w:val="0"/>
                          <w:noProof/>
                          <w:color w:val="auto"/>
                          <w:sz w:val="20"/>
                          <w:szCs w:val="20"/>
                        </w:rPr>
                        <w:t>f</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g</w:t>
                      </w:r>
                      <w:r w:rsidRPr="00544599">
                        <w:rPr>
                          <w:rFonts w:ascii="Arial" w:hAnsi="Arial" w:cs="Arial"/>
                          <w:i w:val="0"/>
                          <w:iCs w:val="0"/>
                          <w:noProof/>
                          <w:color w:val="auto"/>
                          <w:sz w:val="20"/>
                          <w:szCs w:val="20"/>
                        </w:rPr>
                        <w:t>, MUC15-transduced OVCAR3 Boyden chamber migration assays (</w:t>
                      </w:r>
                      <w:r w:rsidRPr="00544599">
                        <w:rPr>
                          <w:rFonts w:ascii="Arial" w:hAnsi="Arial" w:cs="Arial"/>
                          <w:b/>
                          <w:bCs/>
                          <w:i w:val="0"/>
                          <w:iCs w:val="0"/>
                          <w:noProof/>
                          <w:color w:val="auto"/>
                          <w:sz w:val="20"/>
                          <w:szCs w:val="20"/>
                        </w:rPr>
                        <w:t>f</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g</w:t>
                      </w:r>
                      <w:r w:rsidRPr="00544599">
                        <w:rPr>
                          <w:rFonts w:ascii="Arial" w:hAnsi="Arial" w:cs="Arial"/>
                          <w:i w:val="0"/>
                          <w:iCs w:val="0"/>
                          <w:noProof/>
                          <w:color w:val="auto"/>
                          <w:sz w:val="20"/>
                          <w:szCs w:val="20"/>
                        </w:rPr>
                        <w:t xml:space="preserve">) of the number of migrated cells per FOV. Significance evaluated by one-way ANOVA, multiple comparisons. </w:t>
                      </w:r>
                      <w:r w:rsidRPr="00544599">
                        <w:rPr>
                          <w:rFonts w:ascii="Arial" w:hAnsi="Arial" w:cs="Arial"/>
                          <w:b/>
                          <w:bCs/>
                          <w:i w:val="0"/>
                          <w:iCs w:val="0"/>
                          <w:noProof/>
                          <w:color w:val="auto"/>
                          <w:sz w:val="20"/>
                          <w:szCs w:val="20"/>
                        </w:rPr>
                        <w:t>h</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i</w:t>
                      </w:r>
                      <w:r w:rsidRPr="00544599">
                        <w:rPr>
                          <w:rFonts w:ascii="Arial" w:hAnsi="Arial" w:cs="Arial"/>
                          <w:i w:val="0"/>
                          <w:iCs w:val="0"/>
                          <w:noProof/>
                          <w:color w:val="auto"/>
                          <w:sz w:val="20"/>
                          <w:szCs w:val="20"/>
                        </w:rPr>
                        <w:t>, MUC15-transduced OVCAR3 Boyden chamber Matrigel invasion assays (</w:t>
                      </w:r>
                      <w:r w:rsidRPr="00544599">
                        <w:rPr>
                          <w:rFonts w:ascii="Arial" w:hAnsi="Arial" w:cs="Arial"/>
                          <w:b/>
                          <w:bCs/>
                          <w:i w:val="0"/>
                          <w:iCs w:val="0"/>
                          <w:noProof/>
                          <w:color w:val="auto"/>
                          <w:sz w:val="20"/>
                          <w:szCs w:val="20"/>
                        </w:rPr>
                        <w:t>h</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i</w:t>
                      </w:r>
                      <w:r w:rsidRPr="00544599">
                        <w:rPr>
                          <w:rFonts w:ascii="Arial" w:hAnsi="Arial" w:cs="Arial"/>
                          <w:i w:val="0"/>
                          <w:iCs w:val="0"/>
                          <w:noProof/>
                          <w:color w:val="auto"/>
                          <w:sz w:val="20"/>
                          <w:szCs w:val="20"/>
                        </w:rPr>
                        <w:t xml:space="preserve">) of the number of invaded cells per FOV. Significance evaluated by one-way ANOVA, multiple comparisons. </w:t>
                      </w:r>
                      <w:r w:rsidRPr="00544599">
                        <w:rPr>
                          <w:rFonts w:ascii="Arial" w:hAnsi="Arial" w:cs="Arial"/>
                          <w:b/>
                          <w:bCs/>
                          <w:i w:val="0"/>
                          <w:iCs w:val="0"/>
                          <w:noProof/>
                          <w:color w:val="auto"/>
                          <w:sz w:val="20"/>
                          <w:szCs w:val="20"/>
                        </w:rPr>
                        <w:t>j</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k</w:t>
                      </w:r>
                      <w:r w:rsidRPr="00544599">
                        <w:rPr>
                          <w:rFonts w:ascii="Arial" w:hAnsi="Arial" w:cs="Arial"/>
                          <w:i w:val="0"/>
                          <w:iCs w:val="0"/>
                          <w:noProof/>
                          <w:color w:val="auto"/>
                          <w:sz w:val="20"/>
                          <w:szCs w:val="20"/>
                        </w:rPr>
                        <w:t>, MUC15-transduced OVCAR4 EdU proliferation assays (</w:t>
                      </w:r>
                      <w:r w:rsidRPr="00544599">
                        <w:rPr>
                          <w:rFonts w:ascii="Arial" w:hAnsi="Arial" w:cs="Arial"/>
                          <w:b/>
                          <w:bCs/>
                          <w:i w:val="0"/>
                          <w:iCs w:val="0"/>
                          <w:noProof/>
                          <w:color w:val="auto"/>
                          <w:sz w:val="20"/>
                          <w:szCs w:val="20"/>
                        </w:rPr>
                        <w:t>j</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k</w:t>
                      </w:r>
                      <w:r w:rsidRPr="00544599">
                        <w:rPr>
                          <w:rFonts w:ascii="Arial" w:hAnsi="Arial" w:cs="Arial"/>
                          <w:i w:val="0"/>
                          <w:iCs w:val="0"/>
                          <w:noProof/>
                          <w:color w:val="auto"/>
                          <w:sz w:val="20"/>
                          <w:szCs w:val="20"/>
                        </w:rPr>
                        <w:t>) of the number of EdU</w:t>
                      </w:r>
                      <w:r w:rsidRPr="00544599">
                        <w:rPr>
                          <w:rFonts w:ascii="Arial" w:hAnsi="Arial" w:cs="Arial"/>
                          <w:i w:val="0"/>
                          <w:iCs w:val="0"/>
                          <w:noProof/>
                          <w:color w:val="auto"/>
                          <w:sz w:val="20"/>
                          <w:szCs w:val="20"/>
                          <w:vertAlign w:val="superscript"/>
                        </w:rPr>
                        <w:t>+</w:t>
                      </w:r>
                      <w:r w:rsidRPr="00544599">
                        <w:rPr>
                          <w:rFonts w:ascii="Arial" w:hAnsi="Arial" w:cs="Arial"/>
                          <w:i w:val="0"/>
                          <w:iCs w:val="0"/>
                          <w:noProof/>
                          <w:color w:val="auto"/>
                          <w:sz w:val="20"/>
                          <w:szCs w:val="20"/>
                        </w:rPr>
                        <w:t xml:space="preserve"> cells per FOV. Significance evaluated by one-way ANOVA, multiple comparisons. </w:t>
                      </w:r>
                      <w:r w:rsidRPr="00544599">
                        <w:rPr>
                          <w:rFonts w:ascii="Arial" w:hAnsi="Arial" w:cs="Arial"/>
                          <w:b/>
                          <w:bCs/>
                          <w:i w:val="0"/>
                          <w:iCs w:val="0"/>
                          <w:noProof/>
                          <w:color w:val="auto"/>
                          <w:sz w:val="20"/>
                          <w:szCs w:val="20"/>
                        </w:rPr>
                        <w:t>l</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m</w:t>
                      </w:r>
                      <w:r w:rsidRPr="00544599">
                        <w:rPr>
                          <w:rFonts w:ascii="Arial" w:hAnsi="Arial" w:cs="Arial"/>
                          <w:i w:val="0"/>
                          <w:iCs w:val="0"/>
                          <w:noProof/>
                          <w:color w:val="auto"/>
                          <w:sz w:val="20"/>
                          <w:szCs w:val="20"/>
                        </w:rPr>
                        <w:t>, MUC15-transduced OVCAR4 EdU proliferation assays (</w:t>
                      </w:r>
                      <w:r w:rsidRPr="00544599">
                        <w:rPr>
                          <w:rFonts w:ascii="Arial" w:hAnsi="Arial" w:cs="Arial"/>
                          <w:b/>
                          <w:bCs/>
                          <w:i w:val="0"/>
                          <w:iCs w:val="0"/>
                          <w:noProof/>
                          <w:color w:val="auto"/>
                          <w:sz w:val="20"/>
                          <w:szCs w:val="20"/>
                        </w:rPr>
                        <w:t>l</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m</w:t>
                      </w:r>
                      <w:r w:rsidRPr="00544599">
                        <w:rPr>
                          <w:rFonts w:ascii="Arial" w:hAnsi="Arial" w:cs="Arial"/>
                          <w:i w:val="0"/>
                          <w:iCs w:val="0"/>
                          <w:noProof/>
                          <w:color w:val="auto"/>
                          <w:sz w:val="20"/>
                          <w:szCs w:val="20"/>
                        </w:rPr>
                        <w:t>) of the number of EdU</w:t>
                      </w:r>
                      <w:r w:rsidRPr="00544599">
                        <w:rPr>
                          <w:rFonts w:ascii="Arial" w:hAnsi="Arial" w:cs="Arial"/>
                          <w:i w:val="0"/>
                          <w:iCs w:val="0"/>
                          <w:noProof/>
                          <w:color w:val="auto"/>
                          <w:sz w:val="20"/>
                          <w:szCs w:val="20"/>
                          <w:vertAlign w:val="superscript"/>
                        </w:rPr>
                        <w:t>+</w:t>
                      </w:r>
                      <w:r w:rsidRPr="00544599">
                        <w:rPr>
                          <w:rFonts w:ascii="Arial" w:hAnsi="Arial" w:cs="Arial"/>
                          <w:i w:val="0"/>
                          <w:iCs w:val="0"/>
                          <w:noProof/>
                          <w:color w:val="auto"/>
                          <w:sz w:val="20"/>
                          <w:szCs w:val="20"/>
                        </w:rPr>
                        <w:t xml:space="preserve"> cells per FOV. Significance evaluated by one-way ANOVA, multiple comparisons.</w:t>
                      </w:r>
                    </w:p>
                    <w:p w14:paraId="1D3B364F" w14:textId="77777777" w:rsidR="00667525" w:rsidRPr="00544599" w:rsidRDefault="00667525" w:rsidP="00667525">
                      <w:pPr>
                        <w:pStyle w:val="Caption"/>
                        <w:jc w:val="both"/>
                        <w:rPr>
                          <w:rFonts w:ascii="Arial" w:hAnsi="Arial" w:cs="Arial"/>
                          <w:i w:val="0"/>
                          <w:iCs w:val="0"/>
                          <w:noProof/>
                          <w:color w:val="auto"/>
                          <w:sz w:val="20"/>
                          <w:szCs w:val="20"/>
                        </w:rPr>
                      </w:pPr>
                    </w:p>
                  </w:txbxContent>
                </v:textbox>
                <w10:wrap type="square"/>
              </v:shape>
            </w:pict>
          </mc:Fallback>
        </mc:AlternateContent>
      </w:r>
    </w:p>
    <w:p w14:paraId="48B6AB0A" w14:textId="77777777" w:rsidR="00667525" w:rsidRDefault="00667525" w:rsidP="00667525">
      <w:pPr>
        <w:spacing w:line="240" w:lineRule="auto"/>
        <w:rPr>
          <w:rFonts w:ascii="Times New Roman" w:hAnsi="Times New Roman" w:cs="Times New Roman"/>
          <w:b/>
          <w:bCs/>
          <w:iCs/>
        </w:rPr>
      </w:pPr>
      <w:r>
        <w:rPr>
          <w:rFonts w:ascii="Times New Roman" w:hAnsi="Times New Roman" w:cs="Times New Roman"/>
          <w:b/>
          <w:bCs/>
          <w:iCs/>
          <w:noProof/>
          <w:lang w:val="en-GB" w:eastAsia="en-GB"/>
        </w:rPr>
        <w:lastRenderedPageBreak/>
        <w:drawing>
          <wp:inline distT="0" distB="0" distL="0" distR="0" wp14:anchorId="49F7DFE3" wp14:editId="4554F5D6">
            <wp:extent cx="5943600" cy="320611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xtended Data Figure 5.png"/>
                    <pic:cNvPicPr/>
                  </pic:nvPicPr>
                  <pic:blipFill>
                    <a:blip r:embed="rId8">
                      <a:extLst>
                        <a:ext uri="{28A0092B-C50C-407E-A947-70E740481C1C}">
                          <a14:useLocalDpi xmlns:a14="http://schemas.microsoft.com/office/drawing/2010/main" val="0"/>
                        </a:ext>
                      </a:extLst>
                    </a:blip>
                    <a:stretch>
                      <a:fillRect/>
                    </a:stretch>
                  </pic:blipFill>
                  <pic:spPr>
                    <a:xfrm>
                      <a:off x="0" y="0"/>
                      <a:ext cx="5943600" cy="3206115"/>
                    </a:xfrm>
                    <a:prstGeom prst="rect">
                      <a:avLst/>
                    </a:prstGeom>
                  </pic:spPr>
                </pic:pic>
              </a:graphicData>
            </a:graphic>
          </wp:inline>
        </w:drawing>
      </w:r>
    </w:p>
    <w:p w14:paraId="22CC752D" w14:textId="77777777" w:rsidR="00667525" w:rsidRDefault="00667525" w:rsidP="00667525">
      <w:pPr>
        <w:spacing w:line="240" w:lineRule="auto"/>
        <w:rPr>
          <w:rFonts w:ascii="Times New Roman" w:hAnsi="Times New Roman" w:cs="Times New Roman"/>
          <w:b/>
          <w:bCs/>
          <w:iCs/>
        </w:rPr>
      </w:pPr>
      <w:r>
        <w:rPr>
          <w:noProof/>
          <w:lang w:val="en-GB" w:eastAsia="en-GB"/>
        </w:rPr>
        <mc:AlternateContent>
          <mc:Choice Requires="wps">
            <w:drawing>
              <wp:anchor distT="0" distB="0" distL="114300" distR="114300" simplePos="0" relativeHeight="251662336" behindDoc="0" locked="0" layoutInCell="1" allowOverlap="1" wp14:anchorId="6767DB92" wp14:editId="165F5F29">
                <wp:simplePos x="0" y="0"/>
                <wp:positionH relativeFrom="column">
                  <wp:posOffset>5118</wp:posOffset>
                </wp:positionH>
                <wp:positionV relativeFrom="paragraph">
                  <wp:posOffset>232609</wp:posOffset>
                </wp:positionV>
                <wp:extent cx="5935980" cy="635"/>
                <wp:effectExtent l="0" t="0" r="0" b="0"/>
                <wp:wrapSquare wrapText="bothSides"/>
                <wp:docPr id="1041318235" name="Text Box 1"/>
                <wp:cNvGraphicFramePr/>
                <a:graphic xmlns:a="http://schemas.openxmlformats.org/drawingml/2006/main">
                  <a:graphicData uri="http://schemas.microsoft.com/office/word/2010/wordprocessingShape">
                    <wps:wsp>
                      <wps:cNvSpPr txBox="1"/>
                      <wps:spPr>
                        <a:xfrm>
                          <a:off x="0" y="0"/>
                          <a:ext cx="5935980" cy="635"/>
                        </a:xfrm>
                        <a:prstGeom prst="rect">
                          <a:avLst/>
                        </a:prstGeom>
                        <a:solidFill>
                          <a:prstClr val="white"/>
                        </a:solidFill>
                        <a:ln>
                          <a:noFill/>
                        </a:ln>
                      </wps:spPr>
                      <wps:txbx>
                        <w:txbxContent>
                          <w:p w14:paraId="0D8164C1" w14:textId="77777777" w:rsidR="00667525" w:rsidRPr="00EE24AC" w:rsidRDefault="00667525" w:rsidP="00667525">
                            <w:pPr>
                              <w:pStyle w:val="Caption"/>
                              <w:jc w:val="both"/>
                              <w:rPr>
                                <w:rFonts w:ascii="Arial" w:hAnsi="Arial" w:cs="Arial"/>
                                <w:i w:val="0"/>
                                <w:iCs w:val="0"/>
                                <w:noProof/>
                                <w:color w:val="auto"/>
                                <w:sz w:val="20"/>
                                <w:szCs w:val="20"/>
                              </w:rPr>
                            </w:pPr>
                            <w:r>
                              <w:rPr>
                                <w:rFonts w:ascii="Arial" w:hAnsi="Arial" w:cs="Arial"/>
                                <w:b/>
                                <w:bCs/>
                                <w:i w:val="0"/>
                                <w:iCs w:val="0"/>
                                <w:noProof/>
                                <w:color w:val="auto"/>
                                <w:sz w:val="20"/>
                                <w:szCs w:val="20"/>
                              </w:rPr>
                              <w:t xml:space="preserve">Extended Data Fig. </w:t>
                            </w:r>
                            <w:r w:rsidRPr="007A3962">
                              <w:rPr>
                                <w:rFonts w:ascii="Arial" w:hAnsi="Arial" w:cs="Arial"/>
                                <w:b/>
                                <w:bCs/>
                                <w:i w:val="0"/>
                                <w:iCs w:val="0"/>
                                <w:noProof/>
                                <w:color w:val="auto"/>
                                <w:sz w:val="20"/>
                                <w:szCs w:val="20"/>
                              </w:rPr>
                              <w:t>5 | GPCRs and MUC15 FSS mechanotransduction. a</w:t>
                            </w:r>
                            <w:r w:rsidRPr="007A3962">
                              <w:rPr>
                                <w:rFonts w:ascii="Arial" w:hAnsi="Arial" w:cs="Arial"/>
                                <w:bCs/>
                                <w:i w:val="0"/>
                                <w:iCs w:val="0"/>
                                <w:noProof/>
                                <w:color w:val="auto"/>
                                <w:sz w:val="20"/>
                                <w:szCs w:val="20"/>
                              </w:rPr>
                              <w:t xml:space="preserve">, Cell viability of OVCAR3 cells exposed to increasing concentrations of YM-254890 (SD; n = 3). Dotted line represents the viability of cells treated with DMSO (vehicle). </w:t>
                            </w:r>
                            <w:r w:rsidRPr="00B905DC">
                              <w:rPr>
                                <w:rFonts w:ascii="Arial" w:hAnsi="Arial" w:cs="Arial"/>
                                <w:b/>
                                <w:bCs/>
                                <w:i w:val="0"/>
                                <w:iCs w:val="0"/>
                                <w:noProof/>
                                <w:color w:val="auto"/>
                                <w:sz w:val="20"/>
                                <w:szCs w:val="20"/>
                              </w:rPr>
                              <w:t>b</w:t>
                            </w:r>
                            <w:r w:rsidRPr="007A3962">
                              <w:rPr>
                                <w:rFonts w:ascii="Arial" w:hAnsi="Arial" w:cs="Arial"/>
                                <w:bCs/>
                                <w:i w:val="0"/>
                                <w:iCs w:val="0"/>
                                <w:noProof/>
                                <w:color w:val="auto"/>
                                <w:sz w:val="20"/>
                                <w:szCs w:val="20"/>
                              </w:rPr>
                              <w:t>,</w:t>
                            </w:r>
                            <w:r w:rsidRPr="00B905DC">
                              <w:rPr>
                                <w:rFonts w:ascii="Arial" w:hAnsi="Arial" w:cs="Arial"/>
                                <w:b/>
                                <w:bCs/>
                                <w:i w:val="0"/>
                                <w:iCs w:val="0"/>
                                <w:noProof/>
                                <w:color w:val="auto"/>
                                <w:sz w:val="20"/>
                                <w:szCs w:val="20"/>
                              </w:rPr>
                              <w:t>c</w:t>
                            </w:r>
                            <w:r w:rsidRPr="007A3962">
                              <w:rPr>
                                <w:rFonts w:ascii="Arial" w:hAnsi="Arial" w:cs="Arial"/>
                                <w:bCs/>
                                <w:i w:val="0"/>
                                <w:iCs w:val="0"/>
                                <w:noProof/>
                                <w:color w:val="auto"/>
                                <w:sz w:val="20"/>
                                <w:szCs w:val="20"/>
                              </w:rPr>
                              <w:t>, Protein expression of MUC15 and p38α MAPK-associated signaling molecules in FTE237 (11 dynes/cm</w:t>
                            </w:r>
                            <w:r w:rsidRPr="007A3962">
                              <w:rPr>
                                <w:rFonts w:ascii="Arial" w:hAnsi="Arial" w:cs="Arial"/>
                                <w:bCs/>
                                <w:i w:val="0"/>
                                <w:iCs w:val="0"/>
                                <w:noProof/>
                                <w:color w:val="auto"/>
                                <w:sz w:val="20"/>
                                <w:szCs w:val="20"/>
                                <w:vertAlign w:val="superscript"/>
                              </w:rPr>
                              <w:t>2</w:t>
                            </w:r>
                            <w:r w:rsidRPr="007A3962">
                              <w:rPr>
                                <w:rFonts w:ascii="Arial" w:hAnsi="Arial" w:cs="Arial"/>
                                <w:bCs/>
                                <w:i w:val="0"/>
                                <w:iCs w:val="0"/>
                                <w:noProof/>
                                <w:color w:val="auto"/>
                                <w:sz w:val="20"/>
                                <w:szCs w:val="20"/>
                              </w:rPr>
                              <w:t>, 24 hr) (</w:t>
                            </w:r>
                            <w:r w:rsidRPr="00B905DC">
                              <w:rPr>
                                <w:rFonts w:ascii="Arial" w:hAnsi="Arial" w:cs="Arial"/>
                                <w:b/>
                                <w:bCs/>
                                <w:i w:val="0"/>
                                <w:iCs w:val="0"/>
                                <w:noProof/>
                                <w:color w:val="auto"/>
                                <w:sz w:val="20"/>
                                <w:szCs w:val="20"/>
                              </w:rPr>
                              <w:t>b</w:t>
                            </w:r>
                            <w:r w:rsidRPr="007A3962">
                              <w:rPr>
                                <w:rFonts w:ascii="Arial" w:hAnsi="Arial" w:cs="Arial"/>
                                <w:bCs/>
                                <w:i w:val="0"/>
                                <w:iCs w:val="0"/>
                                <w:noProof/>
                                <w:color w:val="auto"/>
                                <w:sz w:val="20"/>
                                <w:szCs w:val="20"/>
                              </w:rPr>
                              <w:t>) and quantification (</w:t>
                            </w:r>
                            <w:r w:rsidRPr="00B905DC">
                              <w:rPr>
                                <w:rFonts w:ascii="Arial" w:hAnsi="Arial" w:cs="Arial"/>
                                <w:b/>
                                <w:bCs/>
                                <w:i w:val="0"/>
                                <w:iCs w:val="0"/>
                                <w:noProof/>
                                <w:color w:val="auto"/>
                                <w:sz w:val="20"/>
                                <w:szCs w:val="20"/>
                              </w:rPr>
                              <w:t>c</w:t>
                            </w:r>
                            <w:r w:rsidRPr="007A3962">
                              <w:rPr>
                                <w:rFonts w:ascii="Arial" w:hAnsi="Arial" w:cs="Arial"/>
                                <w:bCs/>
                                <w:i w:val="0"/>
                                <w:iCs w:val="0"/>
                                <w:noProof/>
                                <w:color w:val="auto"/>
                                <w:sz w:val="20"/>
                                <w:szCs w:val="20"/>
                              </w:rPr>
                              <w:t xml:space="preserve">). Significance evaluated by Student’s t-test. </w:t>
                            </w:r>
                            <w:r w:rsidRPr="00B905DC">
                              <w:rPr>
                                <w:rFonts w:ascii="Arial" w:hAnsi="Arial" w:cs="Arial"/>
                                <w:b/>
                                <w:bCs/>
                                <w:i w:val="0"/>
                                <w:iCs w:val="0"/>
                                <w:noProof/>
                                <w:color w:val="auto"/>
                                <w:sz w:val="20"/>
                                <w:szCs w:val="20"/>
                              </w:rPr>
                              <w:t>d</w:t>
                            </w:r>
                            <w:r w:rsidRPr="007A3962">
                              <w:rPr>
                                <w:rFonts w:ascii="Arial" w:hAnsi="Arial" w:cs="Arial"/>
                                <w:bCs/>
                                <w:i w:val="0"/>
                                <w:iCs w:val="0"/>
                                <w:noProof/>
                                <w:color w:val="auto"/>
                                <w:sz w:val="20"/>
                                <w:szCs w:val="20"/>
                              </w:rPr>
                              <w:t xml:space="preserve">, MUC15 and PLCβ2 immunofluorescence in OVCAR3. </w:t>
                            </w:r>
                            <w:r w:rsidRPr="00B905DC">
                              <w:rPr>
                                <w:rFonts w:ascii="Arial" w:hAnsi="Arial" w:cs="Arial"/>
                                <w:b/>
                                <w:bCs/>
                                <w:i w:val="0"/>
                                <w:iCs w:val="0"/>
                                <w:noProof/>
                                <w:color w:val="auto"/>
                                <w:sz w:val="20"/>
                                <w:szCs w:val="20"/>
                              </w:rPr>
                              <w:t>e</w:t>
                            </w:r>
                            <w:r w:rsidRPr="007A3962">
                              <w:rPr>
                                <w:rFonts w:ascii="Arial" w:hAnsi="Arial" w:cs="Arial"/>
                                <w:bCs/>
                                <w:i w:val="0"/>
                                <w:iCs w:val="0"/>
                                <w:noProof/>
                                <w:color w:val="auto"/>
                                <w:sz w:val="20"/>
                                <w:szCs w:val="20"/>
                              </w:rPr>
                              <w:t>, Vector sequence used to create the GFP</w:t>
                            </w:r>
                            <w:r w:rsidRPr="007A3962">
                              <w:rPr>
                                <w:rFonts w:ascii="Arial" w:hAnsi="Arial" w:cs="Arial"/>
                                <w:bCs/>
                                <w:i w:val="0"/>
                                <w:iCs w:val="0"/>
                                <w:noProof/>
                                <w:color w:val="auto"/>
                                <w:sz w:val="20"/>
                                <w:szCs w:val="20"/>
                                <w:vertAlign w:val="superscript"/>
                              </w:rPr>
                              <w:t xml:space="preserve">MUC15 </w:t>
                            </w:r>
                            <w:r w:rsidRPr="007A3962">
                              <w:rPr>
                                <w:rFonts w:ascii="Arial" w:hAnsi="Arial" w:cs="Arial"/>
                                <w:bCs/>
                                <w:i w:val="0"/>
                                <w:iCs w:val="0"/>
                                <w:noProof/>
                                <w:color w:val="auto"/>
                                <w:sz w:val="20"/>
                                <w:szCs w:val="20"/>
                              </w:rPr>
                              <w:t xml:space="preserve">OVCAR3 cell line. </w:t>
                            </w:r>
                            <w:r w:rsidRPr="00B905DC">
                              <w:rPr>
                                <w:rFonts w:ascii="Arial" w:hAnsi="Arial" w:cs="Arial"/>
                                <w:b/>
                                <w:bCs/>
                                <w:i w:val="0"/>
                                <w:iCs w:val="0"/>
                                <w:noProof/>
                                <w:color w:val="auto"/>
                                <w:sz w:val="20"/>
                                <w:szCs w:val="20"/>
                              </w:rPr>
                              <w:t>f</w:t>
                            </w:r>
                            <w:r w:rsidRPr="007A3962">
                              <w:rPr>
                                <w:rFonts w:ascii="Arial" w:hAnsi="Arial" w:cs="Arial"/>
                                <w:bCs/>
                                <w:i w:val="0"/>
                                <w:iCs w:val="0"/>
                                <w:noProof/>
                                <w:color w:val="auto"/>
                                <w:sz w:val="20"/>
                                <w:szCs w:val="20"/>
                              </w:rPr>
                              <w:t>, Fluorescent intensity of static and sheared cell-laden hydrogels containing GFP</w:t>
                            </w:r>
                            <w:r w:rsidRPr="007A3962">
                              <w:rPr>
                                <w:rFonts w:ascii="Arial" w:hAnsi="Arial" w:cs="Arial"/>
                                <w:bCs/>
                                <w:i w:val="0"/>
                                <w:iCs w:val="0"/>
                                <w:noProof/>
                                <w:color w:val="auto"/>
                                <w:sz w:val="20"/>
                                <w:szCs w:val="20"/>
                                <w:vertAlign w:val="superscript"/>
                              </w:rPr>
                              <w:t>Cyto</w:t>
                            </w:r>
                            <w:r w:rsidRPr="007A3962">
                              <w:rPr>
                                <w:rFonts w:ascii="Arial" w:hAnsi="Arial" w:cs="Arial"/>
                                <w:bCs/>
                                <w:i w:val="0"/>
                                <w:iCs w:val="0"/>
                                <w:noProof/>
                                <w:color w:val="auto"/>
                                <w:sz w:val="20"/>
                                <w:szCs w:val="20"/>
                              </w:rPr>
                              <w:t xml:space="preserve"> and GFP</w:t>
                            </w:r>
                            <w:r w:rsidRPr="007A3962">
                              <w:rPr>
                                <w:rFonts w:ascii="Arial" w:hAnsi="Arial" w:cs="Arial"/>
                                <w:bCs/>
                                <w:i w:val="0"/>
                                <w:iCs w:val="0"/>
                                <w:noProof/>
                                <w:color w:val="auto"/>
                                <w:sz w:val="20"/>
                                <w:szCs w:val="20"/>
                                <w:vertAlign w:val="superscript"/>
                              </w:rPr>
                              <w:t>MUC15</w:t>
                            </w:r>
                            <w:r w:rsidRPr="007A3962">
                              <w:rPr>
                                <w:rFonts w:ascii="Arial" w:hAnsi="Arial" w:cs="Arial"/>
                                <w:bCs/>
                                <w:i w:val="0"/>
                                <w:iCs w:val="0"/>
                                <w:noProof/>
                                <w:color w:val="auto"/>
                                <w:sz w:val="20"/>
                                <w:szCs w:val="20"/>
                              </w:rPr>
                              <w:t xml:space="preserve"> (11dynes/cm</w:t>
                            </w:r>
                            <w:r w:rsidRPr="007A3962">
                              <w:rPr>
                                <w:rFonts w:ascii="Arial" w:hAnsi="Arial" w:cs="Arial"/>
                                <w:bCs/>
                                <w:i w:val="0"/>
                                <w:iCs w:val="0"/>
                                <w:noProof/>
                                <w:color w:val="auto"/>
                                <w:sz w:val="20"/>
                                <w:szCs w:val="20"/>
                                <w:vertAlign w:val="superscript"/>
                              </w:rPr>
                              <w:t>2</w:t>
                            </w:r>
                            <w:r w:rsidRPr="007A3962">
                              <w:rPr>
                                <w:rFonts w:ascii="Arial" w:hAnsi="Arial" w:cs="Arial"/>
                                <w:bCs/>
                                <w:i w:val="0"/>
                                <w:iCs w:val="0"/>
                                <w:noProof/>
                                <w:color w:val="auto"/>
                                <w:sz w:val="20"/>
                                <w:szCs w:val="20"/>
                              </w:rPr>
                              <w:t>, 24 hr). Significance evaluated by Welch’s t-test.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767DB92" id="_x0000_s1030" type="#_x0000_t202" style="position:absolute;margin-left:.4pt;margin-top:18.3pt;width:467.4pt;height:.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" stroked="f">
                <v:textbox style="mso-fit-shape-to-text:t" inset="0,0,0,0">
                  <w:txbxContent>
                    <w:p w14:paraId="0D8164C1" w14:textId="77777777" w:rsidR="00667525" w:rsidRPr="00EE24AC" w:rsidRDefault="00667525" w:rsidP="00667525">
                      <w:pPr>
                        <w:pStyle w:val="Caption"/>
                        <w:jc w:val="both"/>
                        <w:rPr>
                          <w:rFonts w:ascii="Arial" w:hAnsi="Arial" w:cs="Arial"/>
                          <w:i w:val="0"/>
                          <w:iCs w:val="0"/>
                          <w:noProof/>
                          <w:color w:val="auto"/>
                          <w:sz w:val="20"/>
                          <w:szCs w:val="20"/>
                        </w:rPr>
                      </w:pPr>
                      <w:r>
                        <w:rPr>
                          <w:rFonts w:ascii="Arial" w:hAnsi="Arial" w:cs="Arial"/>
                          <w:b/>
                          <w:bCs/>
                          <w:i w:val="0"/>
                          <w:iCs w:val="0"/>
                          <w:noProof/>
                          <w:color w:val="auto"/>
                          <w:sz w:val="20"/>
                          <w:szCs w:val="20"/>
                        </w:rPr>
                        <w:t xml:space="preserve">Extended Data Fig. </w:t>
                      </w:r>
                      <w:r w:rsidRPr="007A3962">
                        <w:rPr>
                          <w:rFonts w:ascii="Arial" w:hAnsi="Arial" w:cs="Arial"/>
                          <w:b/>
                          <w:bCs/>
                          <w:i w:val="0"/>
                          <w:iCs w:val="0"/>
                          <w:noProof/>
                          <w:color w:val="auto"/>
                          <w:sz w:val="20"/>
                          <w:szCs w:val="20"/>
                        </w:rPr>
                        <w:t>5 | GPCRs and MUC15 FSS mechanotransduction. a</w:t>
                      </w:r>
                      <w:r w:rsidRPr="007A3962">
                        <w:rPr>
                          <w:rFonts w:ascii="Arial" w:hAnsi="Arial" w:cs="Arial"/>
                          <w:bCs/>
                          <w:i w:val="0"/>
                          <w:iCs w:val="0"/>
                          <w:noProof/>
                          <w:color w:val="auto"/>
                          <w:sz w:val="20"/>
                          <w:szCs w:val="20"/>
                        </w:rPr>
                        <w:t xml:space="preserve">, Cell viability of OVCAR3 cells exposed to increasing concentrations of YM-254890 (SD; n = 3). Dotted line represents the viability of cells treated with DMSO (vehicle). </w:t>
                      </w:r>
                      <w:r w:rsidRPr="00B905DC">
                        <w:rPr>
                          <w:rFonts w:ascii="Arial" w:hAnsi="Arial" w:cs="Arial"/>
                          <w:b/>
                          <w:bCs/>
                          <w:i w:val="0"/>
                          <w:iCs w:val="0"/>
                          <w:noProof/>
                          <w:color w:val="auto"/>
                          <w:sz w:val="20"/>
                          <w:szCs w:val="20"/>
                        </w:rPr>
                        <w:t>b</w:t>
                      </w:r>
                      <w:r w:rsidRPr="007A3962">
                        <w:rPr>
                          <w:rFonts w:ascii="Arial" w:hAnsi="Arial" w:cs="Arial"/>
                          <w:bCs/>
                          <w:i w:val="0"/>
                          <w:iCs w:val="0"/>
                          <w:noProof/>
                          <w:color w:val="auto"/>
                          <w:sz w:val="20"/>
                          <w:szCs w:val="20"/>
                        </w:rPr>
                        <w:t>,</w:t>
                      </w:r>
                      <w:r w:rsidRPr="00B905DC">
                        <w:rPr>
                          <w:rFonts w:ascii="Arial" w:hAnsi="Arial" w:cs="Arial"/>
                          <w:b/>
                          <w:bCs/>
                          <w:i w:val="0"/>
                          <w:iCs w:val="0"/>
                          <w:noProof/>
                          <w:color w:val="auto"/>
                          <w:sz w:val="20"/>
                          <w:szCs w:val="20"/>
                        </w:rPr>
                        <w:t>c</w:t>
                      </w:r>
                      <w:r w:rsidRPr="007A3962">
                        <w:rPr>
                          <w:rFonts w:ascii="Arial" w:hAnsi="Arial" w:cs="Arial"/>
                          <w:bCs/>
                          <w:i w:val="0"/>
                          <w:iCs w:val="0"/>
                          <w:noProof/>
                          <w:color w:val="auto"/>
                          <w:sz w:val="20"/>
                          <w:szCs w:val="20"/>
                        </w:rPr>
                        <w:t>, Protein expression of MUC15 and p38α MAPK-associated signaling molecules in FTE237 (11 dynes/cm</w:t>
                      </w:r>
                      <w:r w:rsidRPr="007A3962">
                        <w:rPr>
                          <w:rFonts w:ascii="Arial" w:hAnsi="Arial" w:cs="Arial"/>
                          <w:bCs/>
                          <w:i w:val="0"/>
                          <w:iCs w:val="0"/>
                          <w:noProof/>
                          <w:color w:val="auto"/>
                          <w:sz w:val="20"/>
                          <w:szCs w:val="20"/>
                          <w:vertAlign w:val="superscript"/>
                        </w:rPr>
                        <w:t>2</w:t>
                      </w:r>
                      <w:r w:rsidRPr="007A3962">
                        <w:rPr>
                          <w:rFonts w:ascii="Arial" w:hAnsi="Arial" w:cs="Arial"/>
                          <w:bCs/>
                          <w:i w:val="0"/>
                          <w:iCs w:val="0"/>
                          <w:noProof/>
                          <w:color w:val="auto"/>
                          <w:sz w:val="20"/>
                          <w:szCs w:val="20"/>
                        </w:rPr>
                        <w:t>, 24 hr) (</w:t>
                      </w:r>
                      <w:r w:rsidRPr="00B905DC">
                        <w:rPr>
                          <w:rFonts w:ascii="Arial" w:hAnsi="Arial" w:cs="Arial"/>
                          <w:b/>
                          <w:bCs/>
                          <w:i w:val="0"/>
                          <w:iCs w:val="0"/>
                          <w:noProof/>
                          <w:color w:val="auto"/>
                          <w:sz w:val="20"/>
                          <w:szCs w:val="20"/>
                        </w:rPr>
                        <w:t>b</w:t>
                      </w:r>
                      <w:r w:rsidRPr="007A3962">
                        <w:rPr>
                          <w:rFonts w:ascii="Arial" w:hAnsi="Arial" w:cs="Arial"/>
                          <w:bCs/>
                          <w:i w:val="0"/>
                          <w:iCs w:val="0"/>
                          <w:noProof/>
                          <w:color w:val="auto"/>
                          <w:sz w:val="20"/>
                          <w:szCs w:val="20"/>
                        </w:rPr>
                        <w:t>) and quantification (</w:t>
                      </w:r>
                      <w:r w:rsidRPr="00B905DC">
                        <w:rPr>
                          <w:rFonts w:ascii="Arial" w:hAnsi="Arial" w:cs="Arial"/>
                          <w:b/>
                          <w:bCs/>
                          <w:i w:val="0"/>
                          <w:iCs w:val="0"/>
                          <w:noProof/>
                          <w:color w:val="auto"/>
                          <w:sz w:val="20"/>
                          <w:szCs w:val="20"/>
                        </w:rPr>
                        <w:t>c</w:t>
                      </w:r>
                      <w:r w:rsidRPr="007A3962">
                        <w:rPr>
                          <w:rFonts w:ascii="Arial" w:hAnsi="Arial" w:cs="Arial"/>
                          <w:bCs/>
                          <w:i w:val="0"/>
                          <w:iCs w:val="0"/>
                          <w:noProof/>
                          <w:color w:val="auto"/>
                          <w:sz w:val="20"/>
                          <w:szCs w:val="20"/>
                        </w:rPr>
                        <w:t xml:space="preserve">). Significance evaluated by Student’s t-test. </w:t>
                      </w:r>
                      <w:r w:rsidRPr="00B905DC">
                        <w:rPr>
                          <w:rFonts w:ascii="Arial" w:hAnsi="Arial" w:cs="Arial"/>
                          <w:b/>
                          <w:bCs/>
                          <w:i w:val="0"/>
                          <w:iCs w:val="0"/>
                          <w:noProof/>
                          <w:color w:val="auto"/>
                          <w:sz w:val="20"/>
                          <w:szCs w:val="20"/>
                        </w:rPr>
                        <w:t>d</w:t>
                      </w:r>
                      <w:r w:rsidRPr="007A3962">
                        <w:rPr>
                          <w:rFonts w:ascii="Arial" w:hAnsi="Arial" w:cs="Arial"/>
                          <w:bCs/>
                          <w:i w:val="0"/>
                          <w:iCs w:val="0"/>
                          <w:noProof/>
                          <w:color w:val="auto"/>
                          <w:sz w:val="20"/>
                          <w:szCs w:val="20"/>
                        </w:rPr>
                        <w:t xml:space="preserve">, MUC15 and PLCβ2 immunofluorescence in OVCAR3. </w:t>
                      </w:r>
                      <w:r w:rsidRPr="00B905DC">
                        <w:rPr>
                          <w:rFonts w:ascii="Arial" w:hAnsi="Arial" w:cs="Arial"/>
                          <w:b/>
                          <w:bCs/>
                          <w:i w:val="0"/>
                          <w:iCs w:val="0"/>
                          <w:noProof/>
                          <w:color w:val="auto"/>
                          <w:sz w:val="20"/>
                          <w:szCs w:val="20"/>
                        </w:rPr>
                        <w:t>e</w:t>
                      </w:r>
                      <w:r w:rsidRPr="007A3962">
                        <w:rPr>
                          <w:rFonts w:ascii="Arial" w:hAnsi="Arial" w:cs="Arial"/>
                          <w:bCs/>
                          <w:i w:val="0"/>
                          <w:iCs w:val="0"/>
                          <w:noProof/>
                          <w:color w:val="auto"/>
                          <w:sz w:val="20"/>
                          <w:szCs w:val="20"/>
                        </w:rPr>
                        <w:t>, Vector sequence used to create the GFP</w:t>
                      </w:r>
                      <w:r w:rsidRPr="007A3962">
                        <w:rPr>
                          <w:rFonts w:ascii="Arial" w:hAnsi="Arial" w:cs="Arial"/>
                          <w:bCs/>
                          <w:i w:val="0"/>
                          <w:iCs w:val="0"/>
                          <w:noProof/>
                          <w:color w:val="auto"/>
                          <w:sz w:val="20"/>
                          <w:szCs w:val="20"/>
                          <w:vertAlign w:val="superscript"/>
                        </w:rPr>
                        <w:t xml:space="preserve">MUC15 </w:t>
                      </w:r>
                      <w:r w:rsidRPr="007A3962">
                        <w:rPr>
                          <w:rFonts w:ascii="Arial" w:hAnsi="Arial" w:cs="Arial"/>
                          <w:bCs/>
                          <w:i w:val="0"/>
                          <w:iCs w:val="0"/>
                          <w:noProof/>
                          <w:color w:val="auto"/>
                          <w:sz w:val="20"/>
                          <w:szCs w:val="20"/>
                        </w:rPr>
                        <w:t xml:space="preserve">OVCAR3 cell line. </w:t>
                      </w:r>
                      <w:r w:rsidRPr="00B905DC">
                        <w:rPr>
                          <w:rFonts w:ascii="Arial" w:hAnsi="Arial" w:cs="Arial"/>
                          <w:b/>
                          <w:bCs/>
                          <w:i w:val="0"/>
                          <w:iCs w:val="0"/>
                          <w:noProof/>
                          <w:color w:val="auto"/>
                          <w:sz w:val="20"/>
                          <w:szCs w:val="20"/>
                        </w:rPr>
                        <w:t>f</w:t>
                      </w:r>
                      <w:r w:rsidRPr="007A3962">
                        <w:rPr>
                          <w:rFonts w:ascii="Arial" w:hAnsi="Arial" w:cs="Arial"/>
                          <w:bCs/>
                          <w:i w:val="0"/>
                          <w:iCs w:val="0"/>
                          <w:noProof/>
                          <w:color w:val="auto"/>
                          <w:sz w:val="20"/>
                          <w:szCs w:val="20"/>
                        </w:rPr>
                        <w:t>, Fluorescent intensity of static and sheared cell-laden hydrogels containing GFP</w:t>
                      </w:r>
                      <w:r w:rsidRPr="007A3962">
                        <w:rPr>
                          <w:rFonts w:ascii="Arial" w:hAnsi="Arial" w:cs="Arial"/>
                          <w:bCs/>
                          <w:i w:val="0"/>
                          <w:iCs w:val="0"/>
                          <w:noProof/>
                          <w:color w:val="auto"/>
                          <w:sz w:val="20"/>
                          <w:szCs w:val="20"/>
                          <w:vertAlign w:val="superscript"/>
                        </w:rPr>
                        <w:t>Cyto</w:t>
                      </w:r>
                      <w:r w:rsidRPr="007A3962">
                        <w:rPr>
                          <w:rFonts w:ascii="Arial" w:hAnsi="Arial" w:cs="Arial"/>
                          <w:bCs/>
                          <w:i w:val="0"/>
                          <w:iCs w:val="0"/>
                          <w:noProof/>
                          <w:color w:val="auto"/>
                          <w:sz w:val="20"/>
                          <w:szCs w:val="20"/>
                        </w:rPr>
                        <w:t xml:space="preserve"> and GFP</w:t>
                      </w:r>
                      <w:r w:rsidRPr="007A3962">
                        <w:rPr>
                          <w:rFonts w:ascii="Arial" w:hAnsi="Arial" w:cs="Arial"/>
                          <w:bCs/>
                          <w:i w:val="0"/>
                          <w:iCs w:val="0"/>
                          <w:noProof/>
                          <w:color w:val="auto"/>
                          <w:sz w:val="20"/>
                          <w:szCs w:val="20"/>
                          <w:vertAlign w:val="superscript"/>
                        </w:rPr>
                        <w:t>MUC15</w:t>
                      </w:r>
                      <w:r w:rsidRPr="007A3962">
                        <w:rPr>
                          <w:rFonts w:ascii="Arial" w:hAnsi="Arial" w:cs="Arial"/>
                          <w:bCs/>
                          <w:i w:val="0"/>
                          <w:iCs w:val="0"/>
                          <w:noProof/>
                          <w:color w:val="auto"/>
                          <w:sz w:val="20"/>
                          <w:szCs w:val="20"/>
                        </w:rPr>
                        <w:t xml:space="preserve"> (11dynes/cm</w:t>
                      </w:r>
                      <w:r w:rsidRPr="007A3962">
                        <w:rPr>
                          <w:rFonts w:ascii="Arial" w:hAnsi="Arial" w:cs="Arial"/>
                          <w:bCs/>
                          <w:i w:val="0"/>
                          <w:iCs w:val="0"/>
                          <w:noProof/>
                          <w:color w:val="auto"/>
                          <w:sz w:val="20"/>
                          <w:szCs w:val="20"/>
                          <w:vertAlign w:val="superscript"/>
                        </w:rPr>
                        <w:t>2</w:t>
                      </w:r>
                      <w:r w:rsidRPr="007A3962">
                        <w:rPr>
                          <w:rFonts w:ascii="Arial" w:hAnsi="Arial" w:cs="Arial"/>
                          <w:bCs/>
                          <w:i w:val="0"/>
                          <w:iCs w:val="0"/>
                          <w:noProof/>
                          <w:color w:val="auto"/>
                          <w:sz w:val="20"/>
                          <w:szCs w:val="20"/>
                        </w:rPr>
                        <w:t>, 24 hr). Significance evaluated by Welch’s t-test.</w:t>
                      </w:r>
                    </w:p>
                  </w:txbxContent>
                </v:textbox>
                <w10:wrap type="square"/>
              </v:shape>
            </w:pict>
          </mc:Fallback>
        </mc:AlternateContent>
      </w:r>
    </w:p>
    <w:p w14:paraId="18B81152" w14:textId="77777777" w:rsidR="00667525" w:rsidRDefault="00667525" w:rsidP="00667525">
      <w:pPr>
        <w:spacing w:line="240" w:lineRule="auto"/>
        <w:rPr>
          <w:rFonts w:ascii="Times New Roman" w:hAnsi="Times New Roman" w:cs="Times New Roman"/>
          <w:b/>
          <w:bCs/>
          <w:iCs/>
        </w:rPr>
        <w:sectPr w:rsidR="00667525" w:rsidSect="00667525">
          <w:pgSz w:w="12240" w:h="15840"/>
          <w:pgMar w:top="1440" w:right="1440" w:bottom="1440" w:left="1440" w:header="720" w:footer="720" w:gutter="0"/>
          <w:lnNumType w:countBy="1" w:restart="continuous"/>
          <w:cols w:space="720"/>
          <w:docGrid w:linePitch="360"/>
        </w:sectPr>
      </w:pPr>
    </w:p>
    <w:p w14:paraId="687D45B0" w14:textId="77777777" w:rsidR="00667525" w:rsidRDefault="00667525" w:rsidP="00667525">
      <w:pPr>
        <w:spacing w:line="240" w:lineRule="auto"/>
        <w:rPr>
          <w:rFonts w:ascii="Times New Roman" w:hAnsi="Times New Roman" w:cs="Times New Roman"/>
          <w:b/>
          <w:bCs/>
          <w:iCs/>
        </w:rPr>
      </w:pPr>
      <w:r>
        <w:rPr>
          <w:rFonts w:ascii="Times New Roman" w:hAnsi="Times New Roman" w:cs="Times New Roman"/>
          <w:b/>
          <w:bCs/>
          <w:iCs/>
        </w:rPr>
        <w:lastRenderedPageBreak/>
        <w:t xml:space="preserve">Supplementary Information </w:t>
      </w:r>
    </w:p>
    <w:p w14:paraId="28E7550B" w14:textId="77777777" w:rsidR="00667525" w:rsidRDefault="00667525" w:rsidP="00667525">
      <w:pPr>
        <w:spacing w:line="240" w:lineRule="auto"/>
        <w:rPr>
          <w:rFonts w:ascii="Times New Roman" w:hAnsi="Times New Roman" w:cs="Times New Roman"/>
          <w:b/>
          <w:bCs/>
          <w:iCs/>
        </w:rPr>
      </w:pPr>
      <w:r>
        <w:rPr>
          <w:noProof/>
          <w:lang w:val="en-GB" w:eastAsia="en-GB"/>
        </w:rPr>
        <mc:AlternateContent>
          <mc:Choice Requires="wps">
            <w:drawing>
              <wp:anchor distT="0" distB="0" distL="114300" distR="114300" simplePos="0" relativeHeight="251672576" behindDoc="0" locked="0" layoutInCell="1" allowOverlap="1" wp14:anchorId="63D269AE" wp14:editId="1A2D247C">
                <wp:simplePos x="0" y="0"/>
                <wp:positionH relativeFrom="column">
                  <wp:posOffset>0</wp:posOffset>
                </wp:positionH>
                <wp:positionV relativeFrom="paragraph">
                  <wp:posOffset>2685415</wp:posOffset>
                </wp:positionV>
                <wp:extent cx="5935980" cy="635"/>
                <wp:effectExtent l="0" t="0" r="7620" b="0"/>
                <wp:wrapSquare wrapText="bothSides"/>
                <wp:docPr id="18" name="Text Box 1"/>
                <wp:cNvGraphicFramePr/>
                <a:graphic xmlns:a="http://schemas.openxmlformats.org/drawingml/2006/main">
                  <a:graphicData uri="http://schemas.microsoft.com/office/word/2010/wordprocessingShape">
                    <wps:wsp>
                      <wps:cNvSpPr txBox="1"/>
                      <wps:spPr>
                        <a:xfrm>
                          <a:off x="0" y="0"/>
                          <a:ext cx="5935980" cy="635"/>
                        </a:xfrm>
                        <a:prstGeom prst="rect">
                          <a:avLst/>
                        </a:prstGeom>
                        <a:solidFill>
                          <a:prstClr val="white"/>
                        </a:solidFill>
                        <a:ln>
                          <a:noFill/>
                        </a:ln>
                      </wps:spPr>
                      <wps:txbx>
                        <w:txbxContent>
                          <w:p w14:paraId="642DDAB0" w14:textId="77777777" w:rsidR="00667525" w:rsidRPr="00D5333F" w:rsidRDefault="00667525" w:rsidP="00667525">
                            <w:pPr>
                              <w:pStyle w:val="Caption"/>
                              <w:jc w:val="both"/>
                              <w:rPr>
                                <w:rFonts w:ascii="Arial" w:hAnsi="Arial" w:cs="Arial"/>
                                <w:b/>
                                <w:bCs/>
                                <w:noProof/>
                                <w:sz w:val="20"/>
                                <w:szCs w:val="20"/>
                                <w:lang w:val="en-GB"/>
                              </w:rPr>
                            </w:pPr>
                            <w:r w:rsidRPr="00EE24AC">
                              <w:rPr>
                                <w:rFonts w:ascii="Arial" w:hAnsi="Arial" w:cs="Arial"/>
                                <w:b/>
                                <w:bCs/>
                                <w:i w:val="0"/>
                                <w:iCs w:val="0"/>
                                <w:noProof/>
                                <w:color w:val="auto"/>
                                <w:sz w:val="20"/>
                                <w:szCs w:val="20"/>
                              </w:rPr>
                              <w:t>Supplementary Fig. S1 |</w:t>
                            </w:r>
                            <w:r w:rsidRPr="00EE24AC">
                              <w:rPr>
                                <w:rFonts w:ascii="Arial" w:hAnsi="Arial" w:cs="Arial"/>
                                <w:i w:val="0"/>
                                <w:iCs w:val="0"/>
                                <w:noProof/>
                                <w:color w:val="auto"/>
                                <w:sz w:val="20"/>
                                <w:szCs w:val="20"/>
                              </w:rPr>
                              <w:t xml:space="preserve"> </w:t>
                            </w:r>
                            <w:r w:rsidRPr="00583CAF">
                              <w:rPr>
                                <w:rFonts w:ascii="Arial" w:hAnsi="Arial" w:cs="Arial"/>
                                <w:b/>
                                <w:bCs/>
                                <w:i w:val="0"/>
                                <w:noProof/>
                                <w:color w:val="auto"/>
                                <w:sz w:val="20"/>
                                <w:szCs w:val="20"/>
                                <w:lang w:val="en-GB"/>
                              </w:rPr>
                              <w:t>a</w:t>
                            </w:r>
                            <w:r w:rsidRPr="00583CAF">
                              <w:rPr>
                                <w:rFonts w:ascii="Arial" w:hAnsi="Arial" w:cs="Arial"/>
                                <w:bCs/>
                                <w:i w:val="0"/>
                                <w:noProof/>
                                <w:color w:val="auto"/>
                                <w:sz w:val="20"/>
                                <w:szCs w:val="20"/>
                                <w:lang w:val="en-GB"/>
                              </w:rPr>
                              <w:t>, Apoptotic activity in static and sheared OVCAR3 (left) and OVSAHO (right) cell (11 dynes/cm</w:t>
                            </w:r>
                            <w:r w:rsidRPr="00583CAF">
                              <w:rPr>
                                <w:rFonts w:ascii="Arial" w:hAnsi="Arial" w:cs="Arial"/>
                                <w:bCs/>
                                <w:i w:val="0"/>
                                <w:noProof/>
                                <w:color w:val="auto"/>
                                <w:sz w:val="20"/>
                                <w:szCs w:val="20"/>
                                <w:vertAlign w:val="superscript"/>
                                <w:lang w:val="en-GB"/>
                              </w:rPr>
                              <w:t>2</w:t>
                            </w:r>
                            <w:r w:rsidRPr="00583CAF">
                              <w:rPr>
                                <w:rFonts w:ascii="Arial" w:hAnsi="Arial" w:cs="Arial"/>
                                <w:bCs/>
                                <w:i w:val="0"/>
                                <w:noProof/>
                                <w:color w:val="auto"/>
                                <w:sz w:val="20"/>
                                <w:szCs w:val="20"/>
                                <w:lang w:val="en-GB"/>
                              </w:rPr>
                              <w:t xml:space="preserve">, 24 hr) evaluated by caspase-3 expression (n = 3). </w:t>
                            </w:r>
                            <w:r w:rsidRPr="00583CAF">
                              <w:rPr>
                                <w:rFonts w:ascii="Arial" w:hAnsi="Arial" w:cs="Arial"/>
                                <w:b/>
                                <w:bCs/>
                                <w:i w:val="0"/>
                                <w:noProof/>
                                <w:color w:val="auto"/>
                                <w:sz w:val="20"/>
                                <w:szCs w:val="20"/>
                                <w:lang w:val="en-GB"/>
                              </w:rPr>
                              <w:t>b</w:t>
                            </w:r>
                            <w:r w:rsidRPr="00583CAF">
                              <w:rPr>
                                <w:rFonts w:ascii="Arial" w:hAnsi="Arial" w:cs="Arial"/>
                                <w:bCs/>
                                <w:i w:val="0"/>
                                <w:noProof/>
                                <w:color w:val="auto"/>
                                <w:sz w:val="20"/>
                                <w:szCs w:val="20"/>
                                <w:lang w:val="en-GB"/>
                              </w:rPr>
                              <w:t xml:space="preserve">, Quantitative PCR on genes of interest for OVCAR3 (left) and OVSAHO (right). Significance evaluated by Student’s t-test, *P ≤ 0.05.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3D269AE" id="_x0000_s1031" type="#_x0000_t202" style="position:absolute;margin-left:0;margin-top:211.45pt;width:467.4pt;height:.0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" stroked="f">
                <v:textbox style="mso-fit-shape-to-text:t" inset="0,0,0,0">
                  <w:txbxContent>
                    <w:p w14:paraId="642DDAB0" w14:textId="77777777" w:rsidR="00667525" w:rsidRPr="00D5333F" w:rsidRDefault="00667525" w:rsidP="00667525">
                      <w:pPr>
                        <w:pStyle w:val="Caption"/>
                        <w:jc w:val="both"/>
                        <w:rPr>
                          <w:rFonts w:ascii="Arial" w:hAnsi="Arial" w:cs="Arial"/>
                          <w:b/>
                          <w:bCs/>
                          <w:noProof/>
                          <w:sz w:val="20"/>
                          <w:szCs w:val="20"/>
                          <w:lang w:val="en-GB"/>
                        </w:rPr>
                      </w:pPr>
                      <w:r w:rsidRPr="00EE24AC">
                        <w:rPr>
                          <w:rFonts w:ascii="Arial" w:hAnsi="Arial" w:cs="Arial"/>
                          <w:b/>
                          <w:bCs/>
                          <w:i w:val="0"/>
                          <w:iCs w:val="0"/>
                          <w:noProof/>
                          <w:color w:val="auto"/>
                          <w:sz w:val="20"/>
                          <w:szCs w:val="20"/>
                        </w:rPr>
                        <w:t>Supplementary Fig. S1 |</w:t>
                      </w:r>
                      <w:r w:rsidRPr="00EE24AC">
                        <w:rPr>
                          <w:rFonts w:ascii="Arial" w:hAnsi="Arial" w:cs="Arial"/>
                          <w:i w:val="0"/>
                          <w:iCs w:val="0"/>
                          <w:noProof/>
                          <w:color w:val="auto"/>
                          <w:sz w:val="20"/>
                          <w:szCs w:val="20"/>
                        </w:rPr>
                        <w:t xml:space="preserve"> </w:t>
                      </w:r>
                      <w:r w:rsidRPr="00583CAF">
                        <w:rPr>
                          <w:rFonts w:ascii="Arial" w:hAnsi="Arial" w:cs="Arial"/>
                          <w:b/>
                          <w:bCs/>
                          <w:i w:val="0"/>
                          <w:noProof/>
                          <w:color w:val="auto"/>
                          <w:sz w:val="20"/>
                          <w:szCs w:val="20"/>
                          <w:lang w:val="en-GB"/>
                        </w:rPr>
                        <w:t>a</w:t>
                      </w:r>
                      <w:r w:rsidRPr="00583CAF">
                        <w:rPr>
                          <w:rFonts w:ascii="Arial" w:hAnsi="Arial" w:cs="Arial"/>
                          <w:bCs/>
                          <w:i w:val="0"/>
                          <w:noProof/>
                          <w:color w:val="auto"/>
                          <w:sz w:val="20"/>
                          <w:szCs w:val="20"/>
                          <w:lang w:val="en-GB"/>
                        </w:rPr>
                        <w:t>, Apoptotic activity in static and sheared OVCAR3 (left) and OVSAHO (right) cell (11 dynes/cm</w:t>
                      </w:r>
                      <w:r w:rsidRPr="00583CAF">
                        <w:rPr>
                          <w:rFonts w:ascii="Arial" w:hAnsi="Arial" w:cs="Arial"/>
                          <w:bCs/>
                          <w:i w:val="0"/>
                          <w:noProof/>
                          <w:color w:val="auto"/>
                          <w:sz w:val="20"/>
                          <w:szCs w:val="20"/>
                          <w:vertAlign w:val="superscript"/>
                          <w:lang w:val="en-GB"/>
                        </w:rPr>
                        <w:t>2</w:t>
                      </w:r>
                      <w:r w:rsidRPr="00583CAF">
                        <w:rPr>
                          <w:rFonts w:ascii="Arial" w:hAnsi="Arial" w:cs="Arial"/>
                          <w:bCs/>
                          <w:i w:val="0"/>
                          <w:noProof/>
                          <w:color w:val="auto"/>
                          <w:sz w:val="20"/>
                          <w:szCs w:val="20"/>
                          <w:lang w:val="en-GB"/>
                        </w:rPr>
                        <w:t xml:space="preserve">, 24 hr) evaluated by caspase-3 expression (n = 3). </w:t>
                      </w:r>
                      <w:r w:rsidRPr="00583CAF">
                        <w:rPr>
                          <w:rFonts w:ascii="Arial" w:hAnsi="Arial" w:cs="Arial"/>
                          <w:b/>
                          <w:bCs/>
                          <w:i w:val="0"/>
                          <w:noProof/>
                          <w:color w:val="auto"/>
                          <w:sz w:val="20"/>
                          <w:szCs w:val="20"/>
                          <w:lang w:val="en-GB"/>
                        </w:rPr>
                        <w:t>b</w:t>
                      </w:r>
                      <w:r w:rsidRPr="00583CAF">
                        <w:rPr>
                          <w:rFonts w:ascii="Arial" w:hAnsi="Arial" w:cs="Arial"/>
                          <w:bCs/>
                          <w:i w:val="0"/>
                          <w:noProof/>
                          <w:color w:val="auto"/>
                          <w:sz w:val="20"/>
                          <w:szCs w:val="20"/>
                          <w:lang w:val="en-GB"/>
                        </w:rPr>
                        <w:t xml:space="preserve">, Quantitative PCR on genes of interest for OVCAR3 (left) and OVSAHO (right). Significance evaluated by Student’s t-test, *P ≤ 0.05. </w:t>
                      </w:r>
                    </w:p>
                  </w:txbxContent>
                </v:textbox>
                <w10:wrap type="square"/>
              </v:shape>
            </w:pict>
          </mc:Fallback>
        </mc:AlternateContent>
      </w:r>
      <w:r>
        <w:rPr>
          <w:rFonts w:ascii="Times New Roman" w:hAnsi="Times New Roman" w:cs="Times New Roman"/>
          <w:b/>
          <w:bCs/>
          <w:iCs/>
          <w:noProof/>
          <w:lang w:val="en-GB" w:eastAsia="en-GB"/>
        </w:rPr>
        <w:drawing>
          <wp:inline distT="0" distB="0" distL="0" distR="0" wp14:anchorId="50DD6E94" wp14:editId="59E8132F">
            <wp:extent cx="3990975" cy="2667974"/>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upplementary Figure S1.png"/>
                    <pic:cNvPicPr/>
                  </pic:nvPicPr>
                  <pic:blipFill>
                    <a:blip r:embed="rId9">
                      <a:extLst>
                        <a:ext uri="{28A0092B-C50C-407E-A947-70E740481C1C}">
                          <a14:useLocalDpi xmlns:a14="http://schemas.microsoft.com/office/drawing/2010/main" val="0"/>
                        </a:ext>
                      </a:extLst>
                    </a:blip>
                    <a:stretch>
                      <a:fillRect/>
                    </a:stretch>
                  </pic:blipFill>
                  <pic:spPr>
                    <a:xfrm>
                      <a:off x="0" y="0"/>
                      <a:ext cx="4018459" cy="2686347"/>
                    </a:xfrm>
                    <a:prstGeom prst="rect">
                      <a:avLst/>
                    </a:prstGeom>
                  </pic:spPr>
                </pic:pic>
              </a:graphicData>
            </a:graphic>
          </wp:inline>
        </w:drawing>
      </w:r>
    </w:p>
    <w:p w14:paraId="4DB6543F" w14:textId="77777777" w:rsidR="00667525" w:rsidRDefault="00667525" w:rsidP="00667525">
      <w:pPr>
        <w:spacing w:line="240" w:lineRule="auto"/>
        <w:rPr>
          <w:rFonts w:ascii="Times New Roman" w:hAnsi="Times New Roman" w:cs="Times New Roman"/>
          <w:b/>
          <w:bCs/>
          <w:iCs/>
        </w:rPr>
      </w:pPr>
      <w:r>
        <w:rPr>
          <w:rFonts w:ascii="Times New Roman" w:hAnsi="Times New Roman" w:cs="Times New Roman"/>
          <w:b/>
          <w:bCs/>
          <w:iCs/>
          <w:noProof/>
          <w:lang w:val="en-GB" w:eastAsia="en-GB"/>
        </w:rPr>
        <w:drawing>
          <wp:anchor distT="0" distB="0" distL="114300" distR="114300" simplePos="0" relativeHeight="251668480" behindDoc="0" locked="0" layoutInCell="1" allowOverlap="1" wp14:anchorId="3734CFBC" wp14:editId="00123B17">
            <wp:simplePos x="0" y="0"/>
            <wp:positionH relativeFrom="column">
              <wp:posOffset>0</wp:posOffset>
            </wp:positionH>
            <wp:positionV relativeFrom="paragraph">
              <wp:posOffset>559435</wp:posOffset>
            </wp:positionV>
            <wp:extent cx="4593590" cy="3740785"/>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upplementary Figure S1.png"/>
                    <pic:cNvPicPr/>
                  </pic:nvPicPr>
                  <pic:blipFill>
                    <a:blip r:embed="rId10">
                      <a:extLst>
                        <a:ext uri="{28A0092B-C50C-407E-A947-70E740481C1C}">
                          <a14:useLocalDpi xmlns:a14="http://schemas.microsoft.com/office/drawing/2010/main" val="0"/>
                        </a:ext>
                      </a:extLst>
                    </a:blip>
                    <a:stretch>
                      <a:fillRect/>
                    </a:stretch>
                  </pic:blipFill>
                  <pic:spPr>
                    <a:xfrm>
                      <a:off x="0" y="0"/>
                      <a:ext cx="4593590" cy="3740785"/>
                    </a:xfrm>
                    <a:prstGeom prst="rect">
                      <a:avLst/>
                    </a:prstGeom>
                  </pic:spPr>
                </pic:pic>
              </a:graphicData>
            </a:graphic>
            <wp14:sizeRelH relativeFrom="margin">
              <wp14:pctWidth>0</wp14:pctWidth>
            </wp14:sizeRelH>
            <wp14:sizeRelV relativeFrom="margin">
              <wp14:pctHeight>0</wp14:pctHeight>
            </wp14:sizeRelV>
          </wp:anchor>
        </w:drawing>
      </w:r>
    </w:p>
    <w:p w14:paraId="66CAD924" w14:textId="77777777" w:rsidR="00667525" w:rsidRDefault="00667525" w:rsidP="00667525">
      <w:pPr>
        <w:spacing w:line="240" w:lineRule="auto"/>
        <w:rPr>
          <w:rFonts w:ascii="Times New Roman" w:hAnsi="Times New Roman" w:cs="Times New Roman"/>
          <w:b/>
          <w:bCs/>
          <w:iCs/>
        </w:rPr>
      </w:pPr>
    </w:p>
    <w:p w14:paraId="0EF91545" w14:textId="77777777" w:rsidR="00667525" w:rsidRDefault="00667525" w:rsidP="00667525">
      <w:pPr>
        <w:spacing w:line="240" w:lineRule="auto"/>
        <w:rPr>
          <w:rFonts w:ascii="Times New Roman" w:hAnsi="Times New Roman" w:cs="Times New Roman"/>
          <w:b/>
          <w:bCs/>
          <w:iCs/>
        </w:rPr>
      </w:pPr>
    </w:p>
    <w:p w14:paraId="04B1ADB8" w14:textId="77777777" w:rsidR="00667525" w:rsidRDefault="00667525" w:rsidP="00667525">
      <w:pPr>
        <w:spacing w:line="240" w:lineRule="auto"/>
        <w:rPr>
          <w:rFonts w:ascii="Times New Roman" w:hAnsi="Times New Roman" w:cs="Times New Roman"/>
          <w:b/>
          <w:bCs/>
          <w:iCs/>
        </w:rPr>
      </w:pPr>
    </w:p>
    <w:p w14:paraId="2F62216B" w14:textId="77777777" w:rsidR="00667525" w:rsidRDefault="00667525" w:rsidP="00667525">
      <w:pPr>
        <w:spacing w:line="240" w:lineRule="auto"/>
        <w:rPr>
          <w:rFonts w:ascii="Times New Roman" w:hAnsi="Times New Roman" w:cs="Times New Roman"/>
          <w:b/>
          <w:bCs/>
          <w:iCs/>
        </w:rPr>
      </w:pPr>
    </w:p>
    <w:p w14:paraId="62A8DAD7" w14:textId="77777777" w:rsidR="00667525" w:rsidRDefault="00667525" w:rsidP="00667525">
      <w:pPr>
        <w:spacing w:line="240" w:lineRule="auto"/>
        <w:rPr>
          <w:rFonts w:ascii="Times New Roman" w:hAnsi="Times New Roman" w:cs="Times New Roman"/>
          <w:b/>
          <w:bCs/>
          <w:iCs/>
        </w:rPr>
      </w:pPr>
    </w:p>
    <w:p w14:paraId="02E04333" w14:textId="77777777" w:rsidR="00667525" w:rsidRDefault="00667525" w:rsidP="00667525">
      <w:pPr>
        <w:spacing w:line="240" w:lineRule="auto"/>
        <w:rPr>
          <w:rFonts w:ascii="Times New Roman" w:hAnsi="Times New Roman" w:cs="Times New Roman"/>
          <w:b/>
          <w:bCs/>
          <w:iCs/>
        </w:rPr>
      </w:pPr>
    </w:p>
    <w:p w14:paraId="707EADE0" w14:textId="77777777" w:rsidR="00667525" w:rsidRDefault="00667525" w:rsidP="00667525">
      <w:pPr>
        <w:spacing w:line="240" w:lineRule="auto"/>
        <w:rPr>
          <w:rFonts w:ascii="Times New Roman" w:hAnsi="Times New Roman" w:cs="Times New Roman"/>
          <w:b/>
          <w:bCs/>
          <w:iCs/>
        </w:rPr>
      </w:pPr>
    </w:p>
    <w:p w14:paraId="46E16CFA" w14:textId="77777777" w:rsidR="00667525" w:rsidRDefault="00667525" w:rsidP="00667525">
      <w:pPr>
        <w:spacing w:line="240" w:lineRule="auto"/>
        <w:rPr>
          <w:rFonts w:ascii="Times New Roman" w:hAnsi="Times New Roman" w:cs="Times New Roman"/>
          <w:b/>
          <w:bCs/>
          <w:iCs/>
        </w:rPr>
      </w:pPr>
    </w:p>
    <w:p w14:paraId="511E944D" w14:textId="77777777" w:rsidR="00667525" w:rsidRDefault="00667525" w:rsidP="00667525">
      <w:pPr>
        <w:spacing w:line="240" w:lineRule="auto"/>
        <w:rPr>
          <w:rFonts w:ascii="Times New Roman" w:hAnsi="Times New Roman" w:cs="Times New Roman"/>
          <w:b/>
          <w:bCs/>
          <w:iCs/>
        </w:rPr>
      </w:pPr>
    </w:p>
    <w:p w14:paraId="1D2C33E1" w14:textId="77777777" w:rsidR="00667525" w:rsidRDefault="00667525" w:rsidP="00667525">
      <w:pPr>
        <w:spacing w:line="240" w:lineRule="auto"/>
        <w:rPr>
          <w:rFonts w:ascii="Times New Roman" w:hAnsi="Times New Roman" w:cs="Times New Roman"/>
          <w:b/>
          <w:bCs/>
          <w:iCs/>
        </w:rPr>
      </w:pPr>
    </w:p>
    <w:p w14:paraId="43CEF36A" w14:textId="77777777" w:rsidR="00667525" w:rsidRDefault="00667525" w:rsidP="00667525">
      <w:pPr>
        <w:spacing w:line="240" w:lineRule="auto"/>
        <w:rPr>
          <w:rFonts w:ascii="Times New Roman" w:hAnsi="Times New Roman" w:cs="Times New Roman"/>
          <w:b/>
          <w:bCs/>
          <w:iCs/>
        </w:rPr>
      </w:pPr>
    </w:p>
    <w:p w14:paraId="755CF795" w14:textId="77777777" w:rsidR="00667525" w:rsidRDefault="00667525" w:rsidP="00667525">
      <w:pPr>
        <w:spacing w:line="240" w:lineRule="auto"/>
        <w:rPr>
          <w:rFonts w:ascii="Times New Roman" w:hAnsi="Times New Roman" w:cs="Times New Roman"/>
          <w:b/>
          <w:bCs/>
          <w:iCs/>
        </w:rPr>
      </w:pPr>
    </w:p>
    <w:p w14:paraId="0A92F350" w14:textId="77777777" w:rsidR="00667525" w:rsidRDefault="00667525" w:rsidP="00667525">
      <w:pPr>
        <w:spacing w:line="240" w:lineRule="auto"/>
        <w:rPr>
          <w:rFonts w:ascii="Times New Roman" w:hAnsi="Times New Roman" w:cs="Times New Roman"/>
          <w:b/>
          <w:bCs/>
          <w:iCs/>
        </w:rPr>
      </w:pPr>
    </w:p>
    <w:p w14:paraId="428CF1FE" w14:textId="77777777" w:rsidR="00667525" w:rsidRDefault="00667525" w:rsidP="00667525">
      <w:pPr>
        <w:spacing w:line="240" w:lineRule="auto"/>
        <w:rPr>
          <w:rFonts w:ascii="Times New Roman" w:hAnsi="Times New Roman" w:cs="Times New Roman"/>
          <w:b/>
          <w:bCs/>
          <w:iCs/>
        </w:rPr>
      </w:pPr>
      <w:r>
        <w:rPr>
          <w:noProof/>
          <w:lang w:val="en-GB" w:eastAsia="en-GB"/>
        </w:rPr>
        <mc:AlternateContent>
          <mc:Choice Requires="wps">
            <w:drawing>
              <wp:anchor distT="0" distB="0" distL="114300" distR="114300" simplePos="0" relativeHeight="251669504" behindDoc="0" locked="0" layoutInCell="1" allowOverlap="1" wp14:anchorId="56718206" wp14:editId="5B960183">
                <wp:simplePos x="0" y="0"/>
                <wp:positionH relativeFrom="column">
                  <wp:posOffset>0</wp:posOffset>
                </wp:positionH>
                <wp:positionV relativeFrom="paragraph">
                  <wp:posOffset>374650</wp:posOffset>
                </wp:positionV>
                <wp:extent cx="5935980" cy="635"/>
                <wp:effectExtent l="0" t="0" r="7620" b="0"/>
                <wp:wrapSquare wrapText="bothSides"/>
                <wp:docPr id="15" name="Text Box 1"/>
                <wp:cNvGraphicFramePr/>
                <a:graphic xmlns:a="http://schemas.openxmlformats.org/drawingml/2006/main">
                  <a:graphicData uri="http://schemas.microsoft.com/office/word/2010/wordprocessingShape">
                    <wps:wsp>
                      <wps:cNvSpPr txBox="1"/>
                      <wps:spPr>
                        <a:xfrm>
                          <a:off x="0" y="0"/>
                          <a:ext cx="5935980" cy="635"/>
                        </a:xfrm>
                        <a:prstGeom prst="rect">
                          <a:avLst/>
                        </a:prstGeom>
                        <a:solidFill>
                          <a:prstClr val="white"/>
                        </a:solidFill>
                        <a:ln>
                          <a:noFill/>
                        </a:ln>
                      </wps:spPr>
                      <wps:txbx>
                        <w:txbxContent>
                          <w:p w14:paraId="785023B9" w14:textId="77777777" w:rsidR="00667525" w:rsidRPr="00EE24AC" w:rsidRDefault="00667525" w:rsidP="00667525">
                            <w:pPr>
                              <w:pStyle w:val="Caption"/>
                              <w:jc w:val="both"/>
                              <w:rPr>
                                <w:rFonts w:ascii="Arial" w:hAnsi="Arial" w:cs="Arial"/>
                                <w:i w:val="0"/>
                                <w:iCs w:val="0"/>
                                <w:noProof/>
                                <w:color w:val="auto"/>
                                <w:sz w:val="20"/>
                                <w:szCs w:val="20"/>
                              </w:rPr>
                            </w:pPr>
                            <w:r>
                              <w:rPr>
                                <w:rFonts w:ascii="Arial" w:hAnsi="Arial" w:cs="Arial"/>
                                <w:b/>
                                <w:bCs/>
                                <w:i w:val="0"/>
                                <w:iCs w:val="0"/>
                                <w:noProof/>
                                <w:color w:val="auto"/>
                                <w:sz w:val="20"/>
                                <w:szCs w:val="20"/>
                              </w:rPr>
                              <w:t>Supplementary Fig. S2</w:t>
                            </w:r>
                            <w:r w:rsidRPr="00EE24AC">
                              <w:rPr>
                                <w:rFonts w:ascii="Arial" w:hAnsi="Arial" w:cs="Arial"/>
                                <w:b/>
                                <w:bCs/>
                                <w:i w:val="0"/>
                                <w:iCs w:val="0"/>
                                <w:noProof/>
                                <w:color w:val="auto"/>
                                <w:sz w:val="20"/>
                                <w:szCs w:val="20"/>
                              </w:rPr>
                              <w:t xml:space="preserve"> |</w:t>
                            </w:r>
                            <w:r w:rsidRPr="00EE24AC">
                              <w:rPr>
                                <w:rFonts w:ascii="Arial" w:hAnsi="Arial" w:cs="Arial"/>
                                <w:i w:val="0"/>
                                <w:iCs w:val="0"/>
                                <w:noProof/>
                                <w:color w:val="auto"/>
                                <w:sz w:val="20"/>
                                <w:szCs w:val="20"/>
                              </w:rPr>
                              <w:t xml:space="preserve"> </w:t>
                            </w:r>
                            <w:r w:rsidRPr="00EE24AC">
                              <w:rPr>
                                <w:rFonts w:ascii="Arial" w:hAnsi="Arial" w:cs="Arial"/>
                                <w:b/>
                                <w:bCs/>
                                <w:i w:val="0"/>
                                <w:iCs w:val="0"/>
                                <w:noProof/>
                                <w:color w:val="auto"/>
                                <w:sz w:val="20"/>
                                <w:szCs w:val="20"/>
                              </w:rPr>
                              <w:t>a</w:t>
                            </w:r>
                            <w:r w:rsidRPr="00EE24AC">
                              <w:rPr>
                                <w:rFonts w:ascii="Arial" w:hAnsi="Arial" w:cs="Arial"/>
                                <w:i w:val="0"/>
                                <w:iCs w:val="0"/>
                                <w:noProof/>
                                <w:color w:val="auto"/>
                                <w:sz w:val="20"/>
                                <w:szCs w:val="20"/>
                              </w:rPr>
                              <w:t xml:space="preserve">, MUC15 ELISA of OVCAR3 cell lysate and conditioned media. </w:t>
                            </w:r>
                            <w:r w:rsidRPr="00EE24AC">
                              <w:rPr>
                                <w:rFonts w:ascii="Arial" w:hAnsi="Arial" w:cs="Arial"/>
                                <w:b/>
                                <w:bCs/>
                                <w:i w:val="0"/>
                                <w:iCs w:val="0"/>
                                <w:noProof/>
                                <w:color w:val="auto"/>
                                <w:sz w:val="20"/>
                                <w:szCs w:val="20"/>
                              </w:rPr>
                              <w:t>b</w:t>
                            </w:r>
                            <w:r w:rsidRPr="00EE24AC">
                              <w:rPr>
                                <w:rFonts w:ascii="Arial" w:hAnsi="Arial" w:cs="Arial"/>
                                <w:i w:val="0"/>
                                <w:iCs w:val="0"/>
                                <w:noProof/>
                                <w:color w:val="auto"/>
                                <w:sz w:val="20"/>
                                <w:szCs w:val="20"/>
                              </w:rPr>
                              <w:t xml:space="preserve">, Phospho-kinase array legend. Significance evaluated by Student’s t-test.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6718206" id="_x0000_s1032" type="#_x0000_t202" style="position:absolute;margin-left:0;margin-top:29.5pt;width:467.4pt;height:.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" stroked="f">
                <v:textbox style="mso-fit-shape-to-text:t" inset="0,0,0,0">
                  <w:txbxContent>
                    <w:p w14:paraId="785023B9" w14:textId="77777777" w:rsidR="00667525" w:rsidRPr="00EE24AC" w:rsidRDefault="00667525" w:rsidP="00667525">
                      <w:pPr>
                        <w:pStyle w:val="Caption"/>
                        <w:jc w:val="both"/>
                        <w:rPr>
                          <w:rFonts w:ascii="Arial" w:hAnsi="Arial" w:cs="Arial"/>
                          <w:i w:val="0"/>
                          <w:iCs w:val="0"/>
                          <w:noProof/>
                          <w:color w:val="auto"/>
                          <w:sz w:val="20"/>
                          <w:szCs w:val="20"/>
                        </w:rPr>
                      </w:pPr>
                      <w:r>
                        <w:rPr>
                          <w:rFonts w:ascii="Arial" w:hAnsi="Arial" w:cs="Arial"/>
                          <w:b/>
                          <w:bCs/>
                          <w:i w:val="0"/>
                          <w:iCs w:val="0"/>
                          <w:noProof/>
                          <w:color w:val="auto"/>
                          <w:sz w:val="20"/>
                          <w:szCs w:val="20"/>
                        </w:rPr>
                        <w:t>Supplementary Fig. S2</w:t>
                      </w:r>
                      <w:r w:rsidRPr="00EE24AC">
                        <w:rPr>
                          <w:rFonts w:ascii="Arial" w:hAnsi="Arial" w:cs="Arial"/>
                          <w:b/>
                          <w:bCs/>
                          <w:i w:val="0"/>
                          <w:iCs w:val="0"/>
                          <w:noProof/>
                          <w:color w:val="auto"/>
                          <w:sz w:val="20"/>
                          <w:szCs w:val="20"/>
                        </w:rPr>
                        <w:t xml:space="preserve"> |</w:t>
                      </w:r>
                      <w:r w:rsidRPr="00EE24AC">
                        <w:rPr>
                          <w:rFonts w:ascii="Arial" w:hAnsi="Arial" w:cs="Arial"/>
                          <w:i w:val="0"/>
                          <w:iCs w:val="0"/>
                          <w:noProof/>
                          <w:color w:val="auto"/>
                          <w:sz w:val="20"/>
                          <w:szCs w:val="20"/>
                        </w:rPr>
                        <w:t xml:space="preserve"> </w:t>
                      </w:r>
                      <w:r w:rsidRPr="00EE24AC">
                        <w:rPr>
                          <w:rFonts w:ascii="Arial" w:hAnsi="Arial" w:cs="Arial"/>
                          <w:b/>
                          <w:bCs/>
                          <w:i w:val="0"/>
                          <w:iCs w:val="0"/>
                          <w:noProof/>
                          <w:color w:val="auto"/>
                          <w:sz w:val="20"/>
                          <w:szCs w:val="20"/>
                        </w:rPr>
                        <w:t>a</w:t>
                      </w:r>
                      <w:r w:rsidRPr="00EE24AC">
                        <w:rPr>
                          <w:rFonts w:ascii="Arial" w:hAnsi="Arial" w:cs="Arial"/>
                          <w:i w:val="0"/>
                          <w:iCs w:val="0"/>
                          <w:noProof/>
                          <w:color w:val="auto"/>
                          <w:sz w:val="20"/>
                          <w:szCs w:val="20"/>
                        </w:rPr>
                        <w:t xml:space="preserve">, MUC15 ELISA of OVCAR3 cell lysate and conditioned media. </w:t>
                      </w:r>
                      <w:r w:rsidRPr="00EE24AC">
                        <w:rPr>
                          <w:rFonts w:ascii="Arial" w:hAnsi="Arial" w:cs="Arial"/>
                          <w:b/>
                          <w:bCs/>
                          <w:i w:val="0"/>
                          <w:iCs w:val="0"/>
                          <w:noProof/>
                          <w:color w:val="auto"/>
                          <w:sz w:val="20"/>
                          <w:szCs w:val="20"/>
                        </w:rPr>
                        <w:t>b</w:t>
                      </w:r>
                      <w:r w:rsidRPr="00EE24AC">
                        <w:rPr>
                          <w:rFonts w:ascii="Arial" w:hAnsi="Arial" w:cs="Arial"/>
                          <w:i w:val="0"/>
                          <w:iCs w:val="0"/>
                          <w:noProof/>
                          <w:color w:val="auto"/>
                          <w:sz w:val="20"/>
                          <w:szCs w:val="20"/>
                        </w:rPr>
                        <w:t xml:space="preserve">, Phospho-kinase array legend. Significance evaluated by Student’s t-test. </w:t>
                      </w:r>
                    </w:p>
                  </w:txbxContent>
                </v:textbox>
                <w10:wrap type="square"/>
              </v:shape>
            </w:pict>
          </mc:Fallback>
        </mc:AlternateContent>
      </w:r>
      <w:r>
        <w:rPr>
          <w:rFonts w:ascii="Times New Roman" w:hAnsi="Times New Roman" w:cs="Times New Roman"/>
          <w:b/>
          <w:bCs/>
          <w:iCs/>
        </w:rPr>
        <w:br w:type="page"/>
      </w:r>
    </w:p>
    <w:p w14:paraId="342C8460" w14:textId="77777777" w:rsidR="00667525" w:rsidRDefault="00667525" w:rsidP="00667525">
      <w:pPr>
        <w:spacing w:line="240" w:lineRule="auto"/>
        <w:jc w:val="center"/>
        <w:rPr>
          <w:rFonts w:ascii="Times New Roman" w:hAnsi="Times New Roman" w:cs="Times New Roman"/>
          <w:b/>
          <w:bCs/>
          <w:iCs/>
        </w:rPr>
      </w:pPr>
      <w:r>
        <w:rPr>
          <w:noProof/>
          <w:lang w:val="en-GB" w:eastAsia="en-GB"/>
        </w:rPr>
        <w:lastRenderedPageBreak/>
        <mc:AlternateContent>
          <mc:Choice Requires="wps">
            <w:drawing>
              <wp:anchor distT="0" distB="0" distL="114300" distR="114300" simplePos="0" relativeHeight="251673600" behindDoc="0" locked="0" layoutInCell="1" allowOverlap="1" wp14:anchorId="24C4E432" wp14:editId="30731154">
                <wp:simplePos x="0" y="0"/>
                <wp:positionH relativeFrom="column">
                  <wp:posOffset>165100</wp:posOffset>
                </wp:positionH>
                <wp:positionV relativeFrom="paragraph">
                  <wp:posOffset>2055634</wp:posOffset>
                </wp:positionV>
                <wp:extent cx="5935980" cy="447675"/>
                <wp:effectExtent l="0" t="0" r="7620" b="9525"/>
                <wp:wrapSquare wrapText="bothSides"/>
                <wp:docPr id="20" name="Text Box 1"/>
                <wp:cNvGraphicFramePr/>
                <a:graphic xmlns:a="http://schemas.openxmlformats.org/drawingml/2006/main">
                  <a:graphicData uri="http://schemas.microsoft.com/office/word/2010/wordprocessingShape">
                    <wps:wsp>
                      <wps:cNvSpPr txBox="1"/>
                      <wps:spPr>
                        <a:xfrm>
                          <a:off x="0" y="0"/>
                          <a:ext cx="5935980" cy="447675"/>
                        </a:xfrm>
                        <a:prstGeom prst="rect">
                          <a:avLst/>
                        </a:prstGeom>
                        <a:solidFill>
                          <a:prstClr val="white"/>
                        </a:solidFill>
                        <a:ln>
                          <a:noFill/>
                        </a:ln>
                      </wps:spPr>
                      <wps:txbx>
                        <w:txbxContent>
                          <w:p w14:paraId="3F0401CA" w14:textId="77777777" w:rsidR="00667525" w:rsidRPr="00175AAF" w:rsidRDefault="00667525" w:rsidP="00667525">
                            <w:pPr>
                              <w:pStyle w:val="Caption"/>
                              <w:jc w:val="both"/>
                              <w:rPr>
                                <w:rFonts w:ascii="Arial" w:hAnsi="Arial" w:cs="Arial"/>
                                <w:noProof/>
                                <w:sz w:val="20"/>
                                <w:szCs w:val="20"/>
                                <w:lang w:val="en-GB"/>
                              </w:rPr>
                            </w:pPr>
                            <w:r>
                              <w:rPr>
                                <w:rFonts w:ascii="Arial" w:hAnsi="Arial" w:cs="Arial"/>
                                <w:b/>
                                <w:bCs/>
                                <w:i w:val="0"/>
                                <w:iCs w:val="0"/>
                                <w:noProof/>
                                <w:color w:val="auto"/>
                                <w:sz w:val="20"/>
                                <w:szCs w:val="20"/>
                              </w:rPr>
                              <w:t>Supplementary Fig. S3</w:t>
                            </w:r>
                            <w:r w:rsidRPr="00EE24AC">
                              <w:rPr>
                                <w:rFonts w:ascii="Arial" w:hAnsi="Arial" w:cs="Arial"/>
                                <w:b/>
                                <w:bCs/>
                                <w:i w:val="0"/>
                                <w:iCs w:val="0"/>
                                <w:noProof/>
                                <w:color w:val="auto"/>
                                <w:sz w:val="20"/>
                                <w:szCs w:val="20"/>
                              </w:rPr>
                              <w:t xml:space="preserve"> |</w:t>
                            </w:r>
                            <w:r w:rsidRPr="00EE24AC">
                              <w:rPr>
                                <w:rFonts w:ascii="Arial" w:hAnsi="Arial" w:cs="Arial"/>
                                <w:i w:val="0"/>
                                <w:iCs w:val="0"/>
                                <w:noProof/>
                                <w:color w:val="auto"/>
                                <w:sz w:val="20"/>
                                <w:szCs w:val="20"/>
                              </w:rPr>
                              <w:t xml:space="preserve"> </w:t>
                            </w:r>
                            <w:r w:rsidRPr="00175AAF">
                              <w:rPr>
                                <w:rFonts w:ascii="Arial" w:hAnsi="Arial" w:cs="Arial"/>
                                <w:i w:val="0"/>
                                <w:noProof/>
                                <w:color w:val="auto"/>
                                <w:sz w:val="20"/>
                                <w:szCs w:val="20"/>
                                <w:lang w:val="en-GB"/>
                              </w:rPr>
                              <w:t>MUC15 (left) and GFP (right) ELISA of OVCAR3 conditioned media exposed to 11 dynes/cm</w:t>
                            </w:r>
                            <w:r w:rsidRPr="00175AAF">
                              <w:rPr>
                                <w:rFonts w:ascii="Arial" w:hAnsi="Arial" w:cs="Arial"/>
                                <w:i w:val="0"/>
                                <w:noProof/>
                                <w:color w:val="auto"/>
                                <w:sz w:val="20"/>
                                <w:szCs w:val="20"/>
                                <w:vertAlign w:val="superscript"/>
                                <w:lang w:val="en-GB"/>
                              </w:rPr>
                              <w:t>2</w:t>
                            </w:r>
                            <w:r w:rsidRPr="00175AAF">
                              <w:rPr>
                                <w:rFonts w:ascii="Arial" w:hAnsi="Arial" w:cs="Arial"/>
                                <w:i w:val="0"/>
                                <w:noProof/>
                                <w:color w:val="auto"/>
                                <w:sz w:val="20"/>
                                <w:szCs w:val="20"/>
                                <w:lang w:val="en-GB"/>
                              </w:rPr>
                              <w:t xml:space="preserve"> or static conditions for 24 hr. Significance evaluated by Multiple paired t-tests. </w:t>
                            </w:r>
                          </w:p>
                          <w:p w14:paraId="17C58058" w14:textId="77777777" w:rsidR="00667525" w:rsidRPr="00EE24AC" w:rsidRDefault="00667525" w:rsidP="00667525">
                            <w:pPr>
                              <w:pStyle w:val="Caption"/>
                              <w:jc w:val="both"/>
                              <w:rPr>
                                <w:rFonts w:ascii="Arial" w:hAnsi="Arial" w:cs="Arial"/>
                                <w:i w:val="0"/>
                                <w:iCs w:val="0"/>
                                <w:noProof/>
                                <w:color w:val="auto"/>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4C4E432" id="_x0000_s1033" type="#_x0000_t202" style="position:absolute;left:0;text-align:left;margin-left:13pt;margin-top:161.85pt;width:467.4pt;height:35.2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" stroked="f">
                <v:textbox inset="0,0,0,0">
                  <w:txbxContent>
                    <w:p w14:paraId="3F0401CA" w14:textId="77777777" w:rsidR="00667525" w:rsidRPr="00175AAF" w:rsidRDefault="00667525" w:rsidP="00667525">
                      <w:pPr>
                        <w:pStyle w:val="Caption"/>
                        <w:jc w:val="both"/>
                        <w:rPr>
                          <w:rFonts w:ascii="Arial" w:hAnsi="Arial" w:cs="Arial"/>
                          <w:noProof/>
                          <w:sz w:val="20"/>
                          <w:szCs w:val="20"/>
                          <w:lang w:val="en-GB"/>
                        </w:rPr>
                      </w:pPr>
                      <w:r>
                        <w:rPr>
                          <w:rFonts w:ascii="Arial" w:hAnsi="Arial" w:cs="Arial"/>
                          <w:b/>
                          <w:bCs/>
                          <w:i w:val="0"/>
                          <w:iCs w:val="0"/>
                          <w:noProof/>
                          <w:color w:val="auto"/>
                          <w:sz w:val="20"/>
                          <w:szCs w:val="20"/>
                        </w:rPr>
                        <w:t>Supplementary Fig. S3</w:t>
                      </w:r>
                      <w:r w:rsidRPr="00EE24AC">
                        <w:rPr>
                          <w:rFonts w:ascii="Arial" w:hAnsi="Arial" w:cs="Arial"/>
                          <w:b/>
                          <w:bCs/>
                          <w:i w:val="0"/>
                          <w:iCs w:val="0"/>
                          <w:noProof/>
                          <w:color w:val="auto"/>
                          <w:sz w:val="20"/>
                          <w:szCs w:val="20"/>
                        </w:rPr>
                        <w:t xml:space="preserve"> |</w:t>
                      </w:r>
                      <w:r w:rsidRPr="00EE24AC">
                        <w:rPr>
                          <w:rFonts w:ascii="Arial" w:hAnsi="Arial" w:cs="Arial"/>
                          <w:i w:val="0"/>
                          <w:iCs w:val="0"/>
                          <w:noProof/>
                          <w:color w:val="auto"/>
                          <w:sz w:val="20"/>
                          <w:szCs w:val="20"/>
                        </w:rPr>
                        <w:t xml:space="preserve"> </w:t>
                      </w:r>
                      <w:r w:rsidRPr="00175AAF">
                        <w:rPr>
                          <w:rFonts w:ascii="Arial" w:hAnsi="Arial" w:cs="Arial"/>
                          <w:i w:val="0"/>
                          <w:noProof/>
                          <w:color w:val="auto"/>
                          <w:sz w:val="20"/>
                          <w:szCs w:val="20"/>
                          <w:lang w:val="en-GB"/>
                        </w:rPr>
                        <w:t>MUC15 (left) and GFP (right) ELISA of OVCAR3 conditioned media exposed to 11 dynes/cm</w:t>
                      </w:r>
                      <w:r w:rsidRPr="00175AAF">
                        <w:rPr>
                          <w:rFonts w:ascii="Arial" w:hAnsi="Arial" w:cs="Arial"/>
                          <w:i w:val="0"/>
                          <w:noProof/>
                          <w:color w:val="auto"/>
                          <w:sz w:val="20"/>
                          <w:szCs w:val="20"/>
                          <w:vertAlign w:val="superscript"/>
                          <w:lang w:val="en-GB"/>
                        </w:rPr>
                        <w:t>2</w:t>
                      </w:r>
                      <w:r w:rsidRPr="00175AAF">
                        <w:rPr>
                          <w:rFonts w:ascii="Arial" w:hAnsi="Arial" w:cs="Arial"/>
                          <w:i w:val="0"/>
                          <w:noProof/>
                          <w:color w:val="auto"/>
                          <w:sz w:val="20"/>
                          <w:szCs w:val="20"/>
                          <w:lang w:val="en-GB"/>
                        </w:rPr>
                        <w:t xml:space="preserve"> or static conditions for 24 hr. Significance evaluated by Multiple paired t-tests. </w:t>
                      </w:r>
                    </w:p>
                    <w:p w14:paraId="17C58058" w14:textId="77777777" w:rsidR="00667525" w:rsidRPr="00EE24AC" w:rsidRDefault="00667525" w:rsidP="00667525">
                      <w:pPr>
                        <w:pStyle w:val="Caption"/>
                        <w:jc w:val="both"/>
                        <w:rPr>
                          <w:rFonts w:ascii="Arial" w:hAnsi="Arial" w:cs="Arial"/>
                          <w:i w:val="0"/>
                          <w:iCs w:val="0"/>
                          <w:noProof/>
                          <w:color w:val="auto"/>
                          <w:sz w:val="20"/>
                          <w:szCs w:val="20"/>
                        </w:rPr>
                      </w:pPr>
                    </w:p>
                  </w:txbxContent>
                </v:textbox>
                <w10:wrap type="square"/>
              </v:shape>
            </w:pict>
          </mc:Fallback>
        </mc:AlternateContent>
      </w:r>
      <w:r>
        <w:rPr>
          <w:rFonts w:ascii="Times New Roman" w:hAnsi="Times New Roman" w:cs="Times New Roman"/>
          <w:b/>
          <w:bCs/>
          <w:iCs/>
          <w:noProof/>
          <w:lang w:val="en-GB" w:eastAsia="en-GB"/>
        </w:rPr>
        <w:drawing>
          <wp:inline distT="0" distB="0" distL="0" distR="0" wp14:anchorId="496CA213" wp14:editId="3D9661E0">
            <wp:extent cx="4102873" cy="1958837"/>
            <wp:effectExtent l="0" t="0" r="0"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upplementary Figure 3.png"/>
                    <pic:cNvPicPr/>
                  </pic:nvPicPr>
                  <pic:blipFill rotWithShape="1">
                    <a:blip r:embed="rId11" cstate="print">
                      <a:extLst>
                        <a:ext uri="{28A0092B-C50C-407E-A947-70E740481C1C}">
                          <a14:useLocalDpi xmlns:a14="http://schemas.microsoft.com/office/drawing/2010/main" val="0"/>
                        </a:ext>
                      </a:extLst>
                    </a:blip>
                    <a:srcRect l="4006" t="6849" r="3685" b="7534"/>
                    <a:stretch/>
                  </pic:blipFill>
                  <pic:spPr bwMode="auto">
                    <a:xfrm>
                      <a:off x="0" y="0"/>
                      <a:ext cx="4128305" cy="1970979"/>
                    </a:xfrm>
                    <a:prstGeom prst="rect">
                      <a:avLst/>
                    </a:prstGeom>
                    <a:ln>
                      <a:noFill/>
                    </a:ln>
                    <a:extLst>
                      <a:ext uri="{53640926-AAD7-44D8-BBD7-CCE9431645EC}">
                        <a14:shadowObscured xmlns:a14="http://schemas.microsoft.com/office/drawing/2010/main"/>
                      </a:ext>
                    </a:extLst>
                  </pic:spPr>
                </pic:pic>
              </a:graphicData>
            </a:graphic>
          </wp:inline>
        </w:drawing>
      </w:r>
    </w:p>
    <w:p w14:paraId="2ADF2E51" w14:textId="77777777" w:rsidR="00667525" w:rsidRDefault="00667525" w:rsidP="00667525">
      <w:pPr>
        <w:spacing w:line="240" w:lineRule="auto"/>
        <w:rPr>
          <w:rFonts w:ascii="Times New Roman" w:hAnsi="Times New Roman" w:cs="Times New Roman"/>
          <w:b/>
          <w:bCs/>
          <w:iCs/>
        </w:rPr>
      </w:pPr>
    </w:p>
    <w:p w14:paraId="4F00B24A" w14:textId="77777777" w:rsidR="00667525" w:rsidRDefault="00667525" w:rsidP="00667525">
      <w:pPr>
        <w:spacing w:line="240" w:lineRule="auto"/>
        <w:rPr>
          <w:rFonts w:ascii="Times New Roman" w:hAnsi="Times New Roman" w:cs="Times New Roman"/>
          <w:b/>
          <w:bCs/>
          <w:iCs/>
        </w:rPr>
      </w:pPr>
    </w:p>
    <w:p w14:paraId="68C4AB0E" w14:textId="77777777" w:rsidR="00667525" w:rsidRDefault="00667525" w:rsidP="00667525">
      <w:pPr>
        <w:spacing w:line="240" w:lineRule="auto"/>
        <w:rPr>
          <w:rFonts w:ascii="Times New Roman" w:hAnsi="Times New Roman" w:cs="Times New Roman"/>
          <w:b/>
          <w:bCs/>
          <w:iCs/>
        </w:rPr>
      </w:pPr>
      <w:r>
        <w:rPr>
          <w:rFonts w:ascii="Times New Roman" w:hAnsi="Times New Roman" w:cs="Times New Roman"/>
          <w:b/>
          <w:bCs/>
          <w:iCs/>
          <w:noProof/>
          <w:lang w:val="en-GB" w:eastAsia="en-GB"/>
        </w:rPr>
        <w:lastRenderedPageBreak/>
        <w:drawing>
          <wp:anchor distT="0" distB="0" distL="114300" distR="114300" simplePos="0" relativeHeight="251663360" behindDoc="0" locked="0" layoutInCell="1" allowOverlap="1" wp14:anchorId="7D81576E" wp14:editId="6325D62D">
            <wp:simplePos x="0" y="0"/>
            <wp:positionH relativeFrom="margin">
              <wp:posOffset>0</wp:posOffset>
            </wp:positionH>
            <wp:positionV relativeFrom="paragraph">
              <wp:posOffset>0</wp:posOffset>
            </wp:positionV>
            <wp:extent cx="5029200" cy="7504430"/>
            <wp:effectExtent l="0" t="0" r="0" b="0"/>
            <wp:wrapSquare wrapText="bothSides"/>
            <wp:docPr id="2135869864" name="Picture 19"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869864" name="Picture 19" descr="A screenshot of a phone&#10;&#10;Description automatically generated"/>
                    <pic:cNvPicPr/>
                  </pic:nvPicPr>
                  <pic:blipFill rotWithShape="1">
                    <a:blip r:embed="rId12" cstate="print">
                      <a:extLst>
                        <a:ext uri="{28A0092B-C50C-407E-A947-70E740481C1C}">
                          <a14:useLocalDpi xmlns:a14="http://schemas.microsoft.com/office/drawing/2010/main" val="0"/>
                        </a:ext>
                      </a:extLst>
                    </a:blip>
                    <a:srcRect t="1046" b="864"/>
                    <a:stretch/>
                  </pic:blipFill>
                  <pic:spPr bwMode="auto">
                    <a:xfrm>
                      <a:off x="0" y="0"/>
                      <a:ext cx="5029200" cy="75044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n-GB" w:eastAsia="en-GB"/>
        </w:rPr>
        <mc:AlternateContent>
          <mc:Choice Requires="wps">
            <w:drawing>
              <wp:anchor distT="0" distB="0" distL="114300" distR="114300" simplePos="0" relativeHeight="251664384" behindDoc="0" locked="0" layoutInCell="1" allowOverlap="1" wp14:anchorId="47C56350" wp14:editId="7A7FCD39">
                <wp:simplePos x="0" y="0"/>
                <wp:positionH relativeFrom="margin">
                  <wp:posOffset>0</wp:posOffset>
                </wp:positionH>
                <wp:positionV relativeFrom="paragraph">
                  <wp:posOffset>7428818</wp:posOffset>
                </wp:positionV>
                <wp:extent cx="5949950" cy="635"/>
                <wp:effectExtent l="0" t="0" r="0" b="0"/>
                <wp:wrapSquare wrapText="bothSides"/>
                <wp:docPr id="917255831" name="Text Box 1"/>
                <wp:cNvGraphicFramePr/>
                <a:graphic xmlns:a="http://schemas.openxmlformats.org/drawingml/2006/main">
                  <a:graphicData uri="http://schemas.microsoft.com/office/word/2010/wordprocessingShape">
                    <wps:wsp>
                      <wps:cNvSpPr txBox="1"/>
                      <wps:spPr>
                        <a:xfrm>
                          <a:off x="0" y="0"/>
                          <a:ext cx="5949950" cy="635"/>
                        </a:xfrm>
                        <a:prstGeom prst="rect">
                          <a:avLst/>
                        </a:prstGeom>
                        <a:solidFill>
                          <a:prstClr val="white"/>
                        </a:solidFill>
                        <a:ln>
                          <a:noFill/>
                        </a:ln>
                      </wps:spPr>
                      <wps:txbx>
                        <w:txbxContent>
                          <w:p w14:paraId="4940EA9D" w14:textId="77777777" w:rsidR="00667525" w:rsidRPr="00096533" w:rsidRDefault="00667525" w:rsidP="00667525">
                            <w:pPr>
                              <w:pStyle w:val="Caption"/>
                              <w:jc w:val="both"/>
                              <w:rPr>
                                <w:rFonts w:ascii="Arial" w:hAnsi="Arial" w:cs="Arial"/>
                                <w:i w:val="0"/>
                                <w:iCs w:val="0"/>
                                <w:noProof/>
                                <w:color w:val="auto"/>
                                <w:sz w:val="20"/>
                                <w:szCs w:val="20"/>
                              </w:rPr>
                            </w:pPr>
                            <w:r>
                              <w:rPr>
                                <w:rFonts w:ascii="Arial" w:hAnsi="Arial" w:cs="Arial"/>
                                <w:b/>
                                <w:bCs/>
                                <w:i w:val="0"/>
                                <w:iCs w:val="0"/>
                                <w:noProof/>
                                <w:color w:val="auto"/>
                                <w:sz w:val="20"/>
                                <w:szCs w:val="20"/>
                              </w:rPr>
                              <w:t>Supplementary Fig. S4</w:t>
                            </w:r>
                            <w:r w:rsidRPr="00B6320A">
                              <w:rPr>
                                <w:rFonts w:ascii="Arial" w:hAnsi="Arial" w:cs="Arial"/>
                                <w:b/>
                                <w:bCs/>
                                <w:i w:val="0"/>
                                <w:iCs w:val="0"/>
                                <w:noProof/>
                                <w:color w:val="auto"/>
                                <w:sz w:val="20"/>
                                <w:szCs w:val="20"/>
                              </w:rPr>
                              <w:t xml:space="preserve"> | Secretome in FSS-stimulated ovarian cancer cells.</w:t>
                            </w:r>
                            <w:r w:rsidRPr="00B6320A">
                              <w:rPr>
                                <w:rFonts w:ascii="Arial" w:hAnsi="Arial" w:cs="Arial"/>
                                <w:i w:val="0"/>
                                <w:iCs w:val="0"/>
                                <w:noProof/>
                                <w:color w:val="auto"/>
                                <w:sz w:val="20"/>
                                <w:szCs w:val="20"/>
                              </w:rPr>
                              <w:t xml:space="preserve"> </w:t>
                            </w:r>
                            <w:r w:rsidRPr="00B6320A">
                              <w:rPr>
                                <w:rFonts w:ascii="Arial" w:hAnsi="Arial" w:cs="Arial"/>
                                <w:b/>
                                <w:bCs/>
                                <w:i w:val="0"/>
                                <w:iCs w:val="0"/>
                                <w:noProof/>
                                <w:color w:val="auto"/>
                                <w:sz w:val="20"/>
                                <w:szCs w:val="20"/>
                              </w:rPr>
                              <w:t>a</w:t>
                            </w:r>
                            <w:r w:rsidRPr="00B6320A">
                              <w:rPr>
                                <w:rFonts w:ascii="Arial" w:hAnsi="Arial" w:cs="Arial"/>
                                <w:i w:val="0"/>
                                <w:iCs w:val="0"/>
                                <w:noProof/>
                                <w:color w:val="auto"/>
                                <w:sz w:val="20"/>
                                <w:szCs w:val="20"/>
                              </w:rPr>
                              <w:t>, Fluorescent intensity of cytokines secreted by static and sheared OVCAR3 (11 dynes/cm</w:t>
                            </w:r>
                            <w:r w:rsidRPr="00B6320A">
                              <w:rPr>
                                <w:rFonts w:ascii="Arial" w:hAnsi="Arial" w:cs="Arial"/>
                                <w:i w:val="0"/>
                                <w:iCs w:val="0"/>
                                <w:noProof/>
                                <w:color w:val="auto"/>
                                <w:sz w:val="20"/>
                                <w:szCs w:val="20"/>
                                <w:vertAlign w:val="superscript"/>
                              </w:rPr>
                              <w:t>2</w:t>
                            </w:r>
                            <w:r w:rsidRPr="00B6320A">
                              <w:rPr>
                                <w:rFonts w:ascii="Arial" w:hAnsi="Arial" w:cs="Arial"/>
                                <w:i w:val="0"/>
                                <w:iCs w:val="0"/>
                                <w:noProof/>
                                <w:color w:val="auto"/>
                                <w:sz w:val="20"/>
                                <w:szCs w:val="20"/>
                              </w:rPr>
                              <w:t>, 24 hr) measured by multiplex cytokine array.</w:t>
                            </w:r>
                            <w:r w:rsidRPr="00B6320A">
                              <w:rPr>
                                <w:rFonts w:ascii="Arial" w:hAnsi="Arial" w:cs="Arial"/>
                                <w:b/>
                                <w:bCs/>
                                <w:i w:val="0"/>
                                <w:iCs w:val="0"/>
                                <w:noProof/>
                                <w:color w:val="auto"/>
                                <w:sz w:val="20"/>
                                <w:szCs w:val="20"/>
                              </w:rPr>
                              <w:t xml:space="preserve"> b</w:t>
                            </w:r>
                            <w:r w:rsidRPr="00B6320A">
                              <w:rPr>
                                <w:rFonts w:ascii="Arial" w:hAnsi="Arial" w:cs="Arial"/>
                                <w:i w:val="0"/>
                                <w:iCs w:val="0"/>
                                <w:noProof/>
                                <w:color w:val="auto"/>
                                <w:sz w:val="20"/>
                                <w:szCs w:val="20"/>
                              </w:rPr>
                              <w:t>, IL-6 ELISA of conditioned media and the degraded hydrogel of sheared OVCAR3 (11 dynes/cm</w:t>
                            </w:r>
                            <w:r w:rsidRPr="00B6320A">
                              <w:rPr>
                                <w:rFonts w:ascii="Arial" w:hAnsi="Arial" w:cs="Arial"/>
                                <w:i w:val="0"/>
                                <w:iCs w:val="0"/>
                                <w:noProof/>
                                <w:color w:val="auto"/>
                                <w:sz w:val="20"/>
                                <w:szCs w:val="20"/>
                                <w:vertAlign w:val="superscript"/>
                              </w:rPr>
                              <w:t>2</w:t>
                            </w:r>
                            <w:r w:rsidRPr="00B6320A">
                              <w:rPr>
                                <w:rFonts w:ascii="Arial" w:hAnsi="Arial" w:cs="Arial"/>
                                <w:i w:val="0"/>
                                <w:iCs w:val="0"/>
                                <w:noProof/>
                                <w:color w:val="auto"/>
                                <w:sz w:val="20"/>
                                <w:szCs w:val="20"/>
                              </w:rPr>
                              <w:t xml:space="preserve">, 24 hr). Significance evaluated by Student’s t-test.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7C56350" id="_x0000_s1034" type="#_x0000_t202" style="position:absolute;margin-left:0;margin-top:584.95pt;width:468.5pt;height:.05pt;z-index:25166438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" stroked="f">
                <v:textbox style="mso-fit-shape-to-text:t" inset="0,0,0,0">
                  <w:txbxContent>
                    <w:p w14:paraId="4940EA9D" w14:textId="77777777" w:rsidR="00667525" w:rsidRPr="00096533" w:rsidRDefault="00667525" w:rsidP="00667525">
                      <w:pPr>
                        <w:pStyle w:val="Caption"/>
                        <w:jc w:val="both"/>
                        <w:rPr>
                          <w:rFonts w:ascii="Arial" w:hAnsi="Arial" w:cs="Arial"/>
                          <w:i w:val="0"/>
                          <w:iCs w:val="0"/>
                          <w:noProof/>
                          <w:color w:val="auto"/>
                          <w:sz w:val="20"/>
                          <w:szCs w:val="20"/>
                        </w:rPr>
                      </w:pPr>
                      <w:r>
                        <w:rPr>
                          <w:rFonts w:ascii="Arial" w:hAnsi="Arial" w:cs="Arial"/>
                          <w:b/>
                          <w:bCs/>
                          <w:i w:val="0"/>
                          <w:iCs w:val="0"/>
                          <w:noProof/>
                          <w:color w:val="auto"/>
                          <w:sz w:val="20"/>
                          <w:szCs w:val="20"/>
                        </w:rPr>
                        <w:t>Supplementary Fig. S4</w:t>
                      </w:r>
                      <w:r w:rsidRPr="00B6320A">
                        <w:rPr>
                          <w:rFonts w:ascii="Arial" w:hAnsi="Arial" w:cs="Arial"/>
                          <w:b/>
                          <w:bCs/>
                          <w:i w:val="0"/>
                          <w:iCs w:val="0"/>
                          <w:noProof/>
                          <w:color w:val="auto"/>
                          <w:sz w:val="20"/>
                          <w:szCs w:val="20"/>
                        </w:rPr>
                        <w:t xml:space="preserve"> | Secretome in FSS-stimulated ovarian cancer cells.</w:t>
                      </w:r>
                      <w:r w:rsidRPr="00B6320A">
                        <w:rPr>
                          <w:rFonts w:ascii="Arial" w:hAnsi="Arial" w:cs="Arial"/>
                          <w:i w:val="0"/>
                          <w:iCs w:val="0"/>
                          <w:noProof/>
                          <w:color w:val="auto"/>
                          <w:sz w:val="20"/>
                          <w:szCs w:val="20"/>
                        </w:rPr>
                        <w:t xml:space="preserve"> </w:t>
                      </w:r>
                      <w:r w:rsidRPr="00B6320A">
                        <w:rPr>
                          <w:rFonts w:ascii="Arial" w:hAnsi="Arial" w:cs="Arial"/>
                          <w:b/>
                          <w:bCs/>
                          <w:i w:val="0"/>
                          <w:iCs w:val="0"/>
                          <w:noProof/>
                          <w:color w:val="auto"/>
                          <w:sz w:val="20"/>
                          <w:szCs w:val="20"/>
                        </w:rPr>
                        <w:t>a</w:t>
                      </w:r>
                      <w:r w:rsidRPr="00B6320A">
                        <w:rPr>
                          <w:rFonts w:ascii="Arial" w:hAnsi="Arial" w:cs="Arial"/>
                          <w:i w:val="0"/>
                          <w:iCs w:val="0"/>
                          <w:noProof/>
                          <w:color w:val="auto"/>
                          <w:sz w:val="20"/>
                          <w:szCs w:val="20"/>
                        </w:rPr>
                        <w:t>, Fluorescent intensity of cytokines secreted by static and sheared OVCAR3 (11 dynes/cm</w:t>
                      </w:r>
                      <w:r w:rsidRPr="00B6320A">
                        <w:rPr>
                          <w:rFonts w:ascii="Arial" w:hAnsi="Arial" w:cs="Arial"/>
                          <w:i w:val="0"/>
                          <w:iCs w:val="0"/>
                          <w:noProof/>
                          <w:color w:val="auto"/>
                          <w:sz w:val="20"/>
                          <w:szCs w:val="20"/>
                          <w:vertAlign w:val="superscript"/>
                        </w:rPr>
                        <w:t>2</w:t>
                      </w:r>
                      <w:r w:rsidRPr="00B6320A">
                        <w:rPr>
                          <w:rFonts w:ascii="Arial" w:hAnsi="Arial" w:cs="Arial"/>
                          <w:i w:val="0"/>
                          <w:iCs w:val="0"/>
                          <w:noProof/>
                          <w:color w:val="auto"/>
                          <w:sz w:val="20"/>
                          <w:szCs w:val="20"/>
                        </w:rPr>
                        <w:t>, 24 hr) measured by multiplex cytokine array.</w:t>
                      </w:r>
                      <w:r w:rsidRPr="00B6320A">
                        <w:rPr>
                          <w:rFonts w:ascii="Arial" w:hAnsi="Arial" w:cs="Arial"/>
                          <w:b/>
                          <w:bCs/>
                          <w:i w:val="0"/>
                          <w:iCs w:val="0"/>
                          <w:noProof/>
                          <w:color w:val="auto"/>
                          <w:sz w:val="20"/>
                          <w:szCs w:val="20"/>
                        </w:rPr>
                        <w:t xml:space="preserve"> b</w:t>
                      </w:r>
                      <w:r w:rsidRPr="00B6320A">
                        <w:rPr>
                          <w:rFonts w:ascii="Arial" w:hAnsi="Arial" w:cs="Arial"/>
                          <w:i w:val="0"/>
                          <w:iCs w:val="0"/>
                          <w:noProof/>
                          <w:color w:val="auto"/>
                          <w:sz w:val="20"/>
                          <w:szCs w:val="20"/>
                        </w:rPr>
                        <w:t>, IL-6 ELISA of conditioned media and the degraded hydrogel of sheared OVCAR3 (11 dynes/cm</w:t>
                      </w:r>
                      <w:r w:rsidRPr="00B6320A">
                        <w:rPr>
                          <w:rFonts w:ascii="Arial" w:hAnsi="Arial" w:cs="Arial"/>
                          <w:i w:val="0"/>
                          <w:iCs w:val="0"/>
                          <w:noProof/>
                          <w:color w:val="auto"/>
                          <w:sz w:val="20"/>
                          <w:szCs w:val="20"/>
                          <w:vertAlign w:val="superscript"/>
                        </w:rPr>
                        <w:t>2</w:t>
                      </w:r>
                      <w:r w:rsidRPr="00B6320A">
                        <w:rPr>
                          <w:rFonts w:ascii="Arial" w:hAnsi="Arial" w:cs="Arial"/>
                          <w:i w:val="0"/>
                          <w:iCs w:val="0"/>
                          <w:noProof/>
                          <w:color w:val="auto"/>
                          <w:sz w:val="20"/>
                          <w:szCs w:val="20"/>
                        </w:rPr>
                        <w:t xml:space="preserve">, 24 hr). Significance evaluated by Student’s t-test. </w:t>
                      </w:r>
                    </w:p>
                  </w:txbxContent>
                </v:textbox>
                <w10:wrap type="square" anchorx="margin"/>
              </v:shape>
            </w:pict>
          </mc:Fallback>
        </mc:AlternateContent>
      </w:r>
      <w:r>
        <w:rPr>
          <w:rFonts w:ascii="Times New Roman" w:hAnsi="Times New Roman" w:cs="Times New Roman"/>
          <w:b/>
          <w:bCs/>
          <w:iCs/>
        </w:rPr>
        <w:br w:type="page"/>
      </w:r>
    </w:p>
    <w:p w14:paraId="5BE320AF" w14:textId="77777777" w:rsidR="00667525" w:rsidRDefault="00667525" w:rsidP="00667525">
      <w:pPr>
        <w:rPr>
          <w:rFonts w:ascii="Times New Roman" w:hAnsi="Times New Roman" w:cs="Times New Roman"/>
          <w:b/>
          <w:bCs/>
          <w:iCs/>
        </w:rPr>
      </w:pPr>
    </w:p>
    <w:p w14:paraId="3369C94B" w14:textId="77777777" w:rsidR="00667525" w:rsidRDefault="00667525" w:rsidP="00667525">
      <w:pPr>
        <w:spacing w:line="240" w:lineRule="auto"/>
        <w:rPr>
          <w:rFonts w:ascii="Times New Roman" w:hAnsi="Times New Roman" w:cs="Times New Roman"/>
          <w:b/>
          <w:bCs/>
          <w:iCs/>
        </w:rPr>
      </w:pPr>
      <w:r>
        <w:rPr>
          <w:noProof/>
          <w:lang w:val="en-GB" w:eastAsia="en-GB"/>
        </w:rPr>
        <mc:AlternateContent>
          <mc:Choice Requires="wps">
            <w:drawing>
              <wp:anchor distT="0" distB="0" distL="114300" distR="114300" simplePos="0" relativeHeight="251665408" behindDoc="0" locked="0" layoutInCell="1" allowOverlap="1" wp14:anchorId="13F109C2" wp14:editId="2110094E">
                <wp:simplePos x="0" y="0"/>
                <wp:positionH relativeFrom="column">
                  <wp:posOffset>55659</wp:posOffset>
                </wp:positionH>
                <wp:positionV relativeFrom="paragraph">
                  <wp:posOffset>4493122</wp:posOffset>
                </wp:positionV>
                <wp:extent cx="5943600" cy="635"/>
                <wp:effectExtent l="0" t="0" r="0" b="0"/>
                <wp:wrapSquare wrapText="bothSides"/>
                <wp:docPr id="1426252515" name="Text Box 1"/>
                <wp:cNvGraphicFramePr/>
                <a:graphic xmlns:a="http://schemas.openxmlformats.org/drawingml/2006/main">
                  <a:graphicData uri="http://schemas.microsoft.com/office/word/2010/wordprocessingShape">
                    <wps:wsp>
                      <wps:cNvSpPr txBox="1"/>
                      <wps:spPr>
                        <a:xfrm>
                          <a:off x="0" y="0"/>
                          <a:ext cx="5943600" cy="635"/>
                        </a:xfrm>
                        <a:prstGeom prst="rect">
                          <a:avLst/>
                        </a:prstGeom>
                        <a:solidFill>
                          <a:prstClr val="white"/>
                        </a:solidFill>
                        <a:ln>
                          <a:noFill/>
                        </a:ln>
                      </wps:spPr>
                      <wps:txbx>
                        <w:txbxContent>
                          <w:p w14:paraId="65B7ED87" w14:textId="77777777" w:rsidR="00667525" w:rsidRPr="00AA2B6E" w:rsidRDefault="00667525" w:rsidP="00667525">
                            <w:pPr>
                              <w:pStyle w:val="Caption"/>
                              <w:jc w:val="both"/>
                              <w:rPr>
                                <w:rFonts w:ascii="Arial" w:hAnsi="Arial" w:cs="Arial"/>
                                <w:noProof/>
                                <w:sz w:val="20"/>
                                <w:szCs w:val="20"/>
                                <w:lang w:val="en-GB"/>
                              </w:rPr>
                            </w:pPr>
                            <w:r>
                              <w:rPr>
                                <w:rFonts w:ascii="Arial" w:hAnsi="Arial" w:cs="Arial"/>
                                <w:b/>
                                <w:bCs/>
                                <w:i w:val="0"/>
                                <w:iCs w:val="0"/>
                                <w:noProof/>
                                <w:color w:val="auto"/>
                                <w:sz w:val="20"/>
                                <w:szCs w:val="20"/>
                              </w:rPr>
                              <w:t>Supplementary Fig. 5</w:t>
                            </w:r>
                            <w:r w:rsidRPr="00651CC1">
                              <w:rPr>
                                <w:rFonts w:ascii="Arial" w:hAnsi="Arial" w:cs="Arial"/>
                                <w:b/>
                                <w:bCs/>
                                <w:i w:val="0"/>
                                <w:iCs w:val="0"/>
                                <w:noProof/>
                                <w:color w:val="auto"/>
                                <w:sz w:val="20"/>
                                <w:szCs w:val="20"/>
                              </w:rPr>
                              <w:t xml:space="preserve"> | </w:t>
                            </w:r>
                            <w:r w:rsidRPr="00AA2B6E">
                              <w:rPr>
                                <w:rFonts w:ascii="Arial" w:hAnsi="Arial" w:cs="Arial"/>
                                <w:b/>
                                <w:bCs/>
                                <w:i w:val="0"/>
                                <w:iCs w:val="0"/>
                                <w:noProof/>
                                <w:color w:val="auto"/>
                                <w:sz w:val="20"/>
                                <w:szCs w:val="20"/>
                              </w:rPr>
                              <w:t>Representative flow plots for gating</w:t>
                            </w:r>
                            <w:r w:rsidRPr="00651CC1">
                              <w:rPr>
                                <w:rFonts w:ascii="Arial" w:hAnsi="Arial" w:cs="Arial"/>
                                <w:b/>
                                <w:bCs/>
                                <w:i w:val="0"/>
                                <w:iCs w:val="0"/>
                                <w:noProof/>
                                <w:color w:val="auto"/>
                                <w:sz w:val="20"/>
                                <w:szCs w:val="20"/>
                              </w:rPr>
                              <w:t xml:space="preserve">. </w:t>
                            </w:r>
                            <w:r w:rsidRPr="00AA2B6E">
                              <w:rPr>
                                <w:rFonts w:ascii="Arial" w:hAnsi="Arial" w:cs="Arial"/>
                                <w:i w:val="0"/>
                                <w:noProof/>
                                <w:color w:val="auto"/>
                                <w:sz w:val="20"/>
                                <w:szCs w:val="20"/>
                                <w:lang w:val="en-GB"/>
                              </w:rPr>
                              <w:t>Flow cytometry of U937-derived M0 macrophages following 24 hr treatment with conditioned media from sheared and static OVCAR3 (11 dynes/cm</w:t>
                            </w:r>
                            <w:r w:rsidRPr="00AA2B6E">
                              <w:rPr>
                                <w:rFonts w:ascii="Arial" w:hAnsi="Arial" w:cs="Arial"/>
                                <w:i w:val="0"/>
                                <w:noProof/>
                                <w:color w:val="auto"/>
                                <w:sz w:val="20"/>
                                <w:szCs w:val="20"/>
                                <w:vertAlign w:val="superscript"/>
                                <w:lang w:val="en-GB"/>
                              </w:rPr>
                              <w:t>2</w:t>
                            </w:r>
                            <w:r w:rsidRPr="00AA2B6E">
                              <w:rPr>
                                <w:rFonts w:ascii="Arial" w:hAnsi="Arial" w:cs="Arial"/>
                                <w:i w:val="0"/>
                                <w:noProof/>
                                <w:color w:val="auto"/>
                                <w:sz w:val="20"/>
                                <w:szCs w:val="20"/>
                                <w:lang w:val="en-GB"/>
                              </w:rPr>
                              <w:t xml:space="preserve">, 24 hr). </w:t>
                            </w:r>
                            <w:r w:rsidRPr="00AA2B6E">
                              <w:rPr>
                                <w:rFonts w:ascii="Arial" w:hAnsi="Arial" w:cs="Arial"/>
                                <w:b/>
                                <w:bCs/>
                                <w:i w:val="0"/>
                                <w:noProof/>
                                <w:color w:val="auto"/>
                                <w:sz w:val="20"/>
                                <w:szCs w:val="20"/>
                                <w:lang w:val="en-GB"/>
                              </w:rPr>
                              <w:t>a</w:t>
                            </w:r>
                            <w:r w:rsidRPr="00AA2B6E">
                              <w:rPr>
                                <w:rFonts w:ascii="Arial" w:hAnsi="Arial" w:cs="Arial"/>
                                <w:i w:val="0"/>
                                <w:noProof/>
                                <w:color w:val="auto"/>
                                <w:sz w:val="20"/>
                                <w:szCs w:val="20"/>
                                <w:lang w:val="en-GB"/>
                              </w:rPr>
                              <w:t xml:space="preserve">, Unlabeled sample. </w:t>
                            </w:r>
                            <w:r w:rsidRPr="00AA2B6E">
                              <w:rPr>
                                <w:rFonts w:ascii="Arial" w:hAnsi="Arial" w:cs="Arial"/>
                                <w:b/>
                                <w:bCs/>
                                <w:i w:val="0"/>
                                <w:noProof/>
                                <w:color w:val="auto"/>
                                <w:sz w:val="20"/>
                                <w:szCs w:val="20"/>
                                <w:lang w:val="en-GB"/>
                              </w:rPr>
                              <w:t>b</w:t>
                            </w:r>
                            <w:r w:rsidRPr="00AA2B6E">
                              <w:rPr>
                                <w:rFonts w:ascii="Arial" w:hAnsi="Arial" w:cs="Arial"/>
                                <w:i w:val="0"/>
                                <w:noProof/>
                                <w:color w:val="auto"/>
                                <w:sz w:val="20"/>
                                <w:szCs w:val="20"/>
                                <w:lang w:val="en-GB"/>
                              </w:rPr>
                              <w:t xml:space="preserve">, Doublet discrimination. </w:t>
                            </w:r>
                            <w:r w:rsidRPr="00AA2B6E">
                              <w:rPr>
                                <w:rFonts w:ascii="Arial" w:hAnsi="Arial" w:cs="Arial"/>
                                <w:b/>
                                <w:bCs/>
                                <w:i w:val="0"/>
                                <w:noProof/>
                                <w:color w:val="auto"/>
                                <w:sz w:val="20"/>
                                <w:szCs w:val="20"/>
                                <w:lang w:val="en-GB"/>
                              </w:rPr>
                              <w:t>c</w:t>
                            </w:r>
                            <w:r w:rsidRPr="00AA2B6E">
                              <w:rPr>
                                <w:rFonts w:ascii="Arial" w:hAnsi="Arial" w:cs="Arial"/>
                                <w:i w:val="0"/>
                                <w:noProof/>
                                <w:color w:val="auto"/>
                                <w:sz w:val="20"/>
                                <w:szCs w:val="20"/>
                                <w:lang w:val="en-GB"/>
                              </w:rPr>
                              <w:t xml:space="preserve">, Identification of live cell population using a DAPI stain. </w:t>
                            </w:r>
                            <w:r w:rsidRPr="00AA2B6E">
                              <w:rPr>
                                <w:rFonts w:ascii="Arial" w:hAnsi="Arial" w:cs="Arial"/>
                                <w:b/>
                                <w:bCs/>
                                <w:i w:val="0"/>
                                <w:noProof/>
                                <w:color w:val="auto"/>
                                <w:sz w:val="20"/>
                                <w:szCs w:val="20"/>
                                <w:lang w:val="en-GB"/>
                              </w:rPr>
                              <w:t>d</w:t>
                            </w:r>
                            <w:r w:rsidRPr="00AA2B6E">
                              <w:rPr>
                                <w:rFonts w:ascii="Arial" w:hAnsi="Arial" w:cs="Arial"/>
                                <w:i w:val="0"/>
                                <w:noProof/>
                                <w:color w:val="auto"/>
                                <w:sz w:val="20"/>
                                <w:szCs w:val="20"/>
                                <w:lang w:val="en-GB"/>
                              </w:rPr>
                              <w:t xml:space="preserve">, Gating for CD86 using UltraComp eBeads Plus Compensation Beads (Thermo Fisher Scientific). </w:t>
                            </w:r>
                            <w:r w:rsidRPr="00AA2B6E">
                              <w:rPr>
                                <w:rFonts w:ascii="Arial" w:hAnsi="Arial" w:cs="Arial"/>
                                <w:b/>
                                <w:bCs/>
                                <w:i w:val="0"/>
                                <w:noProof/>
                                <w:color w:val="auto"/>
                                <w:sz w:val="20"/>
                                <w:szCs w:val="20"/>
                                <w:lang w:val="en-GB"/>
                              </w:rPr>
                              <w:t>e</w:t>
                            </w:r>
                            <w:r w:rsidRPr="00AA2B6E">
                              <w:rPr>
                                <w:rFonts w:ascii="Arial" w:hAnsi="Arial" w:cs="Arial"/>
                                <w:i w:val="0"/>
                                <w:noProof/>
                                <w:color w:val="auto"/>
                                <w:sz w:val="20"/>
                                <w:szCs w:val="20"/>
                                <w:lang w:val="en-GB"/>
                              </w:rPr>
                              <w:t xml:space="preserve">, Gating of isotype control for CD86. </w:t>
                            </w:r>
                            <w:r w:rsidRPr="00AA2B6E">
                              <w:rPr>
                                <w:rFonts w:ascii="Arial" w:hAnsi="Arial" w:cs="Arial"/>
                                <w:b/>
                                <w:bCs/>
                                <w:i w:val="0"/>
                                <w:noProof/>
                                <w:color w:val="auto"/>
                                <w:sz w:val="20"/>
                                <w:szCs w:val="20"/>
                                <w:lang w:val="en-GB"/>
                              </w:rPr>
                              <w:t>f</w:t>
                            </w:r>
                            <w:r w:rsidRPr="00AA2B6E">
                              <w:rPr>
                                <w:rFonts w:ascii="Arial" w:hAnsi="Arial" w:cs="Arial"/>
                                <w:i w:val="0"/>
                                <w:noProof/>
                                <w:color w:val="auto"/>
                                <w:sz w:val="20"/>
                                <w:szCs w:val="20"/>
                                <w:lang w:val="en-GB"/>
                              </w:rPr>
                              <w:t xml:space="preserve">, Representative plot for CD86 expression in static CM sample. </w:t>
                            </w:r>
                            <w:r w:rsidRPr="00AA2B6E">
                              <w:rPr>
                                <w:rFonts w:ascii="Arial" w:hAnsi="Arial" w:cs="Arial"/>
                                <w:b/>
                                <w:bCs/>
                                <w:i w:val="0"/>
                                <w:noProof/>
                                <w:color w:val="auto"/>
                                <w:sz w:val="20"/>
                                <w:szCs w:val="20"/>
                                <w:lang w:val="en-GB"/>
                              </w:rPr>
                              <w:t>g</w:t>
                            </w:r>
                            <w:r w:rsidRPr="00AA2B6E">
                              <w:rPr>
                                <w:rFonts w:ascii="Arial" w:hAnsi="Arial" w:cs="Arial"/>
                                <w:i w:val="0"/>
                                <w:noProof/>
                                <w:color w:val="auto"/>
                                <w:sz w:val="20"/>
                                <w:szCs w:val="20"/>
                                <w:lang w:val="en-GB"/>
                              </w:rPr>
                              <w:t xml:space="preserve">, Representative plot for CD86 expression in shear CM sample. </w:t>
                            </w:r>
                            <w:r w:rsidRPr="00AA2B6E">
                              <w:rPr>
                                <w:rFonts w:ascii="Arial" w:hAnsi="Arial" w:cs="Arial"/>
                                <w:b/>
                                <w:bCs/>
                                <w:i w:val="0"/>
                                <w:noProof/>
                                <w:color w:val="auto"/>
                                <w:sz w:val="20"/>
                                <w:szCs w:val="20"/>
                                <w:lang w:val="en-GB"/>
                              </w:rPr>
                              <w:t>h</w:t>
                            </w:r>
                            <w:r w:rsidRPr="00AA2B6E">
                              <w:rPr>
                                <w:rFonts w:ascii="Arial" w:hAnsi="Arial" w:cs="Arial"/>
                                <w:i w:val="0"/>
                                <w:noProof/>
                                <w:color w:val="auto"/>
                                <w:sz w:val="20"/>
                                <w:szCs w:val="20"/>
                                <w:lang w:val="en-GB"/>
                              </w:rPr>
                              <w:t xml:space="preserve">, Gating for CD163 using UltraComp eBeads Plus Compensation Beads (Thermo Fisher Scientific). </w:t>
                            </w:r>
                            <w:r w:rsidRPr="00AA2B6E">
                              <w:rPr>
                                <w:rFonts w:ascii="Arial" w:hAnsi="Arial" w:cs="Arial"/>
                                <w:b/>
                                <w:bCs/>
                                <w:i w:val="0"/>
                                <w:noProof/>
                                <w:color w:val="auto"/>
                                <w:sz w:val="20"/>
                                <w:szCs w:val="20"/>
                                <w:lang w:val="en-GB"/>
                              </w:rPr>
                              <w:t>i</w:t>
                            </w:r>
                            <w:r w:rsidRPr="00AA2B6E">
                              <w:rPr>
                                <w:rFonts w:ascii="Arial" w:hAnsi="Arial" w:cs="Arial"/>
                                <w:i w:val="0"/>
                                <w:noProof/>
                                <w:color w:val="auto"/>
                                <w:sz w:val="20"/>
                                <w:szCs w:val="20"/>
                                <w:lang w:val="en-GB"/>
                              </w:rPr>
                              <w:t xml:space="preserve">, Gating of isotype control for CD163. </w:t>
                            </w:r>
                            <w:r w:rsidRPr="00AA2B6E">
                              <w:rPr>
                                <w:rFonts w:ascii="Arial" w:hAnsi="Arial" w:cs="Arial"/>
                                <w:b/>
                                <w:bCs/>
                                <w:i w:val="0"/>
                                <w:noProof/>
                                <w:color w:val="auto"/>
                                <w:sz w:val="20"/>
                                <w:szCs w:val="20"/>
                                <w:lang w:val="en-GB"/>
                              </w:rPr>
                              <w:t>j</w:t>
                            </w:r>
                            <w:r w:rsidRPr="00AA2B6E">
                              <w:rPr>
                                <w:rFonts w:ascii="Arial" w:hAnsi="Arial" w:cs="Arial"/>
                                <w:i w:val="0"/>
                                <w:noProof/>
                                <w:color w:val="auto"/>
                                <w:sz w:val="20"/>
                                <w:szCs w:val="20"/>
                                <w:lang w:val="en-GB"/>
                              </w:rPr>
                              <w:t xml:space="preserve">. Representative plot for CD163 expression in static CM sample. </w:t>
                            </w:r>
                            <w:r w:rsidRPr="00AA2B6E">
                              <w:rPr>
                                <w:rFonts w:ascii="Arial" w:hAnsi="Arial" w:cs="Arial"/>
                                <w:b/>
                                <w:bCs/>
                                <w:i w:val="0"/>
                                <w:noProof/>
                                <w:color w:val="auto"/>
                                <w:sz w:val="20"/>
                                <w:szCs w:val="20"/>
                                <w:lang w:val="en-GB"/>
                              </w:rPr>
                              <w:t>k</w:t>
                            </w:r>
                            <w:r w:rsidRPr="00AA2B6E">
                              <w:rPr>
                                <w:rFonts w:ascii="Arial" w:hAnsi="Arial" w:cs="Arial"/>
                                <w:i w:val="0"/>
                                <w:noProof/>
                                <w:color w:val="auto"/>
                                <w:sz w:val="20"/>
                                <w:szCs w:val="20"/>
                                <w:lang w:val="en-GB"/>
                              </w:rPr>
                              <w:t>, Representative plot for CD163 expression in shear CM sample.</w:t>
                            </w:r>
                          </w:p>
                          <w:p w14:paraId="5C2031A1" w14:textId="77777777" w:rsidR="00667525" w:rsidRPr="0083795B" w:rsidRDefault="00667525" w:rsidP="00667525">
                            <w:pPr>
                              <w:pStyle w:val="Caption"/>
                              <w:jc w:val="both"/>
                              <w:rPr>
                                <w:rFonts w:ascii="Arial" w:hAnsi="Arial" w:cs="Arial"/>
                                <w:i w:val="0"/>
                                <w:iCs w:val="0"/>
                                <w:noProof/>
                                <w:color w:val="auto"/>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3F109C2" id="_x0000_s1035" type="#_x0000_t202" style="position:absolute;margin-left:4.4pt;margin-top:353.8pt;width:468pt;height:.0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" stroked="f">
                <v:textbox style="mso-fit-shape-to-text:t" inset="0,0,0,0">
                  <w:txbxContent>
                    <w:p w14:paraId="65B7ED87" w14:textId="77777777" w:rsidR="00667525" w:rsidRPr="00AA2B6E" w:rsidRDefault="00667525" w:rsidP="00667525">
                      <w:pPr>
                        <w:pStyle w:val="Caption"/>
                        <w:jc w:val="both"/>
                        <w:rPr>
                          <w:rFonts w:ascii="Arial" w:hAnsi="Arial" w:cs="Arial"/>
                          <w:noProof/>
                          <w:sz w:val="20"/>
                          <w:szCs w:val="20"/>
                          <w:lang w:val="en-GB"/>
                        </w:rPr>
                      </w:pPr>
                      <w:r>
                        <w:rPr>
                          <w:rFonts w:ascii="Arial" w:hAnsi="Arial" w:cs="Arial"/>
                          <w:b/>
                          <w:bCs/>
                          <w:i w:val="0"/>
                          <w:iCs w:val="0"/>
                          <w:noProof/>
                          <w:color w:val="auto"/>
                          <w:sz w:val="20"/>
                          <w:szCs w:val="20"/>
                        </w:rPr>
                        <w:t>Supplementary Fig. 5</w:t>
                      </w:r>
                      <w:r w:rsidRPr="00651CC1">
                        <w:rPr>
                          <w:rFonts w:ascii="Arial" w:hAnsi="Arial" w:cs="Arial"/>
                          <w:b/>
                          <w:bCs/>
                          <w:i w:val="0"/>
                          <w:iCs w:val="0"/>
                          <w:noProof/>
                          <w:color w:val="auto"/>
                          <w:sz w:val="20"/>
                          <w:szCs w:val="20"/>
                        </w:rPr>
                        <w:t xml:space="preserve"> | </w:t>
                      </w:r>
                      <w:r w:rsidRPr="00AA2B6E">
                        <w:rPr>
                          <w:rFonts w:ascii="Arial" w:hAnsi="Arial" w:cs="Arial"/>
                          <w:b/>
                          <w:bCs/>
                          <w:i w:val="0"/>
                          <w:iCs w:val="0"/>
                          <w:noProof/>
                          <w:color w:val="auto"/>
                          <w:sz w:val="20"/>
                          <w:szCs w:val="20"/>
                        </w:rPr>
                        <w:t>Representative flow plots for gating</w:t>
                      </w:r>
                      <w:r w:rsidRPr="00651CC1">
                        <w:rPr>
                          <w:rFonts w:ascii="Arial" w:hAnsi="Arial" w:cs="Arial"/>
                          <w:b/>
                          <w:bCs/>
                          <w:i w:val="0"/>
                          <w:iCs w:val="0"/>
                          <w:noProof/>
                          <w:color w:val="auto"/>
                          <w:sz w:val="20"/>
                          <w:szCs w:val="20"/>
                        </w:rPr>
                        <w:t xml:space="preserve">. </w:t>
                      </w:r>
                      <w:r w:rsidRPr="00AA2B6E">
                        <w:rPr>
                          <w:rFonts w:ascii="Arial" w:hAnsi="Arial" w:cs="Arial"/>
                          <w:i w:val="0"/>
                          <w:noProof/>
                          <w:color w:val="auto"/>
                          <w:sz w:val="20"/>
                          <w:szCs w:val="20"/>
                          <w:lang w:val="en-GB"/>
                        </w:rPr>
                        <w:t>Flow cytometry of U937-derived M0 macrophages following 24 hr treatment with conditioned media from sheared and static OVCAR3 (11 dynes/cm</w:t>
                      </w:r>
                      <w:r w:rsidRPr="00AA2B6E">
                        <w:rPr>
                          <w:rFonts w:ascii="Arial" w:hAnsi="Arial" w:cs="Arial"/>
                          <w:i w:val="0"/>
                          <w:noProof/>
                          <w:color w:val="auto"/>
                          <w:sz w:val="20"/>
                          <w:szCs w:val="20"/>
                          <w:vertAlign w:val="superscript"/>
                          <w:lang w:val="en-GB"/>
                        </w:rPr>
                        <w:t>2</w:t>
                      </w:r>
                      <w:r w:rsidRPr="00AA2B6E">
                        <w:rPr>
                          <w:rFonts w:ascii="Arial" w:hAnsi="Arial" w:cs="Arial"/>
                          <w:i w:val="0"/>
                          <w:noProof/>
                          <w:color w:val="auto"/>
                          <w:sz w:val="20"/>
                          <w:szCs w:val="20"/>
                          <w:lang w:val="en-GB"/>
                        </w:rPr>
                        <w:t xml:space="preserve">, 24 hr). </w:t>
                      </w:r>
                      <w:r w:rsidRPr="00AA2B6E">
                        <w:rPr>
                          <w:rFonts w:ascii="Arial" w:hAnsi="Arial" w:cs="Arial"/>
                          <w:b/>
                          <w:bCs/>
                          <w:i w:val="0"/>
                          <w:noProof/>
                          <w:color w:val="auto"/>
                          <w:sz w:val="20"/>
                          <w:szCs w:val="20"/>
                          <w:lang w:val="en-GB"/>
                        </w:rPr>
                        <w:t>a</w:t>
                      </w:r>
                      <w:r w:rsidRPr="00AA2B6E">
                        <w:rPr>
                          <w:rFonts w:ascii="Arial" w:hAnsi="Arial" w:cs="Arial"/>
                          <w:i w:val="0"/>
                          <w:noProof/>
                          <w:color w:val="auto"/>
                          <w:sz w:val="20"/>
                          <w:szCs w:val="20"/>
                          <w:lang w:val="en-GB"/>
                        </w:rPr>
                        <w:t xml:space="preserve">, Unlabeled sample. </w:t>
                      </w:r>
                      <w:r w:rsidRPr="00AA2B6E">
                        <w:rPr>
                          <w:rFonts w:ascii="Arial" w:hAnsi="Arial" w:cs="Arial"/>
                          <w:b/>
                          <w:bCs/>
                          <w:i w:val="0"/>
                          <w:noProof/>
                          <w:color w:val="auto"/>
                          <w:sz w:val="20"/>
                          <w:szCs w:val="20"/>
                          <w:lang w:val="en-GB"/>
                        </w:rPr>
                        <w:t>b</w:t>
                      </w:r>
                      <w:r w:rsidRPr="00AA2B6E">
                        <w:rPr>
                          <w:rFonts w:ascii="Arial" w:hAnsi="Arial" w:cs="Arial"/>
                          <w:i w:val="0"/>
                          <w:noProof/>
                          <w:color w:val="auto"/>
                          <w:sz w:val="20"/>
                          <w:szCs w:val="20"/>
                          <w:lang w:val="en-GB"/>
                        </w:rPr>
                        <w:t xml:space="preserve">, Doublet discrimination. </w:t>
                      </w:r>
                      <w:r w:rsidRPr="00AA2B6E">
                        <w:rPr>
                          <w:rFonts w:ascii="Arial" w:hAnsi="Arial" w:cs="Arial"/>
                          <w:b/>
                          <w:bCs/>
                          <w:i w:val="0"/>
                          <w:noProof/>
                          <w:color w:val="auto"/>
                          <w:sz w:val="20"/>
                          <w:szCs w:val="20"/>
                          <w:lang w:val="en-GB"/>
                        </w:rPr>
                        <w:t>c</w:t>
                      </w:r>
                      <w:r w:rsidRPr="00AA2B6E">
                        <w:rPr>
                          <w:rFonts w:ascii="Arial" w:hAnsi="Arial" w:cs="Arial"/>
                          <w:i w:val="0"/>
                          <w:noProof/>
                          <w:color w:val="auto"/>
                          <w:sz w:val="20"/>
                          <w:szCs w:val="20"/>
                          <w:lang w:val="en-GB"/>
                        </w:rPr>
                        <w:t xml:space="preserve">, Identification of live cell population using a DAPI stain. </w:t>
                      </w:r>
                      <w:r w:rsidRPr="00AA2B6E">
                        <w:rPr>
                          <w:rFonts w:ascii="Arial" w:hAnsi="Arial" w:cs="Arial"/>
                          <w:b/>
                          <w:bCs/>
                          <w:i w:val="0"/>
                          <w:noProof/>
                          <w:color w:val="auto"/>
                          <w:sz w:val="20"/>
                          <w:szCs w:val="20"/>
                          <w:lang w:val="en-GB"/>
                        </w:rPr>
                        <w:t>d</w:t>
                      </w:r>
                      <w:r w:rsidRPr="00AA2B6E">
                        <w:rPr>
                          <w:rFonts w:ascii="Arial" w:hAnsi="Arial" w:cs="Arial"/>
                          <w:i w:val="0"/>
                          <w:noProof/>
                          <w:color w:val="auto"/>
                          <w:sz w:val="20"/>
                          <w:szCs w:val="20"/>
                          <w:lang w:val="en-GB"/>
                        </w:rPr>
                        <w:t xml:space="preserve">, Gating for CD86 using UltraComp eBeads Plus Compensation Beads (Thermo Fisher Scientific). </w:t>
                      </w:r>
                      <w:r w:rsidRPr="00AA2B6E">
                        <w:rPr>
                          <w:rFonts w:ascii="Arial" w:hAnsi="Arial" w:cs="Arial"/>
                          <w:b/>
                          <w:bCs/>
                          <w:i w:val="0"/>
                          <w:noProof/>
                          <w:color w:val="auto"/>
                          <w:sz w:val="20"/>
                          <w:szCs w:val="20"/>
                          <w:lang w:val="en-GB"/>
                        </w:rPr>
                        <w:t>e</w:t>
                      </w:r>
                      <w:r w:rsidRPr="00AA2B6E">
                        <w:rPr>
                          <w:rFonts w:ascii="Arial" w:hAnsi="Arial" w:cs="Arial"/>
                          <w:i w:val="0"/>
                          <w:noProof/>
                          <w:color w:val="auto"/>
                          <w:sz w:val="20"/>
                          <w:szCs w:val="20"/>
                          <w:lang w:val="en-GB"/>
                        </w:rPr>
                        <w:t xml:space="preserve">, Gating of isotype control for CD86. </w:t>
                      </w:r>
                      <w:r w:rsidRPr="00AA2B6E">
                        <w:rPr>
                          <w:rFonts w:ascii="Arial" w:hAnsi="Arial" w:cs="Arial"/>
                          <w:b/>
                          <w:bCs/>
                          <w:i w:val="0"/>
                          <w:noProof/>
                          <w:color w:val="auto"/>
                          <w:sz w:val="20"/>
                          <w:szCs w:val="20"/>
                          <w:lang w:val="en-GB"/>
                        </w:rPr>
                        <w:t>f</w:t>
                      </w:r>
                      <w:r w:rsidRPr="00AA2B6E">
                        <w:rPr>
                          <w:rFonts w:ascii="Arial" w:hAnsi="Arial" w:cs="Arial"/>
                          <w:i w:val="0"/>
                          <w:noProof/>
                          <w:color w:val="auto"/>
                          <w:sz w:val="20"/>
                          <w:szCs w:val="20"/>
                          <w:lang w:val="en-GB"/>
                        </w:rPr>
                        <w:t xml:space="preserve">, Representative plot for CD86 expression in static CM sample. </w:t>
                      </w:r>
                      <w:r w:rsidRPr="00AA2B6E">
                        <w:rPr>
                          <w:rFonts w:ascii="Arial" w:hAnsi="Arial" w:cs="Arial"/>
                          <w:b/>
                          <w:bCs/>
                          <w:i w:val="0"/>
                          <w:noProof/>
                          <w:color w:val="auto"/>
                          <w:sz w:val="20"/>
                          <w:szCs w:val="20"/>
                          <w:lang w:val="en-GB"/>
                        </w:rPr>
                        <w:t>g</w:t>
                      </w:r>
                      <w:r w:rsidRPr="00AA2B6E">
                        <w:rPr>
                          <w:rFonts w:ascii="Arial" w:hAnsi="Arial" w:cs="Arial"/>
                          <w:i w:val="0"/>
                          <w:noProof/>
                          <w:color w:val="auto"/>
                          <w:sz w:val="20"/>
                          <w:szCs w:val="20"/>
                          <w:lang w:val="en-GB"/>
                        </w:rPr>
                        <w:t xml:space="preserve">, Representative plot for CD86 expression in shear CM sample. </w:t>
                      </w:r>
                      <w:r w:rsidRPr="00AA2B6E">
                        <w:rPr>
                          <w:rFonts w:ascii="Arial" w:hAnsi="Arial" w:cs="Arial"/>
                          <w:b/>
                          <w:bCs/>
                          <w:i w:val="0"/>
                          <w:noProof/>
                          <w:color w:val="auto"/>
                          <w:sz w:val="20"/>
                          <w:szCs w:val="20"/>
                          <w:lang w:val="en-GB"/>
                        </w:rPr>
                        <w:t>h</w:t>
                      </w:r>
                      <w:r w:rsidRPr="00AA2B6E">
                        <w:rPr>
                          <w:rFonts w:ascii="Arial" w:hAnsi="Arial" w:cs="Arial"/>
                          <w:i w:val="0"/>
                          <w:noProof/>
                          <w:color w:val="auto"/>
                          <w:sz w:val="20"/>
                          <w:szCs w:val="20"/>
                          <w:lang w:val="en-GB"/>
                        </w:rPr>
                        <w:t xml:space="preserve">, Gating for CD163 using UltraComp eBeads Plus Compensation Beads (Thermo Fisher Scientific). </w:t>
                      </w:r>
                      <w:r w:rsidRPr="00AA2B6E">
                        <w:rPr>
                          <w:rFonts w:ascii="Arial" w:hAnsi="Arial" w:cs="Arial"/>
                          <w:b/>
                          <w:bCs/>
                          <w:i w:val="0"/>
                          <w:noProof/>
                          <w:color w:val="auto"/>
                          <w:sz w:val="20"/>
                          <w:szCs w:val="20"/>
                          <w:lang w:val="en-GB"/>
                        </w:rPr>
                        <w:t>i</w:t>
                      </w:r>
                      <w:r w:rsidRPr="00AA2B6E">
                        <w:rPr>
                          <w:rFonts w:ascii="Arial" w:hAnsi="Arial" w:cs="Arial"/>
                          <w:i w:val="0"/>
                          <w:noProof/>
                          <w:color w:val="auto"/>
                          <w:sz w:val="20"/>
                          <w:szCs w:val="20"/>
                          <w:lang w:val="en-GB"/>
                        </w:rPr>
                        <w:t xml:space="preserve">, Gating of isotype control for CD163. </w:t>
                      </w:r>
                      <w:r w:rsidRPr="00AA2B6E">
                        <w:rPr>
                          <w:rFonts w:ascii="Arial" w:hAnsi="Arial" w:cs="Arial"/>
                          <w:b/>
                          <w:bCs/>
                          <w:i w:val="0"/>
                          <w:noProof/>
                          <w:color w:val="auto"/>
                          <w:sz w:val="20"/>
                          <w:szCs w:val="20"/>
                          <w:lang w:val="en-GB"/>
                        </w:rPr>
                        <w:t>j</w:t>
                      </w:r>
                      <w:r w:rsidRPr="00AA2B6E">
                        <w:rPr>
                          <w:rFonts w:ascii="Arial" w:hAnsi="Arial" w:cs="Arial"/>
                          <w:i w:val="0"/>
                          <w:noProof/>
                          <w:color w:val="auto"/>
                          <w:sz w:val="20"/>
                          <w:szCs w:val="20"/>
                          <w:lang w:val="en-GB"/>
                        </w:rPr>
                        <w:t xml:space="preserve">. Representative plot for CD163 expression in static CM sample. </w:t>
                      </w:r>
                      <w:r w:rsidRPr="00AA2B6E">
                        <w:rPr>
                          <w:rFonts w:ascii="Arial" w:hAnsi="Arial" w:cs="Arial"/>
                          <w:b/>
                          <w:bCs/>
                          <w:i w:val="0"/>
                          <w:noProof/>
                          <w:color w:val="auto"/>
                          <w:sz w:val="20"/>
                          <w:szCs w:val="20"/>
                          <w:lang w:val="en-GB"/>
                        </w:rPr>
                        <w:t>k</w:t>
                      </w:r>
                      <w:r w:rsidRPr="00AA2B6E">
                        <w:rPr>
                          <w:rFonts w:ascii="Arial" w:hAnsi="Arial" w:cs="Arial"/>
                          <w:i w:val="0"/>
                          <w:noProof/>
                          <w:color w:val="auto"/>
                          <w:sz w:val="20"/>
                          <w:szCs w:val="20"/>
                          <w:lang w:val="en-GB"/>
                        </w:rPr>
                        <w:t>, Representative plot for CD163 expression in shear CM sample.</w:t>
                      </w:r>
                    </w:p>
                    <w:p w14:paraId="5C2031A1" w14:textId="77777777" w:rsidR="00667525" w:rsidRPr="0083795B" w:rsidRDefault="00667525" w:rsidP="00667525">
                      <w:pPr>
                        <w:pStyle w:val="Caption"/>
                        <w:jc w:val="both"/>
                        <w:rPr>
                          <w:rFonts w:ascii="Arial" w:hAnsi="Arial" w:cs="Arial"/>
                          <w:i w:val="0"/>
                          <w:iCs w:val="0"/>
                          <w:noProof/>
                          <w:color w:val="auto"/>
                          <w:sz w:val="20"/>
                          <w:szCs w:val="20"/>
                        </w:rPr>
                      </w:pPr>
                    </w:p>
                  </w:txbxContent>
                </v:textbox>
                <w10:wrap type="square"/>
              </v:shape>
            </w:pict>
          </mc:Fallback>
        </mc:AlternateContent>
      </w:r>
      <w:r>
        <w:rPr>
          <w:rFonts w:ascii="Times New Roman" w:hAnsi="Times New Roman" w:cs="Times New Roman"/>
          <w:b/>
          <w:bCs/>
          <w:iCs/>
          <w:noProof/>
          <w:lang w:val="en-GB" w:eastAsia="en-GB"/>
        </w:rPr>
        <w:drawing>
          <wp:inline distT="0" distB="0" distL="0" distR="0" wp14:anchorId="7F41C727" wp14:editId="198230DC">
            <wp:extent cx="5836257" cy="4262484"/>
            <wp:effectExtent l="0" t="0" r="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pplementary Figure S3.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859327" cy="4279333"/>
                    </a:xfrm>
                    <a:prstGeom prst="rect">
                      <a:avLst/>
                    </a:prstGeom>
                  </pic:spPr>
                </pic:pic>
              </a:graphicData>
            </a:graphic>
          </wp:inline>
        </w:drawing>
      </w:r>
    </w:p>
    <w:p w14:paraId="7C5C156A" w14:textId="77777777" w:rsidR="00667525" w:rsidRDefault="00667525" w:rsidP="00667525">
      <w:pPr>
        <w:spacing w:line="240" w:lineRule="auto"/>
        <w:rPr>
          <w:rFonts w:ascii="Times New Roman" w:hAnsi="Times New Roman" w:cs="Times New Roman"/>
          <w:b/>
          <w:bCs/>
          <w:iCs/>
        </w:rPr>
        <w:sectPr w:rsidR="00667525" w:rsidSect="00667525">
          <w:pgSz w:w="12240" w:h="15840"/>
          <w:pgMar w:top="1440" w:right="1440" w:bottom="1440" w:left="1440" w:header="720" w:footer="720" w:gutter="0"/>
          <w:lnNumType w:countBy="1" w:restart="continuous"/>
          <w:cols w:space="720"/>
          <w:docGrid w:linePitch="360"/>
        </w:sectPr>
      </w:pPr>
    </w:p>
    <w:p w14:paraId="73AE752C" w14:textId="77777777" w:rsidR="00667525" w:rsidRDefault="00667525" w:rsidP="00667525">
      <w:pPr>
        <w:spacing w:line="240" w:lineRule="auto"/>
        <w:rPr>
          <w:rFonts w:ascii="Times New Roman" w:hAnsi="Times New Roman" w:cs="Times New Roman"/>
          <w:b/>
          <w:bCs/>
          <w:iCs/>
        </w:rPr>
      </w:pPr>
    </w:p>
    <w:p w14:paraId="06D207F5" w14:textId="77777777" w:rsidR="00667525" w:rsidRPr="00723238" w:rsidRDefault="00667525" w:rsidP="00667525">
      <w:pPr>
        <w:pStyle w:val="Caption"/>
        <w:keepNext/>
        <w:rPr>
          <w:rFonts w:ascii="Arial" w:hAnsi="Arial" w:cs="Arial"/>
          <w:b/>
          <w:i w:val="0"/>
          <w:color w:val="000000" w:themeColor="text1"/>
          <w:sz w:val="20"/>
        </w:rPr>
      </w:pPr>
      <w:bookmarkStart w:id="0" w:name="_Toc172671933"/>
      <w:r w:rsidRPr="00723238">
        <w:rPr>
          <w:rFonts w:ascii="Arial" w:hAnsi="Arial" w:cs="Arial"/>
          <w:b/>
          <w:i w:val="0"/>
          <w:color w:val="000000" w:themeColor="text1"/>
          <w:sz w:val="20"/>
        </w:rPr>
        <w:t xml:space="preserve">Supplementary Table 1 </w:t>
      </w:r>
      <w:r w:rsidRPr="00723238">
        <w:rPr>
          <w:rFonts w:ascii="Arial" w:hAnsi="Arial" w:cs="Arial"/>
          <w:b/>
          <w:bCs/>
          <w:i w:val="0"/>
          <w:iCs w:val="0"/>
          <w:noProof/>
          <w:color w:val="auto"/>
          <w:sz w:val="20"/>
          <w:szCs w:val="20"/>
        </w:rPr>
        <w:t xml:space="preserve">| </w:t>
      </w:r>
      <w:r w:rsidRPr="00723238">
        <w:rPr>
          <w:rFonts w:ascii="Arial" w:hAnsi="Arial" w:cs="Arial"/>
          <w:b/>
          <w:i w:val="0"/>
          <w:color w:val="000000" w:themeColor="text1"/>
          <w:sz w:val="20"/>
        </w:rPr>
        <w:t xml:space="preserve">FSS-Mechanosensor </w:t>
      </w:r>
      <w:r w:rsidRPr="00723238">
        <w:rPr>
          <w:rFonts w:ascii="Arial" w:hAnsi="Arial" w:cs="Arial"/>
          <w:b/>
          <w:bCs/>
          <w:i w:val="0"/>
          <w:color w:val="000000" w:themeColor="text1"/>
          <w:sz w:val="20"/>
          <w:lang w:val="en"/>
        </w:rPr>
        <w:t>RT-qPCR Primer Sequences</w:t>
      </w:r>
      <w:bookmarkEnd w:id="0"/>
    </w:p>
    <w:tbl>
      <w:tblPr>
        <w:tblpPr w:leftFromText="180" w:rightFromText="180" w:vertAnchor="text" w:horzAnchor="margin" w:tblpXSpec="center" w:tblpY="160"/>
        <w:tblW w:w="9783" w:type="dxa"/>
        <w:tblLook w:val="04A0" w:firstRow="1" w:lastRow="0" w:firstColumn="1" w:lastColumn="0" w:noHBand="0" w:noVBand="1"/>
      </w:tblPr>
      <w:tblGrid>
        <w:gridCol w:w="1683"/>
        <w:gridCol w:w="4050"/>
        <w:gridCol w:w="4050"/>
      </w:tblGrid>
      <w:tr w:rsidR="00667525" w:rsidRPr="0034681A" w14:paraId="06C8004C" w14:textId="77777777" w:rsidTr="000D4D0C">
        <w:trPr>
          <w:trHeight w:val="315"/>
        </w:trPr>
        <w:tc>
          <w:tcPr>
            <w:tcW w:w="1683" w:type="dxa"/>
            <w:tcBorders>
              <w:top w:val="nil"/>
              <w:left w:val="nil"/>
              <w:bottom w:val="single" w:sz="4" w:space="0" w:color="auto"/>
              <w:right w:val="nil"/>
            </w:tcBorders>
            <w:shd w:val="clear" w:color="auto" w:fill="auto"/>
            <w:noWrap/>
            <w:vAlign w:val="center"/>
            <w:hideMark/>
          </w:tcPr>
          <w:p w14:paraId="4287F5EE" w14:textId="77777777" w:rsidR="00667525" w:rsidRPr="0034681A" w:rsidRDefault="00667525" w:rsidP="000D4D0C">
            <w:pPr>
              <w:spacing w:before="60" w:after="60"/>
              <w:rPr>
                <w:rFonts w:ascii="Microsoft Sans Serif" w:eastAsia="Times New Roman" w:hAnsi="Microsoft Sans Serif" w:cs="Microsoft Sans Serif"/>
                <w:b/>
                <w:bCs/>
                <w:color w:val="000000"/>
                <w:sz w:val="20"/>
                <w:szCs w:val="20"/>
              </w:rPr>
            </w:pPr>
            <w:r w:rsidRPr="0034681A">
              <w:rPr>
                <w:rFonts w:ascii="Microsoft Sans Serif" w:eastAsia="Times New Roman" w:hAnsi="Microsoft Sans Serif" w:cs="Microsoft Sans Serif"/>
                <w:b/>
                <w:bCs/>
                <w:color w:val="000000"/>
                <w:sz w:val="20"/>
                <w:szCs w:val="20"/>
              </w:rPr>
              <w:t>RT-qPCR Gene</w:t>
            </w:r>
          </w:p>
        </w:tc>
        <w:tc>
          <w:tcPr>
            <w:tcW w:w="4050" w:type="dxa"/>
            <w:tcBorders>
              <w:top w:val="nil"/>
              <w:left w:val="nil"/>
              <w:bottom w:val="single" w:sz="4" w:space="0" w:color="auto"/>
              <w:right w:val="nil"/>
            </w:tcBorders>
            <w:shd w:val="clear" w:color="auto" w:fill="auto"/>
            <w:noWrap/>
            <w:vAlign w:val="center"/>
            <w:hideMark/>
          </w:tcPr>
          <w:p w14:paraId="74F28094" w14:textId="77777777" w:rsidR="00667525" w:rsidRPr="0034681A" w:rsidRDefault="00667525" w:rsidP="000D4D0C">
            <w:pPr>
              <w:spacing w:before="60" w:after="60"/>
              <w:rPr>
                <w:rFonts w:ascii="Microsoft Sans Serif" w:eastAsia="Times New Roman" w:hAnsi="Microsoft Sans Serif" w:cs="Microsoft Sans Serif"/>
                <w:b/>
                <w:bCs/>
                <w:color w:val="000000"/>
                <w:sz w:val="20"/>
                <w:szCs w:val="20"/>
              </w:rPr>
            </w:pPr>
            <w:r w:rsidRPr="0034681A">
              <w:rPr>
                <w:rFonts w:ascii="Microsoft Sans Serif" w:eastAsia="Times New Roman" w:hAnsi="Microsoft Sans Serif" w:cs="Microsoft Sans Serif"/>
                <w:b/>
                <w:bCs/>
                <w:color w:val="000000"/>
                <w:sz w:val="20"/>
                <w:szCs w:val="20"/>
              </w:rPr>
              <w:t>Forward Primer</w:t>
            </w:r>
          </w:p>
        </w:tc>
        <w:tc>
          <w:tcPr>
            <w:tcW w:w="4050" w:type="dxa"/>
            <w:tcBorders>
              <w:top w:val="nil"/>
              <w:left w:val="nil"/>
              <w:bottom w:val="single" w:sz="4" w:space="0" w:color="auto"/>
              <w:right w:val="nil"/>
            </w:tcBorders>
            <w:shd w:val="clear" w:color="auto" w:fill="auto"/>
            <w:noWrap/>
            <w:vAlign w:val="center"/>
            <w:hideMark/>
          </w:tcPr>
          <w:p w14:paraId="163B94CB" w14:textId="77777777" w:rsidR="00667525" w:rsidRPr="0034681A" w:rsidRDefault="00667525" w:rsidP="000D4D0C">
            <w:pPr>
              <w:spacing w:before="60" w:after="60"/>
              <w:rPr>
                <w:rFonts w:ascii="Microsoft Sans Serif" w:eastAsia="Times New Roman" w:hAnsi="Microsoft Sans Serif" w:cs="Microsoft Sans Serif"/>
                <w:b/>
                <w:bCs/>
                <w:color w:val="000000"/>
                <w:sz w:val="20"/>
                <w:szCs w:val="20"/>
              </w:rPr>
            </w:pPr>
            <w:r w:rsidRPr="0034681A">
              <w:rPr>
                <w:rFonts w:ascii="Microsoft Sans Serif" w:eastAsia="Times New Roman" w:hAnsi="Microsoft Sans Serif" w:cs="Microsoft Sans Serif"/>
                <w:b/>
                <w:bCs/>
                <w:color w:val="000000"/>
                <w:sz w:val="20"/>
                <w:szCs w:val="20"/>
              </w:rPr>
              <w:t>Reverse Primer</w:t>
            </w:r>
          </w:p>
        </w:tc>
      </w:tr>
      <w:tr w:rsidR="00667525" w:rsidRPr="0034681A" w14:paraId="7D572A67" w14:textId="77777777" w:rsidTr="000D4D0C">
        <w:trPr>
          <w:trHeight w:val="345"/>
        </w:trPr>
        <w:tc>
          <w:tcPr>
            <w:tcW w:w="1683" w:type="dxa"/>
            <w:tcBorders>
              <w:top w:val="nil"/>
              <w:left w:val="nil"/>
              <w:bottom w:val="single" w:sz="4" w:space="0" w:color="auto"/>
              <w:right w:val="nil"/>
            </w:tcBorders>
            <w:shd w:val="clear" w:color="auto" w:fill="auto"/>
            <w:noWrap/>
            <w:vAlign w:val="center"/>
            <w:hideMark/>
          </w:tcPr>
          <w:p w14:paraId="41C02133"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TBP</w:t>
            </w:r>
          </w:p>
        </w:tc>
        <w:tc>
          <w:tcPr>
            <w:tcW w:w="4050" w:type="dxa"/>
            <w:tcBorders>
              <w:top w:val="nil"/>
              <w:left w:val="nil"/>
              <w:bottom w:val="single" w:sz="4" w:space="0" w:color="auto"/>
              <w:right w:val="nil"/>
            </w:tcBorders>
            <w:shd w:val="clear" w:color="auto" w:fill="auto"/>
            <w:noWrap/>
            <w:vAlign w:val="center"/>
            <w:hideMark/>
          </w:tcPr>
          <w:p w14:paraId="02C68736"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GAGCCAAGAGTGAAGAACAGTC</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153DC264"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GCTCCCCACCATATTCTGAATCT</w:t>
            </w:r>
            <w:r w:rsidRPr="0034681A">
              <w:rPr>
                <w:rFonts w:ascii="Microsoft Sans Serif" w:eastAsia="Times New Roman" w:hAnsi="Microsoft Sans Serif" w:cs="Microsoft Sans Serif"/>
                <w:color w:val="000000"/>
                <w:sz w:val="20"/>
                <w:szCs w:val="20"/>
              </w:rPr>
              <w:t xml:space="preserve"> -3’</w:t>
            </w:r>
          </w:p>
        </w:tc>
      </w:tr>
      <w:tr w:rsidR="00667525" w:rsidRPr="0034681A" w14:paraId="0EE0A4F9" w14:textId="77777777" w:rsidTr="000D4D0C">
        <w:trPr>
          <w:trHeight w:val="345"/>
        </w:trPr>
        <w:tc>
          <w:tcPr>
            <w:tcW w:w="1683" w:type="dxa"/>
            <w:tcBorders>
              <w:top w:val="nil"/>
              <w:left w:val="nil"/>
              <w:bottom w:val="single" w:sz="4" w:space="0" w:color="auto"/>
              <w:right w:val="nil"/>
            </w:tcBorders>
            <w:shd w:val="clear" w:color="auto" w:fill="auto"/>
            <w:noWrap/>
            <w:vAlign w:val="center"/>
            <w:hideMark/>
          </w:tcPr>
          <w:p w14:paraId="1402AB7B"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HPRT1</w:t>
            </w:r>
          </w:p>
        </w:tc>
        <w:tc>
          <w:tcPr>
            <w:tcW w:w="4050" w:type="dxa"/>
            <w:tcBorders>
              <w:top w:val="nil"/>
              <w:left w:val="nil"/>
              <w:bottom w:val="single" w:sz="4" w:space="0" w:color="auto"/>
              <w:right w:val="nil"/>
            </w:tcBorders>
            <w:shd w:val="clear" w:color="auto" w:fill="auto"/>
            <w:noWrap/>
            <w:vAlign w:val="center"/>
            <w:hideMark/>
          </w:tcPr>
          <w:p w14:paraId="45793D1D"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GAAAAGGACCCCACGAAGTG</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572A5A8D"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GTCAAGGGCATATCCTACAAC</w:t>
            </w:r>
            <w:r w:rsidRPr="0034681A">
              <w:rPr>
                <w:rFonts w:ascii="Microsoft Sans Serif" w:eastAsia="Times New Roman" w:hAnsi="Microsoft Sans Serif" w:cs="Microsoft Sans Serif"/>
                <w:color w:val="000000"/>
                <w:sz w:val="20"/>
                <w:szCs w:val="20"/>
              </w:rPr>
              <w:t xml:space="preserve"> -3'</w:t>
            </w:r>
          </w:p>
        </w:tc>
      </w:tr>
      <w:tr w:rsidR="00667525" w:rsidRPr="0034681A" w14:paraId="09882CEA" w14:textId="77777777" w:rsidTr="000D4D0C">
        <w:trPr>
          <w:trHeight w:val="345"/>
        </w:trPr>
        <w:tc>
          <w:tcPr>
            <w:tcW w:w="1683" w:type="dxa"/>
            <w:tcBorders>
              <w:top w:val="nil"/>
              <w:left w:val="nil"/>
              <w:bottom w:val="single" w:sz="4" w:space="0" w:color="auto"/>
              <w:right w:val="nil"/>
            </w:tcBorders>
            <w:shd w:val="clear" w:color="auto" w:fill="auto"/>
            <w:noWrap/>
            <w:vAlign w:val="center"/>
            <w:hideMark/>
          </w:tcPr>
          <w:p w14:paraId="5B259E73"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RPL27</w:t>
            </w:r>
          </w:p>
        </w:tc>
        <w:tc>
          <w:tcPr>
            <w:tcW w:w="4050" w:type="dxa"/>
            <w:tcBorders>
              <w:top w:val="nil"/>
              <w:left w:val="nil"/>
              <w:bottom w:val="single" w:sz="4" w:space="0" w:color="auto"/>
              <w:right w:val="nil"/>
            </w:tcBorders>
            <w:shd w:val="clear" w:color="auto" w:fill="auto"/>
            <w:noWrap/>
            <w:vAlign w:val="center"/>
            <w:hideMark/>
          </w:tcPr>
          <w:p w14:paraId="4D3C923F"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GGCTGGAATTGACCGCTAC</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27C34704"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CCTTGTGGGCATTAGGTGATTG</w:t>
            </w:r>
            <w:r w:rsidRPr="0034681A">
              <w:rPr>
                <w:rFonts w:ascii="Microsoft Sans Serif" w:eastAsia="Times New Roman" w:hAnsi="Microsoft Sans Serif" w:cs="Microsoft Sans Serif"/>
                <w:color w:val="000000"/>
                <w:sz w:val="20"/>
                <w:szCs w:val="20"/>
              </w:rPr>
              <w:t xml:space="preserve"> -3'</w:t>
            </w:r>
          </w:p>
        </w:tc>
      </w:tr>
      <w:tr w:rsidR="00667525" w:rsidRPr="0034681A" w14:paraId="2EBC2953" w14:textId="77777777" w:rsidTr="000D4D0C">
        <w:trPr>
          <w:trHeight w:val="345"/>
        </w:trPr>
        <w:tc>
          <w:tcPr>
            <w:tcW w:w="1683" w:type="dxa"/>
            <w:tcBorders>
              <w:top w:val="nil"/>
              <w:left w:val="nil"/>
              <w:bottom w:val="single" w:sz="4" w:space="0" w:color="auto"/>
              <w:right w:val="nil"/>
            </w:tcBorders>
            <w:shd w:val="clear" w:color="auto" w:fill="auto"/>
            <w:noWrap/>
            <w:vAlign w:val="center"/>
            <w:hideMark/>
          </w:tcPr>
          <w:p w14:paraId="482FB2EC"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CD177</w:t>
            </w:r>
          </w:p>
        </w:tc>
        <w:tc>
          <w:tcPr>
            <w:tcW w:w="4050" w:type="dxa"/>
            <w:tcBorders>
              <w:top w:val="nil"/>
              <w:left w:val="nil"/>
              <w:bottom w:val="single" w:sz="4" w:space="0" w:color="auto"/>
              <w:right w:val="nil"/>
            </w:tcBorders>
            <w:shd w:val="clear" w:color="auto" w:fill="auto"/>
            <w:noWrap/>
            <w:vAlign w:val="center"/>
            <w:hideMark/>
          </w:tcPr>
          <w:p w14:paraId="68EFDE20"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CGGCAATGGACCCCTAAGAAC</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55295C06"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CGAGGTTGTTGCAGAAGTC</w:t>
            </w:r>
            <w:r w:rsidRPr="0034681A">
              <w:rPr>
                <w:rFonts w:ascii="Microsoft Sans Serif" w:eastAsia="Times New Roman" w:hAnsi="Microsoft Sans Serif" w:cs="Microsoft Sans Serif"/>
                <w:color w:val="000000"/>
                <w:sz w:val="20"/>
                <w:szCs w:val="20"/>
              </w:rPr>
              <w:t xml:space="preserve"> -3'</w:t>
            </w:r>
          </w:p>
        </w:tc>
      </w:tr>
      <w:tr w:rsidR="00667525" w:rsidRPr="0034681A" w14:paraId="0A2BF880" w14:textId="77777777" w:rsidTr="000D4D0C">
        <w:trPr>
          <w:trHeight w:val="345"/>
        </w:trPr>
        <w:tc>
          <w:tcPr>
            <w:tcW w:w="1683" w:type="dxa"/>
            <w:tcBorders>
              <w:top w:val="nil"/>
              <w:left w:val="nil"/>
              <w:bottom w:val="single" w:sz="4" w:space="0" w:color="auto"/>
              <w:right w:val="nil"/>
            </w:tcBorders>
            <w:shd w:val="clear" w:color="auto" w:fill="auto"/>
            <w:noWrap/>
            <w:vAlign w:val="center"/>
            <w:hideMark/>
          </w:tcPr>
          <w:p w14:paraId="038A1226"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TAGLN</w:t>
            </w:r>
          </w:p>
        </w:tc>
        <w:tc>
          <w:tcPr>
            <w:tcW w:w="4050" w:type="dxa"/>
            <w:tcBorders>
              <w:top w:val="nil"/>
              <w:left w:val="nil"/>
              <w:bottom w:val="single" w:sz="4" w:space="0" w:color="auto"/>
              <w:right w:val="nil"/>
            </w:tcBorders>
            <w:shd w:val="clear" w:color="auto" w:fill="auto"/>
            <w:noWrap/>
            <w:vAlign w:val="center"/>
            <w:hideMark/>
          </w:tcPr>
          <w:p w14:paraId="62E6E9BC"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GTGCAGTCCAAAATCGAGAAG</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4FA1B866"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CTTGCTCAGAATCACGCCA</w:t>
            </w:r>
            <w:r w:rsidRPr="0034681A">
              <w:rPr>
                <w:rFonts w:ascii="Microsoft Sans Serif" w:eastAsia="Times New Roman" w:hAnsi="Microsoft Sans Serif" w:cs="Microsoft Sans Serif"/>
                <w:color w:val="000000"/>
                <w:sz w:val="20"/>
                <w:szCs w:val="20"/>
              </w:rPr>
              <w:t xml:space="preserve"> -3'</w:t>
            </w:r>
          </w:p>
        </w:tc>
      </w:tr>
      <w:tr w:rsidR="00667525" w:rsidRPr="0034681A" w14:paraId="13335ADA" w14:textId="77777777" w:rsidTr="000D4D0C">
        <w:trPr>
          <w:trHeight w:val="345"/>
        </w:trPr>
        <w:tc>
          <w:tcPr>
            <w:tcW w:w="1683" w:type="dxa"/>
            <w:tcBorders>
              <w:top w:val="nil"/>
              <w:left w:val="nil"/>
              <w:bottom w:val="single" w:sz="4" w:space="0" w:color="auto"/>
              <w:right w:val="nil"/>
            </w:tcBorders>
            <w:shd w:val="clear" w:color="auto" w:fill="auto"/>
            <w:noWrap/>
            <w:vAlign w:val="center"/>
            <w:hideMark/>
          </w:tcPr>
          <w:p w14:paraId="53E8F900"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MUC15</w:t>
            </w:r>
          </w:p>
        </w:tc>
        <w:tc>
          <w:tcPr>
            <w:tcW w:w="4050" w:type="dxa"/>
            <w:tcBorders>
              <w:top w:val="nil"/>
              <w:left w:val="nil"/>
              <w:bottom w:val="single" w:sz="4" w:space="0" w:color="auto"/>
              <w:right w:val="nil"/>
            </w:tcBorders>
            <w:shd w:val="clear" w:color="auto" w:fill="auto"/>
            <w:noWrap/>
            <w:vAlign w:val="center"/>
            <w:hideMark/>
          </w:tcPr>
          <w:p w14:paraId="2BA55F2D"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CTCAAATCTCAAGGCGAGTC</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02410397"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CAGGTGTAGCATTGGGATG</w:t>
            </w:r>
            <w:r w:rsidRPr="0034681A">
              <w:rPr>
                <w:rFonts w:ascii="Microsoft Sans Serif" w:eastAsia="Times New Roman" w:hAnsi="Microsoft Sans Serif" w:cs="Microsoft Sans Serif"/>
                <w:color w:val="000000"/>
                <w:sz w:val="20"/>
                <w:szCs w:val="20"/>
              </w:rPr>
              <w:t xml:space="preserve"> -3'</w:t>
            </w:r>
          </w:p>
        </w:tc>
      </w:tr>
      <w:tr w:rsidR="00667525" w:rsidRPr="0034681A" w14:paraId="16D6095A" w14:textId="77777777" w:rsidTr="000D4D0C">
        <w:trPr>
          <w:trHeight w:val="345"/>
        </w:trPr>
        <w:tc>
          <w:tcPr>
            <w:tcW w:w="1683" w:type="dxa"/>
            <w:tcBorders>
              <w:top w:val="nil"/>
              <w:left w:val="nil"/>
              <w:bottom w:val="single" w:sz="4" w:space="0" w:color="auto"/>
              <w:right w:val="nil"/>
            </w:tcBorders>
            <w:shd w:val="clear" w:color="auto" w:fill="auto"/>
            <w:noWrap/>
            <w:vAlign w:val="center"/>
            <w:hideMark/>
          </w:tcPr>
          <w:p w14:paraId="34310A01"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STIM1</w:t>
            </w:r>
          </w:p>
        </w:tc>
        <w:tc>
          <w:tcPr>
            <w:tcW w:w="4050" w:type="dxa"/>
            <w:tcBorders>
              <w:top w:val="nil"/>
              <w:left w:val="nil"/>
              <w:bottom w:val="single" w:sz="4" w:space="0" w:color="auto"/>
              <w:right w:val="nil"/>
            </w:tcBorders>
            <w:shd w:val="clear" w:color="auto" w:fill="auto"/>
            <w:noWrap/>
            <w:vAlign w:val="center"/>
            <w:hideMark/>
          </w:tcPr>
          <w:p w14:paraId="5859AAAB"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GGTGAGGATAAGCTCATCAGC</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02F547F4"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CAGCACAGTCCCTGTCATGG</w:t>
            </w:r>
            <w:r w:rsidRPr="0034681A">
              <w:rPr>
                <w:rFonts w:ascii="Microsoft Sans Serif" w:eastAsia="Times New Roman" w:hAnsi="Microsoft Sans Serif" w:cs="Microsoft Sans Serif"/>
                <w:color w:val="000000"/>
                <w:sz w:val="20"/>
                <w:szCs w:val="20"/>
              </w:rPr>
              <w:t xml:space="preserve"> -3'</w:t>
            </w:r>
          </w:p>
        </w:tc>
      </w:tr>
      <w:tr w:rsidR="00667525" w:rsidRPr="0034681A" w14:paraId="67FBED5C" w14:textId="77777777" w:rsidTr="000D4D0C">
        <w:trPr>
          <w:trHeight w:val="345"/>
        </w:trPr>
        <w:tc>
          <w:tcPr>
            <w:tcW w:w="1683" w:type="dxa"/>
            <w:tcBorders>
              <w:top w:val="nil"/>
              <w:left w:val="nil"/>
              <w:bottom w:val="single" w:sz="4" w:space="0" w:color="auto"/>
              <w:right w:val="nil"/>
            </w:tcBorders>
            <w:shd w:val="clear" w:color="auto" w:fill="auto"/>
            <w:noWrap/>
            <w:vAlign w:val="center"/>
            <w:hideMark/>
          </w:tcPr>
          <w:p w14:paraId="2C316D88"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GNA15</w:t>
            </w:r>
          </w:p>
        </w:tc>
        <w:tc>
          <w:tcPr>
            <w:tcW w:w="4050" w:type="dxa"/>
            <w:tcBorders>
              <w:top w:val="nil"/>
              <w:left w:val="nil"/>
              <w:bottom w:val="single" w:sz="4" w:space="0" w:color="auto"/>
              <w:right w:val="nil"/>
            </w:tcBorders>
            <w:shd w:val="clear" w:color="auto" w:fill="auto"/>
            <w:noWrap/>
            <w:vAlign w:val="center"/>
            <w:hideMark/>
          </w:tcPr>
          <w:p w14:paraId="7F43CED9"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CCAGGACCCCTATAAAGTGACC</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67634FDE"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GCTGAATCGAGCAGGTGG</w:t>
            </w:r>
            <w:r w:rsidRPr="0034681A">
              <w:rPr>
                <w:rFonts w:ascii="Microsoft Sans Serif" w:eastAsia="Times New Roman" w:hAnsi="Microsoft Sans Serif" w:cs="Microsoft Sans Serif"/>
                <w:color w:val="000000"/>
                <w:sz w:val="20"/>
                <w:szCs w:val="20"/>
              </w:rPr>
              <w:t xml:space="preserve"> -3'</w:t>
            </w:r>
          </w:p>
        </w:tc>
      </w:tr>
      <w:tr w:rsidR="00667525" w:rsidRPr="0034681A" w14:paraId="1E0C9604" w14:textId="77777777" w:rsidTr="000D4D0C">
        <w:trPr>
          <w:trHeight w:val="345"/>
        </w:trPr>
        <w:tc>
          <w:tcPr>
            <w:tcW w:w="1683" w:type="dxa"/>
            <w:tcBorders>
              <w:top w:val="nil"/>
              <w:left w:val="nil"/>
              <w:bottom w:val="single" w:sz="4" w:space="0" w:color="auto"/>
              <w:right w:val="nil"/>
            </w:tcBorders>
            <w:shd w:val="clear" w:color="auto" w:fill="auto"/>
            <w:noWrap/>
            <w:vAlign w:val="center"/>
            <w:hideMark/>
          </w:tcPr>
          <w:p w14:paraId="46CDC9F9"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GNAQ</w:t>
            </w:r>
          </w:p>
        </w:tc>
        <w:tc>
          <w:tcPr>
            <w:tcW w:w="4050" w:type="dxa"/>
            <w:tcBorders>
              <w:top w:val="nil"/>
              <w:left w:val="nil"/>
              <w:bottom w:val="single" w:sz="4" w:space="0" w:color="auto"/>
              <w:right w:val="nil"/>
            </w:tcBorders>
            <w:shd w:val="clear" w:color="auto" w:fill="auto"/>
            <w:noWrap/>
            <w:vAlign w:val="center"/>
            <w:hideMark/>
          </w:tcPr>
          <w:p w14:paraId="5FCA3058"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GGGTCAGGATACTCTGATGAAG</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6AAD8678"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GTGCATGAGCCTTATTGTGC</w:t>
            </w:r>
            <w:r w:rsidRPr="0034681A">
              <w:rPr>
                <w:rFonts w:ascii="Microsoft Sans Serif" w:eastAsia="Times New Roman" w:hAnsi="Microsoft Sans Serif" w:cs="Microsoft Sans Serif"/>
                <w:color w:val="000000"/>
                <w:sz w:val="20"/>
                <w:szCs w:val="20"/>
              </w:rPr>
              <w:t xml:space="preserve"> -3'</w:t>
            </w:r>
          </w:p>
        </w:tc>
      </w:tr>
      <w:tr w:rsidR="00667525" w:rsidRPr="0034681A" w14:paraId="2A9DE8D5" w14:textId="77777777" w:rsidTr="000D4D0C">
        <w:trPr>
          <w:trHeight w:val="345"/>
        </w:trPr>
        <w:tc>
          <w:tcPr>
            <w:tcW w:w="1683" w:type="dxa"/>
            <w:tcBorders>
              <w:top w:val="nil"/>
              <w:left w:val="nil"/>
              <w:bottom w:val="single" w:sz="4" w:space="0" w:color="auto"/>
              <w:right w:val="nil"/>
            </w:tcBorders>
            <w:shd w:val="clear" w:color="auto" w:fill="auto"/>
            <w:noWrap/>
            <w:vAlign w:val="center"/>
            <w:hideMark/>
          </w:tcPr>
          <w:p w14:paraId="63E3EAEC"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GNA11</w:t>
            </w:r>
          </w:p>
        </w:tc>
        <w:tc>
          <w:tcPr>
            <w:tcW w:w="4050" w:type="dxa"/>
            <w:tcBorders>
              <w:top w:val="nil"/>
              <w:left w:val="nil"/>
              <w:bottom w:val="single" w:sz="4" w:space="0" w:color="auto"/>
              <w:right w:val="nil"/>
            </w:tcBorders>
            <w:shd w:val="clear" w:color="auto" w:fill="auto"/>
            <w:noWrap/>
            <w:vAlign w:val="center"/>
            <w:hideMark/>
          </w:tcPr>
          <w:p w14:paraId="39B846E9"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GGCTTCACCAAGCTCGTCTAC</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6D85370D"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CACTGACGTACTGATGCTCG</w:t>
            </w:r>
            <w:r w:rsidRPr="0034681A">
              <w:rPr>
                <w:rFonts w:ascii="Microsoft Sans Serif" w:eastAsia="Times New Roman" w:hAnsi="Microsoft Sans Serif" w:cs="Microsoft Sans Serif"/>
                <w:color w:val="000000"/>
                <w:sz w:val="20"/>
                <w:szCs w:val="20"/>
              </w:rPr>
              <w:t xml:space="preserve"> -3'</w:t>
            </w:r>
          </w:p>
        </w:tc>
      </w:tr>
      <w:tr w:rsidR="00667525" w:rsidRPr="0034681A" w14:paraId="22B1034D" w14:textId="77777777" w:rsidTr="000D4D0C">
        <w:trPr>
          <w:trHeight w:val="345"/>
        </w:trPr>
        <w:tc>
          <w:tcPr>
            <w:tcW w:w="1683" w:type="dxa"/>
            <w:tcBorders>
              <w:top w:val="nil"/>
              <w:left w:val="nil"/>
              <w:bottom w:val="single" w:sz="4" w:space="0" w:color="auto"/>
              <w:right w:val="nil"/>
            </w:tcBorders>
            <w:shd w:val="clear" w:color="auto" w:fill="auto"/>
            <w:noWrap/>
            <w:vAlign w:val="center"/>
            <w:hideMark/>
          </w:tcPr>
          <w:p w14:paraId="06F9F7A4"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GNA12</w:t>
            </w:r>
          </w:p>
        </w:tc>
        <w:tc>
          <w:tcPr>
            <w:tcW w:w="4050" w:type="dxa"/>
            <w:tcBorders>
              <w:top w:val="nil"/>
              <w:left w:val="nil"/>
              <w:bottom w:val="single" w:sz="4" w:space="0" w:color="auto"/>
              <w:right w:val="nil"/>
            </w:tcBorders>
            <w:shd w:val="clear" w:color="auto" w:fill="auto"/>
            <w:noWrap/>
            <w:vAlign w:val="center"/>
            <w:hideMark/>
          </w:tcPr>
          <w:p w14:paraId="3E9E1443"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GGAGGGATTCTGGCATCAGG</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517C2555"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CCGATCCGGTCCAAGTTGTC</w:t>
            </w:r>
            <w:r w:rsidRPr="0034681A">
              <w:rPr>
                <w:rFonts w:ascii="Microsoft Sans Serif" w:eastAsia="Times New Roman" w:hAnsi="Microsoft Sans Serif" w:cs="Microsoft Sans Serif"/>
                <w:color w:val="000000"/>
                <w:sz w:val="20"/>
                <w:szCs w:val="20"/>
              </w:rPr>
              <w:t xml:space="preserve"> -3'</w:t>
            </w:r>
          </w:p>
        </w:tc>
      </w:tr>
      <w:tr w:rsidR="00667525" w:rsidRPr="0034681A" w14:paraId="38EAC0E3" w14:textId="77777777" w:rsidTr="000D4D0C">
        <w:trPr>
          <w:trHeight w:val="345"/>
        </w:trPr>
        <w:tc>
          <w:tcPr>
            <w:tcW w:w="1683" w:type="dxa"/>
            <w:tcBorders>
              <w:top w:val="nil"/>
              <w:left w:val="nil"/>
              <w:bottom w:val="single" w:sz="4" w:space="0" w:color="auto"/>
              <w:right w:val="nil"/>
            </w:tcBorders>
            <w:shd w:val="clear" w:color="auto" w:fill="auto"/>
            <w:noWrap/>
            <w:vAlign w:val="center"/>
            <w:hideMark/>
          </w:tcPr>
          <w:p w14:paraId="7BD85724"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GNA13</w:t>
            </w:r>
          </w:p>
        </w:tc>
        <w:tc>
          <w:tcPr>
            <w:tcW w:w="4050" w:type="dxa"/>
            <w:tcBorders>
              <w:top w:val="nil"/>
              <w:left w:val="nil"/>
              <w:bottom w:val="single" w:sz="4" w:space="0" w:color="auto"/>
              <w:right w:val="nil"/>
            </w:tcBorders>
            <w:shd w:val="clear" w:color="auto" w:fill="auto"/>
            <w:noWrap/>
            <w:vAlign w:val="center"/>
            <w:hideMark/>
          </w:tcPr>
          <w:p w14:paraId="35940CCB"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CAGCAACGCAAGTCCAAGG</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0BBBA662"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CCAGCACCCTCATACCTTTG</w:t>
            </w:r>
            <w:r w:rsidRPr="0034681A">
              <w:rPr>
                <w:rFonts w:ascii="Microsoft Sans Serif" w:eastAsia="Times New Roman" w:hAnsi="Microsoft Sans Serif" w:cs="Microsoft Sans Serif"/>
                <w:color w:val="000000"/>
                <w:sz w:val="20"/>
                <w:szCs w:val="20"/>
              </w:rPr>
              <w:t xml:space="preserve"> -3'</w:t>
            </w:r>
          </w:p>
        </w:tc>
      </w:tr>
      <w:tr w:rsidR="00667525" w:rsidRPr="0034681A" w14:paraId="083F6EE3" w14:textId="77777777" w:rsidTr="000D4D0C">
        <w:trPr>
          <w:trHeight w:val="345"/>
        </w:trPr>
        <w:tc>
          <w:tcPr>
            <w:tcW w:w="1683" w:type="dxa"/>
            <w:tcBorders>
              <w:top w:val="nil"/>
              <w:left w:val="nil"/>
              <w:bottom w:val="single" w:sz="4" w:space="0" w:color="auto"/>
              <w:right w:val="nil"/>
            </w:tcBorders>
            <w:shd w:val="clear" w:color="auto" w:fill="auto"/>
            <w:noWrap/>
            <w:vAlign w:val="center"/>
            <w:hideMark/>
          </w:tcPr>
          <w:p w14:paraId="20F6A2A7"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GPR68</w:t>
            </w:r>
          </w:p>
        </w:tc>
        <w:tc>
          <w:tcPr>
            <w:tcW w:w="4050" w:type="dxa"/>
            <w:tcBorders>
              <w:top w:val="nil"/>
              <w:left w:val="nil"/>
              <w:bottom w:val="single" w:sz="4" w:space="0" w:color="auto"/>
              <w:right w:val="nil"/>
            </w:tcBorders>
            <w:shd w:val="clear" w:color="auto" w:fill="auto"/>
            <w:noWrap/>
            <w:vAlign w:val="center"/>
            <w:hideMark/>
          </w:tcPr>
          <w:p w14:paraId="30CAA082"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GTACCATCGACCATACCATCC</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687C6BC6"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GGTAGCCGAAGTAGAGGGAC</w:t>
            </w:r>
            <w:r w:rsidRPr="0034681A">
              <w:rPr>
                <w:rFonts w:ascii="Microsoft Sans Serif" w:eastAsia="Times New Roman" w:hAnsi="Microsoft Sans Serif" w:cs="Microsoft Sans Serif"/>
                <w:color w:val="000000"/>
                <w:sz w:val="20"/>
                <w:szCs w:val="20"/>
              </w:rPr>
              <w:t xml:space="preserve"> -3'</w:t>
            </w:r>
          </w:p>
        </w:tc>
      </w:tr>
      <w:tr w:rsidR="00667525" w:rsidRPr="0034681A" w14:paraId="4F926958" w14:textId="77777777" w:rsidTr="000D4D0C">
        <w:trPr>
          <w:trHeight w:val="345"/>
        </w:trPr>
        <w:tc>
          <w:tcPr>
            <w:tcW w:w="1683" w:type="dxa"/>
            <w:tcBorders>
              <w:top w:val="nil"/>
              <w:left w:val="nil"/>
              <w:bottom w:val="single" w:sz="4" w:space="0" w:color="auto"/>
              <w:right w:val="nil"/>
            </w:tcBorders>
            <w:shd w:val="clear" w:color="auto" w:fill="auto"/>
            <w:noWrap/>
            <w:vAlign w:val="center"/>
            <w:hideMark/>
          </w:tcPr>
          <w:p w14:paraId="048DB9C9"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PTGER1</w:t>
            </w:r>
          </w:p>
        </w:tc>
        <w:tc>
          <w:tcPr>
            <w:tcW w:w="4050" w:type="dxa"/>
            <w:tcBorders>
              <w:top w:val="nil"/>
              <w:left w:val="nil"/>
              <w:bottom w:val="single" w:sz="4" w:space="0" w:color="auto"/>
              <w:right w:val="nil"/>
            </w:tcBorders>
            <w:shd w:val="clear" w:color="auto" w:fill="auto"/>
            <w:noWrap/>
            <w:vAlign w:val="center"/>
            <w:hideMark/>
          </w:tcPr>
          <w:p w14:paraId="4C1CF3CA"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GCTTGTCGGTATCATGGTGG</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0DC166D3"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GAGGCGAAGCAGTTGGC</w:t>
            </w:r>
            <w:r w:rsidRPr="0034681A">
              <w:rPr>
                <w:rFonts w:ascii="Microsoft Sans Serif" w:eastAsia="Times New Roman" w:hAnsi="Microsoft Sans Serif" w:cs="Microsoft Sans Serif"/>
                <w:color w:val="000000"/>
                <w:sz w:val="20"/>
                <w:szCs w:val="20"/>
              </w:rPr>
              <w:t xml:space="preserve"> -3'</w:t>
            </w:r>
          </w:p>
        </w:tc>
      </w:tr>
      <w:tr w:rsidR="00667525" w:rsidRPr="0034681A" w14:paraId="57698B06"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hideMark/>
          </w:tcPr>
          <w:p w14:paraId="3EE033C1"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PTGER2</w:t>
            </w:r>
          </w:p>
        </w:tc>
        <w:tc>
          <w:tcPr>
            <w:tcW w:w="4050" w:type="dxa"/>
            <w:tcBorders>
              <w:top w:val="single" w:sz="4" w:space="0" w:color="auto"/>
              <w:left w:val="nil"/>
              <w:bottom w:val="single" w:sz="4" w:space="0" w:color="auto"/>
              <w:right w:val="nil"/>
            </w:tcBorders>
            <w:shd w:val="clear" w:color="auto" w:fill="auto"/>
            <w:noWrap/>
            <w:vAlign w:val="center"/>
            <w:hideMark/>
          </w:tcPr>
          <w:p w14:paraId="3A2E4456"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CGATGCTCATGCTCTTCGC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hideMark/>
          </w:tcPr>
          <w:p w14:paraId="1C006D30"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GGGAGACTGCATAGATGACAGG</w:t>
            </w:r>
            <w:r w:rsidRPr="0034681A">
              <w:rPr>
                <w:rFonts w:ascii="Microsoft Sans Serif" w:eastAsia="Times New Roman" w:hAnsi="Microsoft Sans Serif" w:cs="Microsoft Sans Serif"/>
                <w:color w:val="000000"/>
                <w:sz w:val="20"/>
                <w:szCs w:val="20"/>
              </w:rPr>
              <w:t xml:space="preserve"> -3'</w:t>
            </w:r>
          </w:p>
        </w:tc>
      </w:tr>
      <w:tr w:rsidR="00667525" w:rsidRPr="0034681A" w14:paraId="19507A50"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tcPr>
          <w:p w14:paraId="0707550D"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PTGER3</w:t>
            </w:r>
          </w:p>
        </w:tc>
        <w:tc>
          <w:tcPr>
            <w:tcW w:w="4050" w:type="dxa"/>
            <w:tcBorders>
              <w:top w:val="single" w:sz="4" w:space="0" w:color="auto"/>
              <w:left w:val="nil"/>
              <w:bottom w:val="single" w:sz="4" w:space="0" w:color="auto"/>
              <w:right w:val="nil"/>
            </w:tcBorders>
            <w:shd w:val="clear" w:color="auto" w:fill="auto"/>
            <w:noWrap/>
            <w:vAlign w:val="center"/>
          </w:tcPr>
          <w:p w14:paraId="3F568E78"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CGCCTCAACCACTCCTACAC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76A454A7"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GACACCGATCCGCAATCCTC</w:t>
            </w:r>
            <w:r w:rsidRPr="0034681A">
              <w:rPr>
                <w:rFonts w:ascii="Microsoft Sans Serif" w:eastAsia="Times New Roman" w:hAnsi="Microsoft Sans Serif" w:cs="Microsoft Sans Serif"/>
                <w:color w:val="000000"/>
                <w:sz w:val="20"/>
                <w:szCs w:val="20"/>
              </w:rPr>
              <w:t xml:space="preserve"> -3'</w:t>
            </w:r>
          </w:p>
        </w:tc>
      </w:tr>
      <w:tr w:rsidR="00667525" w:rsidRPr="0034681A" w14:paraId="34141BB1"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tcPr>
          <w:p w14:paraId="3F711B6A"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MRGPRX1</w:t>
            </w:r>
          </w:p>
        </w:tc>
        <w:tc>
          <w:tcPr>
            <w:tcW w:w="4050" w:type="dxa"/>
            <w:tcBorders>
              <w:top w:val="single" w:sz="4" w:space="0" w:color="auto"/>
              <w:left w:val="nil"/>
              <w:bottom w:val="single" w:sz="4" w:space="0" w:color="auto"/>
              <w:right w:val="nil"/>
            </w:tcBorders>
            <w:shd w:val="clear" w:color="auto" w:fill="auto"/>
            <w:noWrap/>
            <w:vAlign w:val="center"/>
          </w:tcPr>
          <w:p w14:paraId="71358EDE"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CACCAATCAACGGAACTGAGG</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2EB6C0ED"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GCGTTTCCTGTCAGCCC</w:t>
            </w:r>
            <w:r w:rsidRPr="0034681A">
              <w:rPr>
                <w:rFonts w:ascii="Microsoft Sans Serif" w:eastAsia="Times New Roman" w:hAnsi="Microsoft Sans Serif" w:cs="Microsoft Sans Serif"/>
                <w:color w:val="000000"/>
                <w:sz w:val="20"/>
                <w:szCs w:val="20"/>
              </w:rPr>
              <w:t xml:space="preserve"> -3'</w:t>
            </w:r>
          </w:p>
        </w:tc>
      </w:tr>
      <w:tr w:rsidR="00667525" w:rsidRPr="0034681A" w14:paraId="2BF32992"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tcPr>
          <w:p w14:paraId="027715BE"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MRGPRX2</w:t>
            </w:r>
          </w:p>
        </w:tc>
        <w:tc>
          <w:tcPr>
            <w:tcW w:w="4050" w:type="dxa"/>
            <w:tcBorders>
              <w:top w:val="single" w:sz="4" w:space="0" w:color="auto"/>
              <w:left w:val="nil"/>
              <w:bottom w:val="single" w:sz="4" w:space="0" w:color="auto"/>
              <w:right w:val="nil"/>
            </w:tcBorders>
            <w:shd w:val="clear" w:color="auto" w:fill="auto"/>
            <w:noWrap/>
            <w:vAlign w:val="center"/>
          </w:tcPr>
          <w:p w14:paraId="2D89D598"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CGTGGGCTCTTTTAGGAAGC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1BD3EB36"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CCTGACGGAAGCATCCTTCAC</w:t>
            </w:r>
            <w:r w:rsidRPr="0034681A">
              <w:rPr>
                <w:rFonts w:ascii="Microsoft Sans Serif" w:eastAsia="Times New Roman" w:hAnsi="Microsoft Sans Serif" w:cs="Microsoft Sans Serif"/>
                <w:color w:val="000000"/>
                <w:sz w:val="20"/>
                <w:szCs w:val="20"/>
              </w:rPr>
              <w:t xml:space="preserve"> -3'</w:t>
            </w:r>
          </w:p>
        </w:tc>
      </w:tr>
      <w:tr w:rsidR="00667525" w:rsidRPr="0034681A" w14:paraId="386370B6"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tcPr>
          <w:p w14:paraId="2A8E8D4C"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MRGPRX3</w:t>
            </w:r>
          </w:p>
        </w:tc>
        <w:tc>
          <w:tcPr>
            <w:tcW w:w="4050" w:type="dxa"/>
            <w:tcBorders>
              <w:top w:val="single" w:sz="4" w:space="0" w:color="auto"/>
              <w:left w:val="nil"/>
              <w:bottom w:val="single" w:sz="4" w:space="0" w:color="auto"/>
              <w:right w:val="nil"/>
            </w:tcBorders>
            <w:shd w:val="clear" w:color="auto" w:fill="auto"/>
            <w:noWrap/>
            <w:vAlign w:val="center"/>
          </w:tcPr>
          <w:p w14:paraId="39CF6C7C"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CCCAGTCTTGGGTACAGAAC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65819CA6"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GGCCGCTAAGGAAGAGG</w:t>
            </w:r>
            <w:r w:rsidRPr="0034681A">
              <w:rPr>
                <w:rFonts w:ascii="Microsoft Sans Serif" w:eastAsia="Times New Roman" w:hAnsi="Microsoft Sans Serif" w:cs="Microsoft Sans Serif"/>
                <w:color w:val="000000"/>
                <w:sz w:val="20"/>
                <w:szCs w:val="20"/>
              </w:rPr>
              <w:t xml:space="preserve"> -3'</w:t>
            </w:r>
          </w:p>
        </w:tc>
      </w:tr>
      <w:tr w:rsidR="00667525" w:rsidRPr="0034681A" w14:paraId="1D4A34F0"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tcPr>
          <w:p w14:paraId="59E7B8E1"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PLCB1</w:t>
            </w:r>
          </w:p>
        </w:tc>
        <w:tc>
          <w:tcPr>
            <w:tcW w:w="4050" w:type="dxa"/>
            <w:tcBorders>
              <w:top w:val="single" w:sz="4" w:space="0" w:color="auto"/>
              <w:left w:val="nil"/>
              <w:bottom w:val="single" w:sz="4" w:space="0" w:color="auto"/>
              <w:right w:val="nil"/>
            </w:tcBorders>
            <w:shd w:val="clear" w:color="auto" w:fill="auto"/>
            <w:noWrap/>
            <w:vAlign w:val="center"/>
          </w:tcPr>
          <w:p w14:paraId="29AC6383"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GGAAGCGGCAAAAAGAAGCTC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55724EE9"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CGTCGTCGTCACTTTCCG</w:t>
            </w:r>
            <w:r w:rsidRPr="0034681A">
              <w:rPr>
                <w:rFonts w:ascii="Microsoft Sans Serif" w:eastAsia="Times New Roman" w:hAnsi="Microsoft Sans Serif" w:cs="Microsoft Sans Serif"/>
                <w:color w:val="000000"/>
                <w:sz w:val="20"/>
                <w:szCs w:val="20"/>
              </w:rPr>
              <w:t xml:space="preserve"> -3'</w:t>
            </w:r>
          </w:p>
        </w:tc>
      </w:tr>
      <w:tr w:rsidR="00667525" w:rsidRPr="0034681A" w14:paraId="2BC4CB30"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tcPr>
          <w:p w14:paraId="42DD8B11"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PLCB2</w:t>
            </w:r>
          </w:p>
        </w:tc>
        <w:tc>
          <w:tcPr>
            <w:tcW w:w="4050" w:type="dxa"/>
            <w:tcBorders>
              <w:top w:val="single" w:sz="4" w:space="0" w:color="auto"/>
              <w:left w:val="nil"/>
              <w:bottom w:val="single" w:sz="4" w:space="0" w:color="auto"/>
              <w:right w:val="nil"/>
            </w:tcBorders>
            <w:shd w:val="clear" w:color="auto" w:fill="auto"/>
            <w:noWrap/>
            <w:vAlign w:val="center"/>
          </w:tcPr>
          <w:p w14:paraId="482CE7A3"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CCGGGATACTCGCTTTGG</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7DBF3798"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CACCACCGTGAGTGTCTTCAG</w:t>
            </w:r>
            <w:r w:rsidRPr="0034681A">
              <w:rPr>
                <w:rFonts w:ascii="Microsoft Sans Serif" w:eastAsia="Times New Roman" w:hAnsi="Microsoft Sans Serif" w:cs="Microsoft Sans Serif"/>
                <w:color w:val="000000"/>
                <w:sz w:val="20"/>
                <w:szCs w:val="20"/>
              </w:rPr>
              <w:t xml:space="preserve"> -3'</w:t>
            </w:r>
          </w:p>
        </w:tc>
      </w:tr>
      <w:tr w:rsidR="00667525" w:rsidRPr="0034681A" w14:paraId="3132EB0B"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tcPr>
          <w:p w14:paraId="37B3CBC7"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PTGS2</w:t>
            </w:r>
          </w:p>
        </w:tc>
        <w:tc>
          <w:tcPr>
            <w:tcW w:w="4050" w:type="dxa"/>
            <w:tcBorders>
              <w:top w:val="single" w:sz="4" w:space="0" w:color="auto"/>
              <w:left w:val="nil"/>
              <w:bottom w:val="single" w:sz="4" w:space="0" w:color="auto"/>
              <w:right w:val="nil"/>
            </w:tcBorders>
            <w:shd w:val="clear" w:color="auto" w:fill="auto"/>
            <w:noWrap/>
            <w:vAlign w:val="center"/>
          </w:tcPr>
          <w:p w14:paraId="079D54E2"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GTGCGATTGTACCCGGAC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39CE0F6F"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GTAGCCATAGTCAGCATTG</w:t>
            </w:r>
            <w:r w:rsidRPr="0034681A">
              <w:rPr>
                <w:rFonts w:ascii="Microsoft Sans Serif" w:eastAsia="Times New Roman" w:hAnsi="Microsoft Sans Serif" w:cs="Microsoft Sans Serif"/>
                <w:color w:val="000000"/>
                <w:sz w:val="20"/>
                <w:szCs w:val="20"/>
              </w:rPr>
              <w:t xml:space="preserve"> -3'</w:t>
            </w:r>
          </w:p>
        </w:tc>
      </w:tr>
      <w:tr w:rsidR="00667525" w:rsidRPr="0034681A" w14:paraId="46D530B1"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tcPr>
          <w:p w14:paraId="096FD70C"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TRPC3</w:t>
            </w:r>
          </w:p>
        </w:tc>
        <w:tc>
          <w:tcPr>
            <w:tcW w:w="4050" w:type="dxa"/>
            <w:tcBorders>
              <w:top w:val="single" w:sz="4" w:space="0" w:color="auto"/>
              <w:left w:val="nil"/>
              <w:bottom w:val="single" w:sz="4" w:space="0" w:color="auto"/>
              <w:right w:val="nil"/>
            </w:tcBorders>
            <w:shd w:val="clear" w:color="auto" w:fill="auto"/>
            <w:noWrap/>
            <w:vAlign w:val="center"/>
          </w:tcPr>
          <w:p w14:paraId="229996DE"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CCCTGAGACGCATGACAGTG</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793D7C44"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CACGCAGTTGACGTTCAGC</w:t>
            </w:r>
            <w:r w:rsidRPr="0034681A">
              <w:rPr>
                <w:rFonts w:ascii="Microsoft Sans Serif" w:eastAsia="Times New Roman" w:hAnsi="Microsoft Sans Serif" w:cs="Microsoft Sans Serif"/>
                <w:color w:val="000000"/>
                <w:sz w:val="20"/>
                <w:szCs w:val="20"/>
              </w:rPr>
              <w:t xml:space="preserve"> -3'</w:t>
            </w:r>
          </w:p>
        </w:tc>
      </w:tr>
      <w:tr w:rsidR="00667525" w:rsidRPr="0034681A" w14:paraId="5888FEB3"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tcPr>
          <w:p w14:paraId="7BB9D708"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CLIC2</w:t>
            </w:r>
          </w:p>
        </w:tc>
        <w:tc>
          <w:tcPr>
            <w:tcW w:w="4050" w:type="dxa"/>
            <w:tcBorders>
              <w:top w:val="single" w:sz="4" w:space="0" w:color="auto"/>
              <w:left w:val="nil"/>
              <w:bottom w:val="single" w:sz="4" w:space="0" w:color="auto"/>
              <w:right w:val="nil"/>
            </w:tcBorders>
            <w:shd w:val="clear" w:color="auto" w:fill="auto"/>
            <w:noWrap/>
            <w:vAlign w:val="center"/>
          </w:tcPr>
          <w:p w14:paraId="237B3ADB"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CTGTCCCTTTTGCCAACGC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498D9B3B"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GGGGCTAAGTCCTTTAGTTCTTC</w:t>
            </w:r>
            <w:r w:rsidRPr="0034681A">
              <w:rPr>
                <w:rFonts w:ascii="Microsoft Sans Serif" w:eastAsia="Times New Roman" w:hAnsi="Microsoft Sans Serif" w:cs="Microsoft Sans Serif"/>
                <w:color w:val="000000"/>
                <w:sz w:val="20"/>
                <w:szCs w:val="20"/>
              </w:rPr>
              <w:t xml:space="preserve"> -3'</w:t>
            </w:r>
          </w:p>
        </w:tc>
      </w:tr>
      <w:tr w:rsidR="00667525" w:rsidRPr="0034681A" w14:paraId="37D80719"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tcPr>
          <w:p w14:paraId="1A9FF1D2"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CLIC3</w:t>
            </w:r>
          </w:p>
        </w:tc>
        <w:tc>
          <w:tcPr>
            <w:tcW w:w="4050" w:type="dxa"/>
            <w:tcBorders>
              <w:top w:val="single" w:sz="4" w:space="0" w:color="auto"/>
              <w:left w:val="nil"/>
              <w:bottom w:val="single" w:sz="4" w:space="0" w:color="auto"/>
              <w:right w:val="nil"/>
            </w:tcBorders>
            <w:shd w:val="clear" w:color="auto" w:fill="auto"/>
            <w:noWrap/>
            <w:vAlign w:val="center"/>
          </w:tcPr>
          <w:p w14:paraId="050CC222"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CCTCAAGGGCGTACCTTTCAC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558058B5"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GTCGCTGTCATAGAGCAGG</w:t>
            </w:r>
            <w:r w:rsidRPr="0034681A">
              <w:rPr>
                <w:rFonts w:ascii="Microsoft Sans Serif" w:eastAsia="Times New Roman" w:hAnsi="Microsoft Sans Serif" w:cs="Microsoft Sans Serif"/>
                <w:color w:val="000000"/>
                <w:sz w:val="20"/>
                <w:szCs w:val="20"/>
              </w:rPr>
              <w:t xml:space="preserve"> -3'</w:t>
            </w:r>
          </w:p>
        </w:tc>
      </w:tr>
      <w:tr w:rsidR="00667525" w:rsidRPr="0034681A" w14:paraId="472626C5"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tcPr>
          <w:p w14:paraId="759520C5"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CLIC5</w:t>
            </w:r>
          </w:p>
        </w:tc>
        <w:tc>
          <w:tcPr>
            <w:tcW w:w="4050" w:type="dxa"/>
            <w:tcBorders>
              <w:top w:val="single" w:sz="4" w:space="0" w:color="auto"/>
              <w:left w:val="nil"/>
              <w:bottom w:val="single" w:sz="4" w:space="0" w:color="auto"/>
              <w:right w:val="nil"/>
            </w:tcBorders>
            <w:shd w:val="clear" w:color="auto" w:fill="auto"/>
            <w:noWrap/>
            <w:vAlign w:val="center"/>
          </w:tcPr>
          <w:p w14:paraId="75172BD6"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GGAGAAAGCATCGGCAACTG</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14F99DC4"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GTGACATTGAACACGACTCC</w:t>
            </w:r>
            <w:r w:rsidRPr="0034681A">
              <w:rPr>
                <w:rFonts w:ascii="Microsoft Sans Serif" w:eastAsia="Times New Roman" w:hAnsi="Microsoft Sans Serif" w:cs="Microsoft Sans Serif"/>
                <w:color w:val="000000"/>
                <w:sz w:val="20"/>
                <w:szCs w:val="20"/>
              </w:rPr>
              <w:t xml:space="preserve"> -3'</w:t>
            </w:r>
          </w:p>
        </w:tc>
      </w:tr>
      <w:tr w:rsidR="00667525" w:rsidRPr="0034681A" w14:paraId="7D506C5C"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tcPr>
          <w:p w14:paraId="1DAA20BF"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CLIC6</w:t>
            </w:r>
          </w:p>
        </w:tc>
        <w:tc>
          <w:tcPr>
            <w:tcW w:w="4050" w:type="dxa"/>
            <w:tcBorders>
              <w:top w:val="single" w:sz="4" w:space="0" w:color="auto"/>
              <w:left w:val="nil"/>
              <w:bottom w:val="single" w:sz="4" w:space="0" w:color="auto"/>
              <w:right w:val="nil"/>
            </w:tcBorders>
            <w:shd w:val="clear" w:color="auto" w:fill="auto"/>
            <w:noWrap/>
            <w:vAlign w:val="center"/>
          </w:tcPr>
          <w:p w14:paraId="22B6F650"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GGGACCCAACATCCCGAATC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60141402"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CAGGCAGAGGGCTATTTAAG</w:t>
            </w:r>
            <w:r w:rsidRPr="0034681A">
              <w:rPr>
                <w:rFonts w:ascii="Microsoft Sans Serif" w:eastAsia="Times New Roman" w:hAnsi="Microsoft Sans Serif" w:cs="Microsoft Sans Serif"/>
                <w:color w:val="000000"/>
                <w:sz w:val="20"/>
                <w:szCs w:val="20"/>
              </w:rPr>
              <w:t xml:space="preserve"> -3'</w:t>
            </w:r>
          </w:p>
        </w:tc>
      </w:tr>
      <w:tr w:rsidR="00667525" w:rsidRPr="0034681A" w14:paraId="781CAAB6"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tcPr>
          <w:p w14:paraId="115A0B3F"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SCN9A</w:t>
            </w:r>
          </w:p>
        </w:tc>
        <w:tc>
          <w:tcPr>
            <w:tcW w:w="4050" w:type="dxa"/>
            <w:tcBorders>
              <w:top w:val="single" w:sz="4" w:space="0" w:color="auto"/>
              <w:left w:val="nil"/>
              <w:bottom w:val="single" w:sz="4" w:space="0" w:color="auto"/>
              <w:right w:val="nil"/>
            </w:tcBorders>
            <w:shd w:val="clear" w:color="auto" w:fill="auto"/>
            <w:noWrap/>
            <w:vAlign w:val="center"/>
          </w:tcPr>
          <w:p w14:paraId="466E333F"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CCTCAGAGCTTTGTCCATTTC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0CB0DD0B"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GTCTGCATAGTAGGGGTCC</w:t>
            </w:r>
            <w:r w:rsidRPr="0034681A">
              <w:rPr>
                <w:rFonts w:ascii="Microsoft Sans Serif" w:eastAsia="Times New Roman" w:hAnsi="Microsoft Sans Serif" w:cs="Microsoft Sans Serif"/>
                <w:color w:val="000000"/>
                <w:sz w:val="20"/>
                <w:szCs w:val="20"/>
              </w:rPr>
              <w:t xml:space="preserve"> -3'</w:t>
            </w:r>
          </w:p>
        </w:tc>
      </w:tr>
      <w:tr w:rsidR="00667525" w:rsidRPr="0034681A" w14:paraId="71D30CF1"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tcPr>
          <w:p w14:paraId="7ECDFF66"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KCNK9</w:t>
            </w:r>
          </w:p>
        </w:tc>
        <w:tc>
          <w:tcPr>
            <w:tcW w:w="4050" w:type="dxa"/>
            <w:tcBorders>
              <w:top w:val="single" w:sz="4" w:space="0" w:color="auto"/>
              <w:left w:val="nil"/>
              <w:bottom w:val="single" w:sz="4" w:space="0" w:color="auto"/>
              <w:right w:val="nil"/>
            </w:tcBorders>
            <w:shd w:val="clear" w:color="auto" w:fill="auto"/>
            <w:noWrap/>
            <w:vAlign w:val="center"/>
          </w:tcPr>
          <w:p w14:paraId="3FCBF2DA"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CAGCAGCGAGGACTACC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0E306659"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CGGCGAATTTCCACTGGAC</w:t>
            </w:r>
            <w:r w:rsidRPr="0034681A">
              <w:rPr>
                <w:rFonts w:ascii="Microsoft Sans Serif" w:eastAsia="Times New Roman" w:hAnsi="Microsoft Sans Serif" w:cs="Microsoft Sans Serif"/>
                <w:color w:val="000000"/>
                <w:sz w:val="20"/>
                <w:szCs w:val="20"/>
              </w:rPr>
              <w:t xml:space="preserve"> -3'</w:t>
            </w:r>
          </w:p>
        </w:tc>
      </w:tr>
      <w:tr w:rsidR="00667525" w:rsidRPr="0034681A" w14:paraId="72CB7514"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tcPr>
          <w:p w14:paraId="48A464A0"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KCNK4</w:t>
            </w:r>
          </w:p>
        </w:tc>
        <w:tc>
          <w:tcPr>
            <w:tcW w:w="4050" w:type="dxa"/>
            <w:tcBorders>
              <w:top w:val="single" w:sz="4" w:space="0" w:color="auto"/>
              <w:left w:val="nil"/>
              <w:bottom w:val="single" w:sz="4" w:space="0" w:color="auto"/>
              <w:right w:val="nil"/>
            </w:tcBorders>
            <w:shd w:val="clear" w:color="auto" w:fill="auto"/>
            <w:noWrap/>
            <w:vAlign w:val="center"/>
          </w:tcPr>
          <w:p w14:paraId="65B51754"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CTGCTGCGTCTCTACCTGG</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6F4CDD1C"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GGGTGCGTGTTCATGTAAAG</w:t>
            </w:r>
            <w:r w:rsidRPr="0034681A">
              <w:rPr>
                <w:rFonts w:ascii="Microsoft Sans Serif" w:eastAsia="Times New Roman" w:hAnsi="Microsoft Sans Serif" w:cs="Microsoft Sans Serif"/>
                <w:color w:val="000000"/>
                <w:sz w:val="20"/>
                <w:szCs w:val="20"/>
              </w:rPr>
              <w:t xml:space="preserve"> -3'</w:t>
            </w:r>
          </w:p>
        </w:tc>
      </w:tr>
      <w:tr w:rsidR="00667525" w:rsidRPr="0034681A" w14:paraId="17E3CE40"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tcPr>
          <w:p w14:paraId="02576E7D"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lastRenderedPageBreak/>
              <w:t>PRKCA</w:t>
            </w:r>
          </w:p>
        </w:tc>
        <w:tc>
          <w:tcPr>
            <w:tcW w:w="4050" w:type="dxa"/>
            <w:tcBorders>
              <w:top w:val="single" w:sz="4" w:space="0" w:color="auto"/>
              <w:left w:val="nil"/>
              <w:bottom w:val="single" w:sz="4" w:space="0" w:color="auto"/>
              <w:right w:val="nil"/>
            </w:tcBorders>
            <w:shd w:val="clear" w:color="auto" w:fill="auto"/>
            <w:noWrap/>
            <w:vAlign w:val="center"/>
          </w:tcPr>
          <w:p w14:paraId="6F366C60"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GTCCACAAGAGGTGCCATG</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15E89D36"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 xml:space="preserve">GGTGGGGCTTCCGTAAG </w:t>
            </w:r>
            <w:r w:rsidRPr="0034681A">
              <w:rPr>
                <w:rFonts w:ascii="Microsoft Sans Serif" w:eastAsia="Times New Roman" w:hAnsi="Microsoft Sans Serif" w:cs="Microsoft Sans Serif"/>
                <w:color w:val="000000"/>
                <w:sz w:val="20"/>
                <w:szCs w:val="20"/>
              </w:rPr>
              <w:t>-3'</w:t>
            </w:r>
          </w:p>
        </w:tc>
      </w:tr>
      <w:tr w:rsidR="00667525" w:rsidRPr="0034681A" w14:paraId="15A87F83"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tcPr>
          <w:p w14:paraId="196C387B"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PKCB1</w:t>
            </w:r>
          </w:p>
        </w:tc>
        <w:tc>
          <w:tcPr>
            <w:tcW w:w="4050" w:type="dxa"/>
            <w:tcBorders>
              <w:top w:val="single" w:sz="4" w:space="0" w:color="auto"/>
              <w:left w:val="nil"/>
              <w:bottom w:val="single" w:sz="4" w:space="0" w:color="auto"/>
              <w:right w:val="nil"/>
            </w:tcBorders>
            <w:shd w:val="clear" w:color="auto" w:fill="auto"/>
            <w:noWrap/>
            <w:vAlign w:val="center"/>
          </w:tcPr>
          <w:p w14:paraId="67BF883E"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GCCTCGCCAGAAAAGGAC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39DAB041"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CATCTCAACAGAGGAGTTTCCAG</w:t>
            </w:r>
            <w:r w:rsidRPr="0034681A">
              <w:rPr>
                <w:rFonts w:ascii="Microsoft Sans Serif" w:eastAsia="Times New Roman" w:hAnsi="Microsoft Sans Serif" w:cs="Microsoft Sans Serif"/>
                <w:color w:val="000000"/>
                <w:sz w:val="20"/>
                <w:szCs w:val="20"/>
              </w:rPr>
              <w:t xml:space="preserve"> -3'</w:t>
            </w:r>
          </w:p>
        </w:tc>
      </w:tr>
      <w:tr w:rsidR="00667525" w:rsidRPr="0034681A" w14:paraId="6754433B"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tcPr>
          <w:p w14:paraId="7C308C85"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222087">
              <w:rPr>
                <w:rFonts w:ascii="Microsoft Sans Serif" w:eastAsia="Times New Roman" w:hAnsi="Microsoft Sans Serif" w:cs="Microsoft Sans Serif"/>
                <w:color w:val="000000"/>
                <w:sz w:val="20"/>
                <w:szCs w:val="20"/>
              </w:rPr>
              <w:t>PRKCB</w:t>
            </w:r>
          </w:p>
        </w:tc>
        <w:tc>
          <w:tcPr>
            <w:tcW w:w="4050" w:type="dxa"/>
            <w:tcBorders>
              <w:top w:val="single" w:sz="4" w:space="0" w:color="auto"/>
              <w:left w:val="nil"/>
              <w:bottom w:val="single" w:sz="4" w:space="0" w:color="auto"/>
              <w:right w:val="nil"/>
            </w:tcBorders>
            <w:shd w:val="clear" w:color="auto" w:fill="auto"/>
            <w:noWrap/>
            <w:vAlign w:val="center"/>
          </w:tcPr>
          <w:p w14:paraId="6D8BB28A"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GGATTGGGATTTGACCAGCAG</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234D4B73"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GGCACAGGCACATTGAAG</w:t>
            </w:r>
            <w:r w:rsidRPr="0034681A">
              <w:rPr>
                <w:rFonts w:ascii="Microsoft Sans Serif" w:eastAsia="Times New Roman" w:hAnsi="Microsoft Sans Serif" w:cs="Microsoft Sans Serif"/>
                <w:color w:val="000000"/>
                <w:sz w:val="20"/>
                <w:szCs w:val="20"/>
              </w:rPr>
              <w:t xml:space="preserve"> -3'</w:t>
            </w:r>
          </w:p>
        </w:tc>
      </w:tr>
      <w:tr w:rsidR="00667525" w:rsidRPr="0034681A" w14:paraId="1B35C816" w14:textId="77777777" w:rsidTr="000D4D0C">
        <w:trPr>
          <w:trHeight w:val="345"/>
        </w:trPr>
        <w:tc>
          <w:tcPr>
            <w:tcW w:w="1683" w:type="dxa"/>
            <w:tcBorders>
              <w:top w:val="single" w:sz="4" w:space="0" w:color="auto"/>
              <w:left w:val="nil"/>
              <w:bottom w:val="single" w:sz="4" w:space="0" w:color="auto"/>
              <w:right w:val="nil"/>
            </w:tcBorders>
            <w:shd w:val="clear" w:color="auto" w:fill="auto"/>
            <w:noWrap/>
            <w:vAlign w:val="center"/>
          </w:tcPr>
          <w:p w14:paraId="26A42113"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ITPR3</w:t>
            </w:r>
          </w:p>
        </w:tc>
        <w:tc>
          <w:tcPr>
            <w:tcW w:w="4050" w:type="dxa"/>
            <w:tcBorders>
              <w:top w:val="single" w:sz="4" w:space="0" w:color="auto"/>
              <w:left w:val="nil"/>
              <w:bottom w:val="single" w:sz="4" w:space="0" w:color="auto"/>
              <w:right w:val="nil"/>
            </w:tcBorders>
            <w:shd w:val="clear" w:color="auto" w:fill="auto"/>
            <w:noWrap/>
            <w:vAlign w:val="center"/>
          </w:tcPr>
          <w:p w14:paraId="0195AC4C"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CCAAGCAGACTAAGCAGGAC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65FFA3A4" w14:textId="77777777" w:rsidR="00667525" w:rsidRPr="0034681A" w:rsidRDefault="00667525" w:rsidP="000D4D0C">
            <w:pPr>
              <w:keepNext/>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CACTGCCATACTTCACGAC</w:t>
            </w:r>
            <w:r w:rsidRPr="0034681A">
              <w:rPr>
                <w:rFonts w:ascii="Microsoft Sans Serif" w:eastAsia="Times New Roman" w:hAnsi="Microsoft Sans Serif" w:cs="Microsoft Sans Serif"/>
                <w:color w:val="000000"/>
                <w:sz w:val="20"/>
                <w:szCs w:val="20"/>
              </w:rPr>
              <w:t xml:space="preserve"> -3'</w:t>
            </w:r>
          </w:p>
        </w:tc>
      </w:tr>
    </w:tbl>
    <w:p w14:paraId="7949BC72" w14:textId="77777777" w:rsidR="00667525" w:rsidRDefault="00667525" w:rsidP="00667525">
      <w:pPr>
        <w:spacing w:line="360" w:lineRule="auto"/>
        <w:rPr>
          <w:rFonts w:ascii="Microsoft Sans Serif" w:hAnsi="Microsoft Sans Serif" w:cs="Microsoft Sans Serif"/>
        </w:rPr>
      </w:pPr>
    </w:p>
    <w:p w14:paraId="1CCF540F" w14:textId="77777777" w:rsidR="00667525" w:rsidRDefault="00667525" w:rsidP="00667525">
      <w:pPr>
        <w:spacing w:line="240" w:lineRule="auto"/>
        <w:rPr>
          <w:rFonts w:ascii="Times New Roman" w:hAnsi="Times New Roman" w:cs="Times New Roman"/>
          <w:b/>
          <w:bCs/>
          <w:iCs/>
        </w:rPr>
        <w:sectPr w:rsidR="00667525" w:rsidSect="00667525">
          <w:pgSz w:w="12240" w:h="15840"/>
          <w:pgMar w:top="1440" w:right="1440" w:bottom="1440" w:left="1440" w:header="720" w:footer="720" w:gutter="0"/>
          <w:lnNumType w:countBy="1" w:restart="continuous"/>
          <w:cols w:space="720"/>
          <w:docGrid w:linePitch="360"/>
        </w:sectPr>
      </w:pPr>
    </w:p>
    <w:p w14:paraId="58D873A0" w14:textId="77777777" w:rsidR="00667525" w:rsidRPr="00723238" w:rsidRDefault="00667525" w:rsidP="00667525">
      <w:pPr>
        <w:pStyle w:val="Caption"/>
        <w:keepNext/>
        <w:rPr>
          <w:rFonts w:ascii="Arial" w:hAnsi="Arial" w:cs="Arial"/>
          <w:b/>
          <w:i w:val="0"/>
          <w:color w:val="000000" w:themeColor="text1"/>
          <w:sz w:val="20"/>
        </w:rPr>
      </w:pPr>
      <w:r w:rsidRPr="00723238">
        <w:rPr>
          <w:rFonts w:ascii="Arial" w:hAnsi="Arial" w:cs="Arial"/>
          <w:b/>
          <w:i w:val="0"/>
          <w:color w:val="000000" w:themeColor="text1"/>
          <w:sz w:val="20"/>
        </w:rPr>
        <w:lastRenderedPageBreak/>
        <w:t>Supplementary Table</w:t>
      </w:r>
      <w:r>
        <w:rPr>
          <w:rFonts w:ascii="Arial" w:hAnsi="Arial" w:cs="Arial"/>
          <w:b/>
          <w:i w:val="0"/>
          <w:color w:val="000000" w:themeColor="text1"/>
          <w:sz w:val="20"/>
        </w:rPr>
        <w:t xml:space="preserve"> 2</w:t>
      </w:r>
      <w:r w:rsidRPr="00723238">
        <w:rPr>
          <w:rFonts w:ascii="Arial" w:hAnsi="Arial" w:cs="Arial"/>
          <w:b/>
          <w:i w:val="0"/>
          <w:color w:val="000000" w:themeColor="text1"/>
          <w:sz w:val="20"/>
        </w:rPr>
        <w:t xml:space="preserve"> </w:t>
      </w:r>
      <w:r w:rsidRPr="00723238">
        <w:rPr>
          <w:rFonts w:ascii="Arial" w:hAnsi="Arial" w:cs="Arial"/>
          <w:b/>
          <w:bCs/>
          <w:i w:val="0"/>
          <w:iCs w:val="0"/>
          <w:noProof/>
          <w:color w:val="auto"/>
          <w:sz w:val="20"/>
          <w:szCs w:val="20"/>
        </w:rPr>
        <w:t xml:space="preserve">| </w:t>
      </w:r>
      <w:r>
        <w:rPr>
          <w:rFonts w:ascii="Arial" w:hAnsi="Arial" w:cs="Arial"/>
          <w:b/>
          <w:i w:val="0"/>
          <w:color w:val="000000" w:themeColor="text1"/>
          <w:sz w:val="20"/>
        </w:rPr>
        <w:t>Antibodies and Working Concentrations</w:t>
      </w:r>
    </w:p>
    <w:tbl>
      <w:tblPr>
        <w:tblpPr w:leftFromText="180" w:rightFromText="180" w:vertAnchor="text" w:horzAnchor="margin" w:tblpXSpec="center" w:tblpY="160"/>
        <w:tblW w:w="9000" w:type="dxa"/>
        <w:tblLook w:val="04A0" w:firstRow="1" w:lastRow="0" w:firstColumn="1" w:lastColumn="0" w:noHBand="0" w:noVBand="1"/>
      </w:tblPr>
      <w:tblGrid>
        <w:gridCol w:w="2520"/>
        <w:gridCol w:w="3600"/>
        <w:gridCol w:w="2880"/>
      </w:tblGrid>
      <w:tr w:rsidR="00667525" w:rsidRPr="0034681A" w14:paraId="2961D3F4" w14:textId="77777777" w:rsidTr="000D4D0C">
        <w:trPr>
          <w:trHeight w:val="315"/>
        </w:trPr>
        <w:tc>
          <w:tcPr>
            <w:tcW w:w="2520" w:type="dxa"/>
            <w:tcBorders>
              <w:top w:val="nil"/>
              <w:left w:val="nil"/>
              <w:bottom w:val="single" w:sz="4" w:space="0" w:color="auto"/>
              <w:right w:val="nil"/>
            </w:tcBorders>
            <w:shd w:val="clear" w:color="auto" w:fill="auto"/>
            <w:noWrap/>
            <w:vAlign w:val="center"/>
            <w:hideMark/>
          </w:tcPr>
          <w:p w14:paraId="02D8B977" w14:textId="77777777" w:rsidR="00667525" w:rsidRPr="0034681A" w:rsidRDefault="00667525" w:rsidP="000D4D0C">
            <w:pPr>
              <w:spacing w:before="60" w:after="60"/>
              <w:rPr>
                <w:rFonts w:ascii="Microsoft Sans Serif" w:eastAsia="Times New Roman" w:hAnsi="Microsoft Sans Serif" w:cs="Microsoft Sans Serif"/>
                <w:b/>
                <w:bCs/>
                <w:color w:val="000000"/>
                <w:sz w:val="20"/>
                <w:szCs w:val="20"/>
              </w:rPr>
            </w:pPr>
            <w:r>
              <w:rPr>
                <w:rFonts w:ascii="Microsoft Sans Serif" w:eastAsia="Times New Roman" w:hAnsi="Microsoft Sans Serif" w:cs="Microsoft Sans Serif"/>
                <w:b/>
                <w:bCs/>
                <w:color w:val="000000"/>
                <w:sz w:val="20"/>
                <w:szCs w:val="20"/>
              </w:rPr>
              <w:t>Antibody</w:t>
            </w:r>
          </w:p>
        </w:tc>
        <w:tc>
          <w:tcPr>
            <w:tcW w:w="3600" w:type="dxa"/>
            <w:tcBorders>
              <w:top w:val="nil"/>
              <w:left w:val="nil"/>
              <w:bottom w:val="single" w:sz="4" w:space="0" w:color="auto"/>
              <w:right w:val="nil"/>
            </w:tcBorders>
            <w:shd w:val="clear" w:color="auto" w:fill="auto"/>
            <w:noWrap/>
            <w:vAlign w:val="center"/>
            <w:hideMark/>
          </w:tcPr>
          <w:p w14:paraId="4F4FB2C4" w14:textId="77777777" w:rsidR="00667525" w:rsidRPr="0034681A" w:rsidRDefault="00667525" w:rsidP="000D4D0C">
            <w:pPr>
              <w:spacing w:before="60" w:after="60"/>
              <w:rPr>
                <w:rFonts w:ascii="Microsoft Sans Serif" w:eastAsia="Times New Roman" w:hAnsi="Microsoft Sans Serif" w:cs="Microsoft Sans Serif"/>
                <w:b/>
                <w:bCs/>
                <w:color w:val="000000"/>
                <w:sz w:val="20"/>
                <w:szCs w:val="20"/>
              </w:rPr>
            </w:pPr>
            <w:r>
              <w:rPr>
                <w:rFonts w:ascii="Microsoft Sans Serif" w:eastAsia="Times New Roman" w:hAnsi="Microsoft Sans Serif" w:cs="Microsoft Sans Serif"/>
                <w:b/>
                <w:bCs/>
                <w:color w:val="000000"/>
                <w:sz w:val="20"/>
                <w:szCs w:val="20"/>
              </w:rPr>
              <w:t>Concentration</w:t>
            </w:r>
          </w:p>
        </w:tc>
        <w:tc>
          <w:tcPr>
            <w:tcW w:w="2880" w:type="dxa"/>
            <w:tcBorders>
              <w:top w:val="nil"/>
              <w:left w:val="nil"/>
              <w:bottom w:val="single" w:sz="4" w:space="0" w:color="auto"/>
              <w:right w:val="nil"/>
            </w:tcBorders>
            <w:shd w:val="clear" w:color="auto" w:fill="auto"/>
            <w:noWrap/>
            <w:vAlign w:val="center"/>
            <w:hideMark/>
          </w:tcPr>
          <w:p w14:paraId="3F89ED4F" w14:textId="77777777" w:rsidR="00667525" w:rsidRPr="0034681A" w:rsidRDefault="00667525" w:rsidP="000D4D0C">
            <w:pPr>
              <w:spacing w:before="60" w:after="60"/>
              <w:rPr>
                <w:rFonts w:ascii="Microsoft Sans Serif" w:eastAsia="Times New Roman" w:hAnsi="Microsoft Sans Serif" w:cs="Microsoft Sans Serif"/>
                <w:b/>
                <w:bCs/>
                <w:color w:val="000000"/>
                <w:sz w:val="20"/>
                <w:szCs w:val="20"/>
              </w:rPr>
            </w:pPr>
            <w:r>
              <w:rPr>
                <w:rFonts w:ascii="Microsoft Sans Serif" w:eastAsia="Times New Roman" w:hAnsi="Microsoft Sans Serif" w:cs="Microsoft Sans Serif"/>
                <w:b/>
                <w:bCs/>
                <w:color w:val="000000"/>
                <w:sz w:val="20"/>
                <w:szCs w:val="20"/>
              </w:rPr>
              <w:t>Supplier</w:t>
            </w:r>
          </w:p>
        </w:tc>
      </w:tr>
      <w:tr w:rsidR="00667525" w:rsidRPr="0034681A" w14:paraId="40D54EBA" w14:textId="77777777" w:rsidTr="000D4D0C">
        <w:trPr>
          <w:trHeight w:val="345"/>
        </w:trPr>
        <w:tc>
          <w:tcPr>
            <w:tcW w:w="2520" w:type="dxa"/>
            <w:tcBorders>
              <w:top w:val="nil"/>
              <w:left w:val="nil"/>
              <w:bottom w:val="single" w:sz="4" w:space="0" w:color="auto"/>
              <w:right w:val="nil"/>
            </w:tcBorders>
            <w:shd w:val="clear" w:color="auto" w:fill="auto"/>
            <w:noWrap/>
            <w:vAlign w:val="center"/>
            <w:hideMark/>
          </w:tcPr>
          <w:p w14:paraId="290D12D5"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Mucin 15</w:t>
            </w:r>
          </w:p>
        </w:tc>
        <w:tc>
          <w:tcPr>
            <w:tcW w:w="3600" w:type="dxa"/>
            <w:tcBorders>
              <w:top w:val="nil"/>
              <w:left w:val="nil"/>
              <w:bottom w:val="single" w:sz="4" w:space="0" w:color="auto"/>
              <w:right w:val="nil"/>
            </w:tcBorders>
            <w:shd w:val="clear" w:color="auto" w:fill="auto"/>
            <w:noWrap/>
            <w:vAlign w:val="center"/>
            <w:hideMark/>
          </w:tcPr>
          <w:p w14:paraId="75982B06"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1:200 (WB); 1:20 (IHC); 1:100 (Co-IP)</w:t>
            </w:r>
          </w:p>
        </w:tc>
        <w:tc>
          <w:tcPr>
            <w:tcW w:w="2880" w:type="dxa"/>
            <w:tcBorders>
              <w:top w:val="nil"/>
              <w:left w:val="nil"/>
              <w:bottom w:val="single" w:sz="4" w:space="0" w:color="auto"/>
              <w:right w:val="nil"/>
            </w:tcBorders>
            <w:shd w:val="clear" w:color="auto" w:fill="auto"/>
            <w:noWrap/>
            <w:vAlign w:val="center"/>
            <w:hideMark/>
          </w:tcPr>
          <w:p w14:paraId="69B7877A"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282767">
              <w:rPr>
                <w:rFonts w:ascii="Microsoft Sans Serif" w:eastAsia="Times New Roman" w:hAnsi="Microsoft Sans Serif" w:cs="Microsoft Sans Serif"/>
                <w:color w:val="000000"/>
                <w:sz w:val="20"/>
                <w:szCs w:val="20"/>
              </w:rPr>
              <w:t>Sigma; HPA026110</w:t>
            </w:r>
          </w:p>
        </w:tc>
      </w:tr>
      <w:tr w:rsidR="00667525" w:rsidRPr="0034681A" w14:paraId="7EA2917A" w14:textId="77777777" w:rsidTr="000D4D0C">
        <w:trPr>
          <w:trHeight w:val="345"/>
        </w:trPr>
        <w:tc>
          <w:tcPr>
            <w:tcW w:w="2520" w:type="dxa"/>
            <w:tcBorders>
              <w:top w:val="nil"/>
              <w:left w:val="nil"/>
              <w:bottom w:val="single" w:sz="4" w:space="0" w:color="auto"/>
              <w:right w:val="nil"/>
            </w:tcBorders>
            <w:shd w:val="clear" w:color="auto" w:fill="auto"/>
            <w:noWrap/>
            <w:vAlign w:val="bottom"/>
            <w:hideMark/>
          </w:tcPr>
          <w:p w14:paraId="523A15A1"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E-Cadherin</w:t>
            </w:r>
          </w:p>
        </w:tc>
        <w:tc>
          <w:tcPr>
            <w:tcW w:w="3600" w:type="dxa"/>
            <w:tcBorders>
              <w:top w:val="nil"/>
              <w:left w:val="nil"/>
              <w:bottom w:val="single" w:sz="4" w:space="0" w:color="auto"/>
              <w:right w:val="nil"/>
            </w:tcBorders>
            <w:shd w:val="clear" w:color="auto" w:fill="auto"/>
            <w:noWrap/>
            <w:vAlign w:val="bottom"/>
            <w:hideMark/>
          </w:tcPr>
          <w:p w14:paraId="195C9616"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1:1000 (WB)</w:t>
            </w:r>
          </w:p>
        </w:tc>
        <w:tc>
          <w:tcPr>
            <w:tcW w:w="2880" w:type="dxa"/>
            <w:tcBorders>
              <w:top w:val="nil"/>
              <w:left w:val="nil"/>
              <w:bottom w:val="single" w:sz="4" w:space="0" w:color="auto"/>
              <w:right w:val="nil"/>
            </w:tcBorders>
            <w:shd w:val="clear" w:color="auto" w:fill="auto"/>
            <w:noWrap/>
            <w:vAlign w:val="bottom"/>
            <w:hideMark/>
          </w:tcPr>
          <w:p w14:paraId="0FF6803E"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Cell Signaling; 24E10</w:t>
            </w:r>
          </w:p>
        </w:tc>
      </w:tr>
      <w:tr w:rsidR="00667525" w:rsidRPr="0034681A" w14:paraId="3B96BC6B" w14:textId="77777777" w:rsidTr="000D4D0C">
        <w:trPr>
          <w:trHeight w:val="345"/>
        </w:trPr>
        <w:tc>
          <w:tcPr>
            <w:tcW w:w="2520" w:type="dxa"/>
            <w:tcBorders>
              <w:top w:val="nil"/>
              <w:left w:val="nil"/>
              <w:bottom w:val="single" w:sz="4" w:space="0" w:color="auto"/>
              <w:right w:val="nil"/>
            </w:tcBorders>
            <w:shd w:val="clear" w:color="auto" w:fill="auto"/>
            <w:noWrap/>
            <w:vAlign w:val="center"/>
            <w:hideMark/>
          </w:tcPr>
          <w:p w14:paraId="3DB3F60C"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282767">
              <w:rPr>
                <w:rFonts w:ascii="Microsoft Sans Serif" w:eastAsia="Times New Roman" w:hAnsi="Microsoft Sans Serif" w:cs="Microsoft Sans Serif"/>
                <w:color w:val="000000"/>
                <w:sz w:val="20"/>
                <w:szCs w:val="20"/>
              </w:rPr>
              <w:t>Filamin A</w:t>
            </w:r>
          </w:p>
        </w:tc>
        <w:tc>
          <w:tcPr>
            <w:tcW w:w="3600" w:type="dxa"/>
            <w:tcBorders>
              <w:top w:val="nil"/>
              <w:left w:val="nil"/>
              <w:bottom w:val="single" w:sz="4" w:space="0" w:color="auto"/>
              <w:right w:val="nil"/>
            </w:tcBorders>
            <w:shd w:val="clear" w:color="auto" w:fill="auto"/>
            <w:noWrap/>
            <w:vAlign w:val="center"/>
            <w:hideMark/>
          </w:tcPr>
          <w:p w14:paraId="3BF30699"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1:500 (WB)</w:t>
            </w:r>
          </w:p>
        </w:tc>
        <w:tc>
          <w:tcPr>
            <w:tcW w:w="2880" w:type="dxa"/>
            <w:tcBorders>
              <w:top w:val="nil"/>
              <w:left w:val="nil"/>
              <w:bottom w:val="single" w:sz="4" w:space="0" w:color="auto"/>
              <w:right w:val="nil"/>
            </w:tcBorders>
            <w:shd w:val="clear" w:color="auto" w:fill="auto"/>
            <w:noWrap/>
            <w:vAlign w:val="center"/>
            <w:hideMark/>
          </w:tcPr>
          <w:p w14:paraId="7550E60F"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color w:val="000000"/>
                <w:sz w:val="20"/>
                <w:szCs w:val="20"/>
                <w:shd w:val="clear" w:color="auto" w:fill="FFFFFF"/>
              </w:rPr>
              <w:t>Abcam; ab76289</w:t>
            </w:r>
          </w:p>
        </w:tc>
      </w:tr>
      <w:tr w:rsidR="00667525" w:rsidRPr="0034681A" w14:paraId="325B365F" w14:textId="77777777" w:rsidTr="000D4D0C">
        <w:trPr>
          <w:trHeight w:val="345"/>
        </w:trPr>
        <w:tc>
          <w:tcPr>
            <w:tcW w:w="2520" w:type="dxa"/>
            <w:tcBorders>
              <w:top w:val="nil"/>
              <w:left w:val="nil"/>
              <w:bottom w:val="single" w:sz="4" w:space="0" w:color="auto"/>
              <w:right w:val="nil"/>
            </w:tcBorders>
            <w:shd w:val="clear" w:color="auto" w:fill="auto"/>
            <w:noWrap/>
            <w:vAlign w:val="center"/>
            <w:hideMark/>
          </w:tcPr>
          <w:p w14:paraId="20C72F29"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Tagln</w:t>
            </w:r>
          </w:p>
        </w:tc>
        <w:tc>
          <w:tcPr>
            <w:tcW w:w="3600" w:type="dxa"/>
            <w:tcBorders>
              <w:top w:val="nil"/>
              <w:left w:val="nil"/>
              <w:bottom w:val="single" w:sz="4" w:space="0" w:color="auto"/>
              <w:right w:val="nil"/>
            </w:tcBorders>
            <w:shd w:val="clear" w:color="auto" w:fill="auto"/>
            <w:noWrap/>
            <w:vAlign w:val="center"/>
            <w:hideMark/>
          </w:tcPr>
          <w:p w14:paraId="14690D04"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2 µg/mL (WB)</w:t>
            </w:r>
          </w:p>
        </w:tc>
        <w:tc>
          <w:tcPr>
            <w:tcW w:w="2880" w:type="dxa"/>
            <w:tcBorders>
              <w:top w:val="nil"/>
              <w:left w:val="nil"/>
              <w:bottom w:val="single" w:sz="4" w:space="0" w:color="auto"/>
              <w:right w:val="nil"/>
            </w:tcBorders>
            <w:shd w:val="clear" w:color="auto" w:fill="auto"/>
            <w:noWrap/>
            <w:vAlign w:val="center"/>
            <w:hideMark/>
          </w:tcPr>
          <w:p w14:paraId="1D25131E"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color w:val="000000"/>
                <w:sz w:val="20"/>
                <w:szCs w:val="20"/>
                <w:shd w:val="clear" w:color="auto" w:fill="FFFFFF"/>
              </w:rPr>
              <w:t>Abcam; ab14106</w:t>
            </w:r>
          </w:p>
        </w:tc>
      </w:tr>
      <w:tr w:rsidR="00667525" w:rsidRPr="0034681A" w14:paraId="450F39E0" w14:textId="77777777" w:rsidTr="000D4D0C">
        <w:trPr>
          <w:trHeight w:val="345"/>
        </w:trPr>
        <w:tc>
          <w:tcPr>
            <w:tcW w:w="2520" w:type="dxa"/>
            <w:tcBorders>
              <w:top w:val="nil"/>
              <w:left w:val="nil"/>
              <w:bottom w:val="single" w:sz="4" w:space="0" w:color="auto"/>
              <w:right w:val="nil"/>
            </w:tcBorders>
            <w:shd w:val="clear" w:color="auto" w:fill="auto"/>
            <w:noWrap/>
            <w:vAlign w:val="center"/>
            <w:hideMark/>
          </w:tcPr>
          <w:p w14:paraId="7041B77F"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Fibronectin</w:t>
            </w:r>
          </w:p>
        </w:tc>
        <w:tc>
          <w:tcPr>
            <w:tcW w:w="3600" w:type="dxa"/>
            <w:tcBorders>
              <w:top w:val="nil"/>
              <w:left w:val="nil"/>
              <w:bottom w:val="single" w:sz="4" w:space="0" w:color="auto"/>
              <w:right w:val="nil"/>
            </w:tcBorders>
            <w:shd w:val="clear" w:color="auto" w:fill="auto"/>
            <w:noWrap/>
            <w:vAlign w:val="center"/>
            <w:hideMark/>
          </w:tcPr>
          <w:p w14:paraId="24296CF0"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2 µg/mL (WB)</w:t>
            </w:r>
          </w:p>
        </w:tc>
        <w:tc>
          <w:tcPr>
            <w:tcW w:w="2880" w:type="dxa"/>
            <w:tcBorders>
              <w:top w:val="nil"/>
              <w:left w:val="nil"/>
              <w:bottom w:val="single" w:sz="4" w:space="0" w:color="auto"/>
              <w:right w:val="nil"/>
            </w:tcBorders>
            <w:shd w:val="clear" w:color="auto" w:fill="auto"/>
            <w:noWrap/>
            <w:vAlign w:val="center"/>
            <w:hideMark/>
          </w:tcPr>
          <w:p w14:paraId="6444F8F2"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sidRPr="00282767">
              <w:rPr>
                <w:rFonts w:ascii="Microsoft Sans Serif" w:eastAsia="Times New Roman" w:hAnsi="Microsoft Sans Serif" w:cs="Microsoft Sans Serif"/>
                <w:color w:val="000000"/>
                <w:sz w:val="20"/>
                <w:szCs w:val="20"/>
              </w:rPr>
              <w:t>Abcam; ab2413</w:t>
            </w:r>
          </w:p>
        </w:tc>
      </w:tr>
      <w:tr w:rsidR="00667525" w:rsidRPr="0034681A" w14:paraId="3D8E1D8F" w14:textId="77777777" w:rsidTr="000D4D0C">
        <w:trPr>
          <w:trHeight w:val="345"/>
        </w:trPr>
        <w:tc>
          <w:tcPr>
            <w:tcW w:w="2520" w:type="dxa"/>
            <w:tcBorders>
              <w:top w:val="nil"/>
              <w:left w:val="nil"/>
              <w:bottom w:val="single" w:sz="4" w:space="0" w:color="auto"/>
              <w:right w:val="nil"/>
            </w:tcBorders>
            <w:shd w:val="clear" w:color="auto" w:fill="auto"/>
            <w:noWrap/>
            <w:vAlign w:val="center"/>
            <w:hideMark/>
          </w:tcPr>
          <w:p w14:paraId="742C17AB"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Vimentin</w:t>
            </w:r>
          </w:p>
        </w:tc>
        <w:tc>
          <w:tcPr>
            <w:tcW w:w="3600" w:type="dxa"/>
            <w:tcBorders>
              <w:top w:val="nil"/>
              <w:left w:val="nil"/>
              <w:bottom w:val="single" w:sz="4" w:space="0" w:color="auto"/>
              <w:right w:val="nil"/>
            </w:tcBorders>
            <w:shd w:val="clear" w:color="auto" w:fill="auto"/>
            <w:noWrap/>
            <w:vAlign w:val="center"/>
            <w:hideMark/>
          </w:tcPr>
          <w:p w14:paraId="5A94FE65"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1:1000 (WB)</w:t>
            </w:r>
          </w:p>
        </w:tc>
        <w:tc>
          <w:tcPr>
            <w:tcW w:w="2880" w:type="dxa"/>
            <w:tcBorders>
              <w:top w:val="nil"/>
              <w:left w:val="nil"/>
              <w:bottom w:val="single" w:sz="4" w:space="0" w:color="auto"/>
              <w:right w:val="nil"/>
            </w:tcBorders>
            <w:shd w:val="clear" w:color="auto" w:fill="auto"/>
            <w:noWrap/>
            <w:vAlign w:val="center"/>
            <w:hideMark/>
          </w:tcPr>
          <w:p w14:paraId="20F04B86"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color w:val="000000"/>
                <w:sz w:val="20"/>
                <w:szCs w:val="20"/>
                <w:shd w:val="clear" w:color="auto" w:fill="FFFFFF"/>
              </w:rPr>
              <w:t>GeneTex; GTX100619</w:t>
            </w:r>
          </w:p>
        </w:tc>
      </w:tr>
      <w:tr w:rsidR="00667525" w:rsidRPr="0034681A" w14:paraId="7D04C9C1" w14:textId="77777777" w:rsidTr="000D4D0C">
        <w:trPr>
          <w:trHeight w:val="345"/>
        </w:trPr>
        <w:tc>
          <w:tcPr>
            <w:tcW w:w="2520" w:type="dxa"/>
            <w:tcBorders>
              <w:top w:val="nil"/>
              <w:left w:val="nil"/>
              <w:bottom w:val="single" w:sz="4" w:space="0" w:color="auto"/>
              <w:right w:val="nil"/>
            </w:tcBorders>
            <w:shd w:val="clear" w:color="auto" w:fill="auto"/>
            <w:noWrap/>
            <w:vAlign w:val="center"/>
            <w:hideMark/>
          </w:tcPr>
          <w:p w14:paraId="1010D48A"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N-Cadherin</w:t>
            </w:r>
          </w:p>
        </w:tc>
        <w:tc>
          <w:tcPr>
            <w:tcW w:w="3600" w:type="dxa"/>
            <w:tcBorders>
              <w:top w:val="nil"/>
              <w:left w:val="nil"/>
              <w:bottom w:val="single" w:sz="4" w:space="0" w:color="auto"/>
              <w:right w:val="nil"/>
            </w:tcBorders>
            <w:shd w:val="clear" w:color="auto" w:fill="auto"/>
            <w:noWrap/>
            <w:vAlign w:val="center"/>
            <w:hideMark/>
          </w:tcPr>
          <w:p w14:paraId="70B66096"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1:500 (WB)</w:t>
            </w:r>
          </w:p>
        </w:tc>
        <w:tc>
          <w:tcPr>
            <w:tcW w:w="2880" w:type="dxa"/>
            <w:tcBorders>
              <w:top w:val="nil"/>
              <w:left w:val="nil"/>
              <w:bottom w:val="single" w:sz="4" w:space="0" w:color="auto"/>
              <w:right w:val="nil"/>
            </w:tcBorders>
            <w:shd w:val="clear" w:color="auto" w:fill="auto"/>
            <w:noWrap/>
            <w:vAlign w:val="center"/>
            <w:hideMark/>
          </w:tcPr>
          <w:p w14:paraId="1FA44C03"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color w:val="000000"/>
                <w:sz w:val="20"/>
                <w:szCs w:val="20"/>
                <w:shd w:val="clear" w:color="auto" w:fill="FFFFFF"/>
              </w:rPr>
              <w:t>Cell Signaling; 4061</w:t>
            </w:r>
          </w:p>
        </w:tc>
      </w:tr>
      <w:tr w:rsidR="00667525" w:rsidRPr="0034681A" w14:paraId="26FD1549" w14:textId="77777777" w:rsidTr="000D4D0C">
        <w:trPr>
          <w:trHeight w:val="345"/>
        </w:trPr>
        <w:tc>
          <w:tcPr>
            <w:tcW w:w="2520" w:type="dxa"/>
            <w:tcBorders>
              <w:top w:val="nil"/>
              <w:left w:val="nil"/>
              <w:bottom w:val="single" w:sz="4" w:space="0" w:color="auto"/>
              <w:right w:val="nil"/>
            </w:tcBorders>
            <w:shd w:val="clear" w:color="auto" w:fill="auto"/>
            <w:noWrap/>
            <w:vAlign w:val="center"/>
            <w:hideMark/>
          </w:tcPr>
          <w:p w14:paraId="3BBCF9EF"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Phospho Akt</w:t>
            </w:r>
          </w:p>
        </w:tc>
        <w:tc>
          <w:tcPr>
            <w:tcW w:w="3600" w:type="dxa"/>
            <w:tcBorders>
              <w:top w:val="nil"/>
              <w:left w:val="nil"/>
              <w:bottom w:val="single" w:sz="4" w:space="0" w:color="auto"/>
              <w:right w:val="nil"/>
            </w:tcBorders>
            <w:shd w:val="clear" w:color="auto" w:fill="auto"/>
            <w:noWrap/>
            <w:vAlign w:val="center"/>
            <w:hideMark/>
          </w:tcPr>
          <w:p w14:paraId="5BCD1360"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1:1000 (WB)</w:t>
            </w:r>
          </w:p>
        </w:tc>
        <w:tc>
          <w:tcPr>
            <w:tcW w:w="2880" w:type="dxa"/>
            <w:tcBorders>
              <w:top w:val="nil"/>
              <w:left w:val="nil"/>
              <w:bottom w:val="single" w:sz="4" w:space="0" w:color="auto"/>
              <w:right w:val="nil"/>
            </w:tcBorders>
            <w:shd w:val="clear" w:color="auto" w:fill="auto"/>
            <w:noWrap/>
            <w:vAlign w:val="center"/>
            <w:hideMark/>
          </w:tcPr>
          <w:p w14:paraId="656D23A3"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Cell Signaling; 4060S</w:t>
            </w:r>
          </w:p>
        </w:tc>
      </w:tr>
      <w:tr w:rsidR="00667525" w:rsidRPr="0034681A" w14:paraId="5E9C2684" w14:textId="77777777" w:rsidTr="000D4D0C">
        <w:trPr>
          <w:trHeight w:val="345"/>
        </w:trPr>
        <w:tc>
          <w:tcPr>
            <w:tcW w:w="2520" w:type="dxa"/>
            <w:tcBorders>
              <w:top w:val="nil"/>
              <w:left w:val="nil"/>
              <w:bottom w:val="single" w:sz="4" w:space="0" w:color="auto"/>
              <w:right w:val="nil"/>
            </w:tcBorders>
            <w:shd w:val="clear" w:color="auto" w:fill="auto"/>
            <w:noWrap/>
            <w:vAlign w:val="center"/>
            <w:hideMark/>
          </w:tcPr>
          <w:p w14:paraId="562648AA"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Beta Catenin</w:t>
            </w:r>
          </w:p>
        </w:tc>
        <w:tc>
          <w:tcPr>
            <w:tcW w:w="3600" w:type="dxa"/>
            <w:tcBorders>
              <w:top w:val="nil"/>
              <w:left w:val="nil"/>
              <w:bottom w:val="single" w:sz="4" w:space="0" w:color="auto"/>
              <w:right w:val="nil"/>
            </w:tcBorders>
            <w:shd w:val="clear" w:color="auto" w:fill="auto"/>
            <w:noWrap/>
            <w:vAlign w:val="center"/>
            <w:hideMark/>
          </w:tcPr>
          <w:p w14:paraId="15BE95F9"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1:500 (WB)</w:t>
            </w:r>
          </w:p>
        </w:tc>
        <w:tc>
          <w:tcPr>
            <w:tcW w:w="2880" w:type="dxa"/>
            <w:tcBorders>
              <w:top w:val="nil"/>
              <w:left w:val="nil"/>
              <w:bottom w:val="single" w:sz="4" w:space="0" w:color="auto"/>
              <w:right w:val="nil"/>
            </w:tcBorders>
            <w:shd w:val="clear" w:color="auto" w:fill="auto"/>
            <w:noWrap/>
            <w:vAlign w:val="center"/>
            <w:hideMark/>
          </w:tcPr>
          <w:p w14:paraId="4B8C40BB"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BD Biosciences; 610153</w:t>
            </w:r>
          </w:p>
        </w:tc>
      </w:tr>
      <w:tr w:rsidR="00667525" w:rsidRPr="0034681A" w14:paraId="6EDEA08E" w14:textId="77777777" w:rsidTr="000D4D0C">
        <w:trPr>
          <w:trHeight w:val="345"/>
        </w:trPr>
        <w:tc>
          <w:tcPr>
            <w:tcW w:w="2520" w:type="dxa"/>
            <w:tcBorders>
              <w:top w:val="nil"/>
              <w:left w:val="nil"/>
              <w:bottom w:val="single" w:sz="4" w:space="0" w:color="auto"/>
              <w:right w:val="nil"/>
            </w:tcBorders>
            <w:shd w:val="clear" w:color="auto" w:fill="auto"/>
            <w:noWrap/>
            <w:vAlign w:val="center"/>
            <w:hideMark/>
          </w:tcPr>
          <w:p w14:paraId="277E74F7"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Beta Actin</w:t>
            </w:r>
          </w:p>
        </w:tc>
        <w:tc>
          <w:tcPr>
            <w:tcW w:w="3600" w:type="dxa"/>
            <w:tcBorders>
              <w:top w:val="nil"/>
              <w:left w:val="nil"/>
              <w:bottom w:val="single" w:sz="4" w:space="0" w:color="auto"/>
              <w:right w:val="nil"/>
            </w:tcBorders>
            <w:shd w:val="clear" w:color="auto" w:fill="auto"/>
            <w:noWrap/>
            <w:vAlign w:val="center"/>
            <w:hideMark/>
          </w:tcPr>
          <w:p w14:paraId="3959E77F"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1:1000 (WB)</w:t>
            </w:r>
          </w:p>
        </w:tc>
        <w:tc>
          <w:tcPr>
            <w:tcW w:w="2880" w:type="dxa"/>
            <w:tcBorders>
              <w:top w:val="nil"/>
              <w:left w:val="nil"/>
              <w:bottom w:val="single" w:sz="4" w:space="0" w:color="auto"/>
              <w:right w:val="nil"/>
            </w:tcBorders>
            <w:shd w:val="clear" w:color="auto" w:fill="auto"/>
            <w:noWrap/>
            <w:vAlign w:val="center"/>
            <w:hideMark/>
          </w:tcPr>
          <w:p w14:paraId="4912BCB7"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Invitrogen; AM4302</w:t>
            </w:r>
          </w:p>
        </w:tc>
      </w:tr>
      <w:tr w:rsidR="00667525" w:rsidRPr="0034681A" w14:paraId="3F8B79A0" w14:textId="77777777" w:rsidTr="000D4D0C">
        <w:trPr>
          <w:trHeight w:val="345"/>
        </w:trPr>
        <w:tc>
          <w:tcPr>
            <w:tcW w:w="2520" w:type="dxa"/>
            <w:tcBorders>
              <w:top w:val="nil"/>
              <w:left w:val="nil"/>
              <w:bottom w:val="single" w:sz="4" w:space="0" w:color="auto"/>
              <w:right w:val="nil"/>
            </w:tcBorders>
            <w:shd w:val="clear" w:color="auto" w:fill="auto"/>
            <w:noWrap/>
            <w:vAlign w:val="center"/>
            <w:hideMark/>
          </w:tcPr>
          <w:p w14:paraId="6DC24CE3"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phospho p38α MAPK</w:t>
            </w:r>
          </w:p>
        </w:tc>
        <w:tc>
          <w:tcPr>
            <w:tcW w:w="3600" w:type="dxa"/>
            <w:tcBorders>
              <w:top w:val="nil"/>
              <w:left w:val="nil"/>
              <w:bottom w:val="single" w:sz="4" w:space="0" w:color="auto"/>
              <w:right w:val="nil"/>
            </w:tcBorders>
            <w:shd w:val="clear" w:color="auto" w:fill="auto"/>
            <w:noWrap/>
            <w:vAlign w:val="center"/>
            <w:hideMark/>
          </w:tcPr>
          <w:p w14:paraId="520C907B"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1:200 (WB)</w:t>
            </w:r>
          </w:p>
        </w:tc>
        <w:tc>
          <w:tcPr>
            <w:tcW w:w="2880" w:type="dxa"/>
            <w:tcBorders>
              <w:top w:val="nil"/>
              <w:left w:val="nil"/>
              <w:bottom w:val="single" w:sz="4" w:space="0" w:color="auto"/>
              <w:right w:val="nil"/>
            </w:tcBorders>
            <w:shd w:val="clear" w:color="auto" w:fill="auto"/>
            <w:noWrap/>
            <w:vAlign w:val="center"/>
            <w:hideMark/>
          </w:tcPr>
          <w:p w14:paraId="470FADCD"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Cell Signaling; 9211S</w:t>
            </w:r>
          </w:p>
        </w:tc>
      </w:tr>
      <w:tr w:rsidR="00667525" w:rsidRPr="0034681A" w14:paraId="1D54CA7E" w14:textId="77777777" w:rsidTr="000D4D0C">
        <w:trPr>
          <w:trHeight w:val="345"/>
        </w:trPr>
        <w:tc>
          <w:tcPr>
            <w:tcW w:w="2520" w:type="dxa"/>
            <w:tcBorders>
              <w:top w:val="nil"/>
              <w:left w:val="nil"/>
              <w:bottom w:val="single" w:sz="4" w:space="0" w:color="auto"/>
              <w:right w:val="nil"/>
            </w:tcBorders>
            <w:shd w:val="clear" w:color="auto" w:fill="auto"/>
            <w:noWrap/>
            <w:vAlign w:val="center"/>
            <w:hideMark/>
          </w:tcPr>
          <w:p w14:paraId="64C5B508"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total p38α MAPK</w:t>
            </w:r>
          </w:p>
        </w:tc>
        <w:tc>
          <w:tcPr>
            <w:tcW w:w="3600" w:type="dxa"/>
            <w:tcBorders>
              <w:top w:val="nil"/>
              <w:left w:val="nil"/>
              <w:bottom w:val="single" w:sz="4" w:space="0" w:color="auto"/>
              <w:right w:val="nil"/>
            </w:tcBorders>
            <w:shd w:val="clear" w:color="auto" w:fill="auto"/>
            <w:noWrap/>
            <w:vAlign w:val="center"/>
            <w:hideMark/>
          </w:tcPr>
          <w:p w14:paraId="0FBEDFCE"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1:200 (WB)</w:t>
            </w:r>
          </w:p>
        </w:tc>
        <w:tc>
          <w:tcPr>
            <w:tcW w:w="2880" w:type="dxa"/>
            <w:tcBorders>
              <w:top w:val="nil"/>
              <w:left w:val="nil"/>
              <w:bottom w:val="single" w:sz="4" w:space="0" w:color="auto"/>
              <w:right w:val="nil"/>
            </w:tcBorders>
            <w:shd w:val="clear" w:color="auto" w:fill="auto"/>
            <w:noWrap/>
            <w:vAlign w:val="center"/>
            <w:hideMark/>
          </w:tcPr>
          <w:p w14:paraId="289CAAE5"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Cell Signaling; 9212S</w:t>
            </w:r>
          </w:p>
        </w:tc>
      </w:tr>
      <w:tr w:rsidR="00667525" w:rsidRPr="0034681A" w14:paraId="33643533" w14:textId="77777777" w:rsidTr="000D4D0C">
        <w:trPr>
          <w:trHeight w:val="345"/>
        </w:trPr>
        <w:tc>
          <w:tcPr>
            <w:tcW w:w="2520" w:type="dxa"/>
            <w:tcBorders>
              <w:top w:val="nil"/>
              <w:left w:val="nil"/>
              <w:bottom w:val="single" w:sz="4" w:space="0" w:color="auto"/>
              <w:right w:val="nil"/>
            </w:tcBorders>
            <w:shd w:val="clear" w:color="auto" w:fill="auto"/>
            <w:noWrap/>
            <w:vAlign w:val="center"/>
            <w:hideMark/>
          </w:tcPr>
          <w:p w14:paraId="58E8F932"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phospho MAPKAPK2</w:t>
            </w:r>
          </w:p>
        </w:tc>
        <w:tc>
          <w:tcPr>
            <w:tcW w:w="3600" w:type="dxa"/>
            <w:tcBorders>
              <w:top w:val="nil"/>
              <w:left w:val="nil"/>
              <w:bottom w:val="single" w:sz="4" w:space="0" w:color="auto"/>
              <w:right w:val="nil"/>
            </w:tcBorders>
            <w:shd w:val="clear" w:color="auto" w:fill="auto"/>
            <w:noWrap/>
            <w:vAlign w:val="center"/>
            <w:hideMark/>
          </w:tcPr>
          <w:p w14:paraId="7CACE08E"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1:200 (WB)</w:t>
            </w:r>
          </w:p>
        </w:tc>
        <w:tc>
          <w:tcPr>
            <w:tcW w:w="2880" w:type="dxa"/>
            <w:tcBorders>
              <w:top w:val="nil"/>
              <w:left w:val="nil"/>
              <w:bottom w:val="single" w:sz="4" w:space="0" w:color="auto"/>
              <w:right w:val="nil"/>
            </w:tcBorders>
            <w:shd w:val="clear" w:color="auto" w:fill="auto"/>
            <w:noWrap/>
            <w:vAlign w:val="center"/>
            <w:hideMark/>
          </w:tcPr>
          <w:p w14:paraId="0F2FAF49"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Cell Signaling; 3007</w:t>
            </w:r>
          </w:p>
        </w:tc>
      </w:tr>
      <w:tr w:rsidR="00667525" w:rsidRPr="0034681A" w14:paraId="0F919D07" w14:textId="77777777" w:rsidTr="000D4D0C">
        <w:trPr>
          <w:trHeight w:val="345"/>
        </w:trPr>
        <w:tc>
          <w:tcPr>
            <w:tcW w:w="2520" w:type="dxa"/>
            <w:tcBorders>
              <w:top w:val="nil"/>
              <w:left w:val="nil"/>
              <w:bottom w:val="single" w:sz="4" w:space="0" w:color="auto"/>
              <w:right w:val="nil"/>
            </w:tcBorders>
            <w:shd w:val="clear" w:color="auto" w:fill="auto"/>
            <w:noWrap/>
            <w:vAlign w:val="center"/>
            <w:hideMark/>
          </w:tcPr>
          <w:p w14:paraId="2659A96A"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total MAPKAPK2</w:t>
            </w:r>
          </w:p>
        </w:tc>
        <w:tc>
          <w:tcPr>
            <w:tcW w:w="3600" w:type="dxa"/>
            <w:tcBorders>
              <w:top w:val="nil"/>
              <w:left w:val="nil"/>
              <w:bottom w:val="single" w:sz="4" w:space="0" w:color="auto"/>
              <w:right w:val="nil"/>
            </w:tcBorders>
            <w:shd w:val="clear" w:color="auto" w:fill="auto"/>
            <w:noWrap/>
            <w:vAlign w:val="center"/>
            <w:hideMark/>
          </w:tcPr>
          <w:p w14:paraId="58C510B6"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1:200 (WB)</w:t>
            </w:r>
          </w:p>
        </w:tc>
        <w:tc>
          <w:tcPr>
            <w:tcW w:w="2880" w:type="dxa"/>
            <w:tcBorders>
              <w:top w:val="nil"/>
              <w:left w:val="nil"/>
              <w:bottom w:val="single" w:sz="4" w:space="0" w:color="auto"/>
              <w:right w:val="nil"/>
            </w:tcBorders>
            <w:shd w:val="clear" w:color="auto" w:fill="auto"/>
            <w:noWrap/>
            <w:vAlign w:val="center"/>
            <w:hideMark/>
          </w:tcPr>
          <w:p w14:paraId="1B1F01B7"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Cell Signaling; 3042</w:t>
            </w:r>
          </w:p>
        </w:tc>
      </w:tr>
      <w:tr w:rsidR="00667525" w:rsidRPr="0034681A" w14:paraId="0569F7A7" w14:textId="77777777" w:rsidTr="000D4D0C">
        <w:trPr>
          <w:trHeight w:val="345"/>
        </w:trPr>
        <w:tc>
          <w:tcPr>
            <w:tcW w:w="2520" w:type="dxa"/>
            <w:tcBorders>
              <w:top w:val="single" w:sz="4" w:space="0" w:color="auto"/>
              <w:left w:val="nil"/>
              <w:bottom w:val="single" w:sz="4" w:space="0" w:color="auto"/>
              <w:right w:val="nil"/>
            </w:tcBorders>
            <w:shd w:val="clear" w:color="auto" w:fill="auto"/>
            <w:noWrap/>
            <w:vAlign w:val="center"/>
            <w:hideMark/>
          </w:tcPr>
          <w:p w14:paraId="6041DD53"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phospho HSP27</w:t>
            </w:r>
          </w:p>
        </w:tc>
        <w:tc>
          <w:tcPr>
            <w:tcW w:w="3600" w:type="dxa"/>
            <w:tcBorders>
              <w:top w:val="single" w:sz="4" w:space="0" w:color="auto"/>
              <w:left w:val="nil"/>
              <w:bottom w:val="single" w:sz="4" w:space="0" w:color="auto"/>
              <w:right w:val="nil"/>
            </w:tcBorders>
            <w:shd w:val="clear" w:color="auto" w:fill="auto"/>
            <w:noWrap/>
            <w:vAlign w:val="center"/>
            <w:hideMark/>
          </w:tcPr>
          <w:p w14:paraId="59D49371"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1:200 (WB); 1:100 (IF)</w:t>
            </w:r>
          </w:p>
        </w:tc>
        <w:tc>
          <w:tcPr>
            <w:tcW w:w="2880" w:type="dxa"/>
            <w:tcBorders>
              <w:top w:val="single" w:sz="4" w:space="0" w:color="auto"/>
              <w:left w:val="nil"/>
              <w:bottom w:val="single" w:sz="4" w:space="0" w:color="auto"/>
              <w:right w:val="nil"/>
            </w:tcBorders>
            <w:shd w:val="clear" w:color="auto" w:fill="auto"/>
            <w:noWrap/>
            <w:vAlign w:val="center"/>
            <w:hideMark/>
          </w:tcPr>
          <w:p w14:paraId="4B292B2B"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Cell Signaling; 2401</w:t>
            </w:r>
          </w:p>
        </w:tc>
      </w:tr>
      <w:tr w:rsidR="00667525" w:rsidRPr="0034681A" w14:paraId="517643FA" w14:textId="77777777" w:rsidTr="000D4D0C">
        <w:trPr>
          <w:trHeight w:val="345"/>
        </w:trPr>
        <w:tc>
          <w:tcPr>
            <w:tcW w:w="2520" w:type="dxa"/>
            <w:tcBorders>
              <w:top w:val="single" w:sz="4" w:space="0" w:color="auto"/>
              <w:left w:val="nil"/>
              <w:bottom w:val="single" w:sz="4" w:space="0" w:color="auto"/>
              <w:right w:val="nil"/>
            </w:tcBorders>
            <w:shd w:val="clear" w:color="auto" w:fill="auto"/>
            <w:noWrap/>
            <w:vAlign w:val="center"/>
          </w:tcPr>
          <w:p w14:paraId="4D4E6BC7"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total HSP27</w:t>
            </w:r>
          </w:p>
        </w:tc>
        <w:tc>
          <w:tcPr>
            <w:tcW w:w="3600" w:type="dxa"/>
            <w:tcBorders>
              <w:top w:val="single" w:sz="4" w:space="0" w:color="auto"/>
              <w:left w:val="nil"/>
              <w:bottom w:val="single" w:sz="4" w:space="0" w:color="auto"/>
              <w:right w:val="nil"/>
            </w:tcBorders>
            <w:shd w:val="clear" w:color="auto" w:fill="auto"/>
            <w:noWrap/>
            <w:vAlign w:val="center"/>
          </w:tcPr>
          <w:p w14:paraId="54898E47"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1:500 (WB)</w:t>
            </w:r>
          </w:p>
        </w:tc>
        <w:tc>
          <w:tcPr>
            <w:tcW w:w="2880" w:type="dxa"/>
            <w:tcBorders>
              <w:top w:val="single" w:sz="4" w:space="0" w:color="auto"/>
              <w:left w:val="nil"/>
              <w:bottom w:val="single" w:sz="4" w:space="0" w:color="auto"/>
              <w:right w:val="nil"/>
            </w:tcBorders>
            <w:shd w:val="clear" w:color="auto" w:fill="auto"/>
            <w:noWrap/>
            <w:vAlign w:val="center"/>
          </w:tcPr>
          <w:p w14:paraId="3C242398"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Cell Signaling; 2402</w:t>
            </w:r>
          </w:p>
        </w:tc>
      </w:tr>
      <w:tr w:rsidR="00667525" w:rsidRPr="0034681A" w14:paraId="405EC50E" w14:textId="77777777" w:rsidTr="000D4D0C">
        <w:trPr>
          <w:trHeight w:val="345"/>
        </w:trPr>
        <w:tc>
          <w:tcPr>
            <w:tcW w:w="2520" w:type="dxa"/>
            <w:tcBorders>
              <w:top w:val="single" w:sz="4" w:space="0" w:color="auto"/>
              <w:left w:val="nil"/>
              <w:bottom w:val="single" w:sz="4" w:space="0" w:color="auto"/>
              <w:right w:val="nil"/>
            </w:tcBorders>
            <w:shd w:val="clear" w:color="auto" w:fill="auto"/>
            <w:noWrap/>
            <w:vAlign w:val="center"/>
          </w:tcPr>
          <w:p w14:paraId="411AABC8"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phospho PKCα</w:t>
            </w:r>
          </w:p>
        </w:tc>
        <w:tc>
          <w:tcPr>
            <w:tcW w:w="3600" w:type="dxa"/>
            <w:tcBorders>
              <w:top w:val="single" w:sz="4" w:space="0" w:color="auto"/>
              <w:left w:val="nil"/>
              <w:bottom w:val="single" w:sz="4" w:space="0" w:color="auto"/>
              <w:right w:val="nil"/>
            </w:tcBorders>
            <w:shd w:val="clear" w:color="auto" w:fill="auto"/>
            <w:noWrap/>
            <w:vAlign w:val="center"/>
          </w:tcPr>
          <w:p w14:paraId="373CE8F4"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1:200 (WB)</w:t>
            </w:r>
          </w:p>
        </w:tc>
        <w:tc>
          <w:tcPr>
            <w:tcW w:w="2880" w:type="dxa"/>
            <w:tcBorders>
              <w:top w:val="single" w:sz="4" w:space="0" w:color="auto"/>
              <w:left w:val="nil"/>
              <w:bottom w:val="single" w:sz="4" w:space="0" w:color="auto"/>
              <w:right w:val="nil"/>
            </w:tcBorders>
            <w:shd w:val="clear" w:color="auto" w:fill="auto"/>
            <w:noWrap/>
            <w:vAlign w:val="center"/>
          </w:tcPr>
          <w:p w14:paraId="36C1B58D"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Abcam; ab180848</w:t>
            </w:r>
          </w:p>
        </w:tc>
      </w:tr>
      <w:tr w:rsidR="00667525" w:rsidRPr="0034681A" w14:paraId="70BB3C0A" w14:textId="77777777" w:rsidTr="000D4D0C">
        <w:trPr>
          <w:trHeight w:val="345"/>
        </w:trPr>
        <w:tc>
          <w:tcPr>
            <w:tcW w:w="2520" w:type="dxa"/>
            <w:tcBorders>
              <w:top w:val="single" w:sz="4" w:space="0" w:color="auto"/>
              <w:left w:val="nil"/>
              <w:bottom w:val="single" w:sz="4" w:space="0" w:color="auto"/>
              <w:right w:val="nil"/>
            </w:tcBorders>
            <w:shd w:val="clear" w:color="auto" w:fill="auto"/>
            <w:noWrap/>
            <w:vAlign w:val="center"/>
          </w:tcPr>
          <w:p w14:paraId="0EBA73F8"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total PKCα</w:t>
            </w:r>
          </w:p>
        </w:tc>
        <w:tc>
          <w:tcPr>
            <w:tcW w:w="3600" w:type="dxa"/>
            <w:tcBorders>
              <w:top w:val="single" w:sz="4" w:space="0" w:color="auto"/>
              <w:left w:val="nil"/>
              <w:bottom w:val="single" w:sz="4" w:space="0" w:color="auto"/>
              <w:right w:val="nil"/>
            </w:tcBorders>
            <w:shd w:val="clear" w:color="auto" w:fill="auto"/>
            <w:noWrap/>
            <w:vAlign w:val="center"/>
          </w:tcPr>
          <w:p w14:paraId="21FFA851"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1:100 (WB)</w:t>
            </w:r>
          </w:p>
        </w:tc>
        <w:tc>
          <w:tcPr>
            <w:tcW w:w="2880" w:type="dxa"/>
            <w:tcBorders>
              <w:top w:val="single" w:sz="4" w:space="0" w:color="auto"/>
              <w:left w:val="nil"/>
              <w:bottom w:val="single" w:sz="4" w:space="0" w:color="auto"/>
              <w:right w:val="nil"/>
            </w:tcBorders>
            <w:shd w:val="clear" w:color="auto" w:fill="auto"/>
            <w:noWrap/>
            <w:vAlign w:val="center"/>
          </w:tcPr>
          <w:p w14:paraId="67E9003E"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Santa Cruz; sc-8393</w:t>
            </w:r>
          </w:p>
        </w:tc>
      </w:tr>
      <w:tr w:rsidR="00667525" w:rsidRPr="0034681A" w14:paraId="71F51601" w14:textId="77777777" w:rsidTr="000D4D0C">
        <w:trPr>
          <w:trHeight w:val="345"/>
        </w:trPr>
        <w:tc>
          <w:tcPr>
            <w:tcW w:w="2520" w:type="dxa"/>
            <w:tcBorders>
              <w:top w:val="single" w:sz="4" w:space="0" w:color="auto"/>
              <w:left w:val="nil"/>
              <w:bottom w:val="single" w:sz="4" w:space="0" w:color="auto"/>
              <w:right w:val="nil"/>
            </w:tcBorders>
            <w:shd w:val="clear" w:color="auto" w:fill="auto"/>
            <w:noWrap/>
            <w:vAlign w:val="center"/>
          </w:tcPr>
          <w:p w14:paraId="59FB2C97"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Alpha Tubulin</w:t>
            </w:r>
          </w:p>
        </w:tc>
        <w:tc>
          <w:tcPr>
            <w:tcW w:w="3600" w:type="dxa"/>
            <w:tcBorders>
              <w:top w:val="single" w:sz="4" w:space="0" w:color="auto"/>
              <w:left w:val="nil"/>
              <w:bottom w:val="single" w:sz="4" w:space="0" w:color="auto"/>
              <w:right w:val="nil"/>
            </w:tcBorders>
            <w:shd w:val="clear" w:color="auto" w:fill="auto"/>
            <w:noWrap/>
            <w:vAlign w:val="center"/>
          </w:tcPr>
          <w:p w14:paraId="13EA787F"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1:500 (WB)</w:t>
            </w:r>
          </w:p>
        </w:tc>
        <w:tc>
          <w:tcPr>
            <w:tcW w:w="2880" w:type="dxa"/>
            <w:tcBorders>
              <w:top w:val="single" w:sz="4" w:space="0" w:color="auto"/>
              <w:left w:val="nil"/>
              <w:bottom w:val="single" w:sz="4" w:space="0" w:color="auto"/>
              <w:right w:val="nil"/>
            </w:tcBorders>
            <w:shd w:val="clear" w:color="auto" w:fill="auto"/>
            <w:noWrap/>
            <w:vAlign w:val="center"/>
          </w:tcPr>
          <w:p w14:paraId="251D593C"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Invitrogen; 62204</w:t>
            </w:r>
          </w:p>
        </w:tc>
      </w:tr>
      <w:tr w:rsidR="00667525" w:rsidRPr="0034681A" w14:paraId="2A954356" w14:textId="77777777" w:rsidTr="000D4D0C">
        <w:trPr>
          <w:trHeight w:val="345"/>
        </w:trPr>
        <w:tc>
          <w:tcPr>
            <w:tcW w:w="2520" w:type="dxa"/>
            <w:tcBorders>
              <w:top w:val="single" w:sz="4" w:space="0" w:color="auto"/>
              <w:left w:val="nil"/>
              <w:bottom w:val="single" w:sz="4" w:space="0" w:color="auto"/>
              <w:right w:val="nil"/>
            </w:tcBorders>
            <w:shd w:val="clear" w:color="auto" w:fill="auto"/>
            <w:noWrap/>
            <w:vAlign w:val="center"/>
          </w:tcPr>
          <w:p w14:paraId="625A21F1"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PLCβ1</w:t>
            </w:r>
          </w:p>
        </w:tc>
        <w:tc>
          <w:tcPr>
            <w:tcW w:w="3600" w:type="dxa"/>
            <w:tcBorders>
              <w:top w:val="single" w:sz="4" w:space="0" w:color="auto"/>
              <w:left w:val="nil"/>
              <w:bottom w:val="single" w:sz="4" w:space="0" w:color="auto"/>
              <w:right w:val="nil"/>
            </w:tcBorders>
            <w:shd w:val="clear" w:color="auto" w:fill="auto"/>
            <w:noWrap/>
            <w:vAlign w:val="center"/>
          </w:tcPr>
          <w:p w14:paraId="36D504E0"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1:500 (WB), 1:50 (IF)</w:t>
            </w:r>
          </w:p>
        </w:tc>
        <w:tc>
          <w:tcPr>
            <w:tcW w:w="2880" w:type="dxa"/>
            <w:tcBorders>
              <w:top w:val="single" w:sz="4" w:space="0" w:color="auto"/>
              <w:left w:val="nil"/>
              <w:bottom w:val="single" w:sz="4" w:space="0" w:color="auto"/>
              <w:right w:val="nil"/>
            </w:tcBorders>
            <w:shd w:val="clear" w:color="auto" w:fill="auto"/>
            <w:noWrap/>
            <w:vAlign w:val="center"/>
          </w:tcPr>
          <w:p w14:paraId="2528D58D"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Invitrogen; PA5-76089</w:t>
            </w:r>
          </w:p>
        </w:tc>
      </w:tr>
      <w:tr w:rsidR="00667525" w:rsidRPr="0034681A" w14:paraId="7AF947FD" w14:textId="77777777" w:rsidTr="000D4D0C">
        <w:trPr>
          <w:trHeight w:val="345"/>
        </w:trPr>
        <w:tc>
          <w:tcPr>
            <w:tcW w:w="2520" w:type="dxa"/>
            <w:tcBorders>
              <w:top w:val="single" w:sz="4" w:space="0" w:color="auto"/>
              <w:left w:val="nil"/>
              <w:bottom w:val="single" w:sz="4" w:space="0" w:color="auto"/>
              <w:right w:val="nil"/>
            </w:tcBorders>
            <w:shd w:val="clear" w:color="auto" w:fill="auto"/>
            <w:noWrap/>
            <w:vAlign w:val="center"/>
          </w:tcPr>
          <w:p w14:paraId="3B450E2A"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PLCβ2</w:t>
            </w:r>
          </w:p>
        </w:tc>
        <w:tc>
          <w:tcPr>
            <w:tcW w:w="3600" w:type="dxa"/>
            <w:tcBorders>
              <w:top w:val="single" w:sz="4" w:space="0" w:color="auto"/>
              <w:left w:val="nil"/>
              <w:bottom w:val="single" w:sz="4" w:space="0" w:color="auto"/>
              <w:right w:val="nil"/>
            </w:tcBorders>
            <w:shd w:val="clear" w:color="auto" w:fill="auto"/>
            <w:noWrap/>
            <w:vAlign w:val="center"/>
          </w:tcPr>
          <w:p w14:paraId="633D2584"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1:400 (WB); 1:100 (IF)</w:t>
            </w:r>
          </w:p>
        </w:tc>
        <w:tc>
          <w:tcPr>
            <w:tcW w:w="2880" w:type="dxa"/>
            <w:tcBorders>
              <w:top w:val="single" w:sz="4" w:space="0" w:color="auto"/>
              <w:left w:val="nil"/>
              <w:bottom w:val="single" w:sz="4" w:space="0" w:color="auto"/>
              <w:right w:val="nil"/>
            </w:tcBorders>
            <w:shd w:val="clear" w:color="auto" w:fill="auto"/>
            <w:noWrap/>
            <w:vAlign w:val="center"/>
          </w:tcPr>
          <w:p w14:paraId="3BD52500"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My Bio Source, MBS9606175</w:t>
            </w:r>
          </w:p>
        </w:tc>
      </w:tr>
      <w:tr w:rsidR="00667525" w:rsidRPr="0034681A" w14:paraId="4576F134" w14:textId="77777777" w:rsidTr="000D4D0C">
        <w:trPr>
          <w:trHeight w:val="345"/>
        </w:trPr>
        <w:tc>
          <w:tcPr>
            <w:tcW w:w="2520" w:type="dxa"/>
            <w:tcBorders>
              <w:top w:val="single" w:sz="4" w:space="0" w:color="auto"/>
              <w:left w:val="nil"/>
              <w:bottom w:val="single" w:sz="4" w:space="0" w:color="auto"/>
              <w:right w:val="nil"/>
            </w:tcBorders>
            <w:shd w:val="clear" w:color="auto" w:fill="auto"/>
            <w:noWrap/>
            <w:vAlign w:val="center"/>
          </w:tcPr>
          <w:p w14:paraId="484BB0B1"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BiP</w:t>
            </w:r>
          </w:p>
        </w:tc>
        <w:tc>
          <w:tcPr>
            <w:tcW w:w="3600" w:type="dxa"/>
            <w:tcBorders>
              <w:top w:val="single" w:sz="4" w:space="0" w:color="auto"/>
              <w:left w:val="nil"/>
              <w:bottom w:val="single" w:sz="4" w:space="0" w:color="auto"/>
              <w:right w:val="nil"/>
            </w:tcBorders>
            <w:shd w:val="clear" w:color="auto" w:fill="auto"/>
            <w:noWrap/>
            <w:vAlign w:val="center"/>
          </w:tcPr>
          <w:p w14:paraId="1AC652D7"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1:500 (WB)</w:t>
            </w:r>
          </w:p>
        </w:tc>
        <w:tc>
          <w:tcPr>
            <w:tcW w:w="2880" w:type="dxa"/>
            <w:tcBorders>
              <w:top w:val="single" w:sz="4" w:space="0" w:color="auto"/>
              <w:left w:val="nil"/>
              <w:bottom w:val="single" w:sz="4" w:space="0" w:color="auto"/>
              <w:right w:val="nil"/>
            </w:tcBorders>
            <w:shd w:val="clear" w:color="auto" w:fill="auto"/>
            <w:noWrap/>
            <w:vAlign w:val="center"/>
          </w:tcPr>
          <w:p w14:paraId="4564C218"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Cell Signaling; 3177S</w:t>
            </w:r>
          </w:p>
        </w:tc>
      </w:tr>
      <w:tr w:rsidR="00667525" w:rsidRPr="0034681A" w14:paraId="0BF00132" w14:textId="77777777" w:rsidTr="000D4D0C">
        <w:trPr>
          <w:trHeight w:val="345"/>
        </w:trPr>
        <w:tc>
          <w:tcPr>
            <w:tcW w:w="2520" w:type="dxa"/>
            <w:tcBorders>
              <w:top w:val="single" w:sz="4" w:space="0" w:color="auto"/>
              <w:left w:val="nil"/>
              <w:bottom w:val="single" w:sz="4" w:space="0" w:color="auto"/>
              <w:right w:val="nil"/>
            </w:tcBorders>
            <w:shd w:val="clear" w:color="auto" w:fill="auto"/>
            <w:noWrap/>
            <w:vAlign w:val="center"/>
          </w:tcPr>
          <w:p w14:paraId="7F103399"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GPR68</w:t>
            </w:r>
          </w:p>
        </w:tc>
        <w:tc>
          <w:tcPr>
            <w:tcW w:w="3600" w:type="dxa"/>
            <w:tcBorders>
              <w:top w:val="single" w:sz="4" w:space="0" w:color="auto"/>
              <w:left w:val="nil"/>
              <w:bottom w:val="single" w:sz="4" w:space="0" w:color="auto"/>
              <w:right w:val="nil"/>
            </w:tcBorders>
            <w:shd w:val="clear" w:color="auto" w:fill="auto"/>
            <w:noWrap/>
            <w:vAlign w:val="center"/>
          </w:tcPr>
          <w:p w14:paraId="2B988160"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1:500 (WB)</w:t>
            </w:r>
          </w:p>
        </w:tc>
        <w:tc>
          <w:tcPr>
            <w:tcW w:w="2880" w:type="dxa"/>
            <w:tcBorders>
              <w:top w:val="single" w:sz="4" w:space="0" w:color="auto"/>
              <w:left w:val="nil"/>
              <w:bottom w:val="single" w:sz="4" w:space="0" w:color="auto"/>
              <w:right w:val="nil"/>
            </w:tcBorders>
            <w:shd w:val="clear" w:color="auto" w:fill="auto"/>
            <w:noWrap/>
            <w:vAlign w:val="center"/>
          </w:tcPr>
          <w:p w14:paraId="14A7FF0B"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Invitrogen; 16H23L16</w:t>
            </w:r>
          </w:p>
        </w:tc>
      </w:tr>
      <w:tr w:rsidR="00667525" w:rsidRPr="0034681A" w14:paraId="330B1CBB" w14:textId="77777777" w:rsidTr="000D4D0C">
        <w:trPr>
          <w:trHeight w:val="345"/>
        </w:trPr>
        <w:tc>
          <w:tcPr>
            <w:tcW w:w="2520" w:type="dxa"/>
            <w:tcBorders>
              <w:top w:val="single" w:sz="4" w:space="0" w:color="auto"/>
              <w:left w:val="nil"/>
              <w:bottom w:val="single" w:sz="4" w:space="0" w:color="auto"/>
              <w:right w:val="nil"/>
            </w:tcBorders>
            <w:shd w:val="clear" w:color="auto" w:fill="auto"/>
            <w:noWrap/>
            <w:vAlign w:val="center"/>
          </w:tcPr>
          <w:p w14:paraId="116A977C"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AF488 MUC15</w:t>
            </w:r>
          </w:p>
        </w:tc>
        <w:tc>
          <w:tcPr>
            <w:tcW w:w="3600" w:type="dxa"/>
            <w:tcBorders>
              <w:top w:val="single" w:sz="4" w:space="0" w:color="auto"/>
              <w:left w:val="nil"/>
              <w:bottom w:val="single" w:sz="4" w:space="0" w:color="auto"/>
              <w:right w:val="nil"/>
            </w:tcBorders>
            <w:shd w:val="clear" w:color="auto" w:fill="auto"/>
            <w:noWrap/>
            <w:vAlign w:val="center"/>
          </w:tcPr>
          <w:p w14:paraId="41422BFD"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1:50 (IF)</w:t>
            </w:r>
          </w:p>
        </w:tc>
        <w:tc>
          <w:tcPr>
            <w:tcW w:w="2880" w:type="dxa"/>
            <w:tcBorders>
              <w:top w:val="single" w:sz="4" w:space="0" w:color="auto"/>
              <w:left w:val="nil"/>
              <w:bottom w:val="single" w:sz="4" w:space="0" w:color="auto"/>
              <w:right w:val="nil"/>
            </w:tcBorders>
            <w:shd w:val="clear" w:color="auto" w:fill="auto"/>
            <w:noWrap/>
            <w:vAlign w:val="center"/>
          </w:tcPr>
          <w:p w14:paraId="229E6EBD"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Santa Cruz; sc-365746 AF488</w:t>
            </w:r>
          </w:p>
        </w:tc>
      </w:tr>
      <w:tr w:rsidR="00667525" w:rsidRPr="0034681A" w14:paraId="58EC31C9" w14:textId="77777777" w:rsidTr="000D4D0C">
        <w:trPr>
          <w:trHeight w:val="345"/>
        </w:trPr>
        <w:tc>
          <w:tcPr>
            <w:tcW w:w="2520" w:type="dxa"/>
            <w:tcBorders>
              <w:top w:val="single" w:sz="4" w:space="0" w:color="auto"/>
              <w:left w:val="nil"/>
              <w:bottom w:val="single" w:sz="4" w:space="0" w:color="auto"/>
              <w:right w:val="nil"/>
            </w:tcBorders>
            <w:shd w:val="clear" w:color="auto" w:fill="auto"/>
            <w:noWrap/>
            <w:vAlign w:val="center"/>
          </w:tcPr>
          <w:p w14:paraId="4C5A0421"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AF488 Phalloidin</w:t>
            </w:r>
          </w:p>
        </w:tc>
        <w:tc>
          <w:tcPr>
            <w:tcW w:w="3600" w:type="dxa"/>
            <w:tcBorders>
              <w:top w:val="single" w:sz="4" w:space="0" w:color="auto"/>
              <w:left w:val="nil"/>
              <w:bottom w:val="single" w:sz="4" w:space="0" w:color="auto"/>
              <w:right w:val="nil"/>
            </w:tcBorders>
            <w:shd w:val="clear" w:color="auto" w:fill="auto"/>
            <w:noWrap/>
            <w:vAlign w:val="center"/>
          </w:tcPr>
          <w:p w14:paraId="345D49CB"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1:200 (IF)</w:t>
            </w:r>
          </w:p>
        </w:tc>
        <w:tc>
          <w:tcPr>
            <w:tcW w:w="2880" w:type="dxa"/>
            <w:tcBorders>
              <w:top w:val="single" w:sz="4" w:space="0" w:color="auto"/>
              <w:left w:val="nil"/>
              <w:bottom w:val="single" w:sz="4" w:space="0" w:color="auto"/>
              <w:right w:val="nil"/>
            </w:tcBorders>
            <w:shd w:val="clear" w:color="auto" w:fill="auto"/>
            <w:noWrap/>
            <w:vAlign w:val="center"/>
          </w:tcPr>
          <w:p w14:paraId="79E4C87C" w14:textId="77777777" w:rsidR="00667525" w:rsidRPr="0034681A" w:rsidRDefault="00667525" w:rsidP="000D4D0C">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Invitrogen; A12379</w:t>
            </w:r>
          </w:p>
        </w:tc>
      </w:tr>
      <w:tr w:rsidR="00667525" w:rsidRPr="0034681A" w14:paraId="1E54B8A4" w14:textId="77777777" w:rsidTr="000D4D0C">
        <w:trPr>
          <w:trHeight w:val="345"/>
        </w:trPr>
        <w:tc>
          <w:tcPr>
            <w:tcW w:w="2520" w:type="dxa"/>
            <w:tcBorders>
              <w:top w:val="single" w:sz="4" w:space="0" w:color="auto"/>
              <w:left w:val="nil"/>
              <w:bottom w:val="single" w:sz="4" w:space="0" w:color="auto"/>
              <w:right w:val="nil"/>
            </w:tcBorders>
            <w:shd w:val="clear" w:color="auto" w:fill="auto"/>
            <w:noWrap/>
            <w:vAlign w:val="center"/>
          </w:tcPr>
          <w:p w14:paraId="783EC5DB" w14:textId="77777777" w:rsidR="00667525" w:rsidRPr="00084B20" w:rsidRDefault="00667525" w:rsidP="000D4D0C">
            <w:pPr>
              <w:spacing w:before="60" w:after="60"/>
              <w:rPr>
                <w:rFonts w:ascii="Arial" w:eastAsia="Times New Roman" w:hAnsi="Arial" w:cs="Arial"/>
                <w:color w:val="000000"/>
                <w:sz w:val="20"/>
                <w:szCs w:val="20"/>
              </w:rPr>
            </w:pPr>
            <w:r w:rsidRPr="00084B20">
              <w:rPr>
                <w:rFonts w:ascii="Arial" w:eastAsia="Times New Roman" w:hAnsi="Arial" w:cs="Arial"/>
                <w:color w:val="000000"/>
                <w:sz w:val="20"/>
                <w:szCs w:val="20"/>
              </w:rPr>
              <w:t>AF594 NF-κB</w:t>
            </w:r>
          </w:p>
        </w:tc>
        <w:tc>
          <w:tcPr>
            <w:tcW w:w="3600" w:type="dxa"/>
            <w:tcBorders>
              <w:top w:val="single" w:sz="4" w:space="0" w:color="auto"/>
              <w:left w:val="nil"/>
              <w:bottom w:val="single" w:sz="4" w:space="0" w:color="auto"/>
              <w:right w:val="nil"/>
            </w:tcBorders>
            <w:shd w:val="clear" w:color="auto" w:fill="auto"/>
            <w:noWrap/>
            <w:vAlign w:val="center"/>
          </w:tcPr>
          <w:p w14:paraId="1B395A99" w14:textId="77777777" w:rsidR="00667525" w:rsidRPr="00084B20" w:rsidRDefault="00667525" w:rsidP="000D4D0C">
            <w:pPr>
              <w:spacing w:before="60" w:after="60"/>
              <w:rPr>
                <w:rFonts w:ascii="Arial" w:eastAsia="Times New Roman" w:hAnsi="Arial" w:cs="Arial"/>
                <w:color w:val="000000"/>
                <w:sz w:val="20"/>
                <w:szCs w:val="20"/>
              </w:rPr>
            </w:pPr>
            <w:r w:rsidRPr="00084B20">
              <w:rPr>
                <w:rFonts w:ascii="Arial" w:eastAsia="Times New Roman" w:hAnsi="Arial" w:cs="Arial"/>
                <w:color w:val="000000"/>
                <w:sz w:val="20"/>
                <w:szCs w:val="20"/>
              </w:rPr>
              <w:t>1:100 (IF)</w:t>
            </w:r>
          </w:p>
        </w:tc>
        <w:tc>
          <w:tcPr>
            <w:tcW w:w="2880" w:type="dxa"/>
            <w:tcBorders>
              <w:top w:val="single" w:sz="4" w:space="0" w:color="auto"/>
              <w:left w:val="nil"/>
              <w:bottom w:val="single" w:sz="4" w:space="0" w:color="auto"/>
              <w:right w:val="nil"/>
            </w:tcBorders>
            <w:shd w:val="clear" w:color="auto" w:fill="auto"/>
            <w:noWrap/>
            <w:vAlign w:val="center"/>
          </w:tcPr>
          <w:p w14:paraId="025552C3" w14:textId="77777777" w:rsidR="00667525" w:rsidRPr="00084B20" w:rsidRDefault="00667525" w:rsidP="000D4D0C">
            <w:pPr>
              <w:spacing w:before="60" w:after="60"/>
              <w:rPr>
                <w:rFonts w:ascii="Arial" w:eastAsia="Times New Roman" w:hAnsi="Arial" w:cs="Arial"/>
                <w:color w:val="000000"/>
                <w:sz w:val="20"/>
                <w:szCs w:val="20"/>
              </w:rPr>
            </w:pPr>
            <w:r w:rsidRPr="00084B20">
              <w:rPr>
                <w:rFonts w:ascii="Arial" w:eastAsia="Times New Roman" w:hAnsi="Arial" w:cs="Arial"/>
                <w:color w:val="000000"/>
                <w:sz w:val="20"/>
                <w:szCs w:val="20"/>
              </w:rPr>
              <w:t>Santa Cruz; sc-8008 AF594</w:t>
            </w:r>
          </w:p>
        </w:tc>
      </w:tr>
      <w:tr w:rsidR="00667525" w:rsidRPr="0034681A" w14:paraId="0F62CEB4" w14:textId="77777777" w:rsidTr="000D4D0C">
        <w:trPr>
          <w:trHeight w:val="345"/>
        </w:trPr>
        <w:tc>
          <w:tcPr>
            <w:tcW w:w="2520" w:type="dxa"/>
            <w:tcBorders>
              <w:top w:val="single" w:sz="4" w:space="0" w:color="auto"/>
              <w:left w:val="nil"/>
              <w:bottom w:val="single" w:sz="4" w:space="0" w:color="auto"/>
              <w:right w:val="nil"/>
            </w:tcBorders>
            <w:shd w:val="clear" w:color="auto" w:fill="auto"/>
            <w:noWrap/>
            <w:vAlign w:val="center"/>
          </w:tcPr>
          <w:p w14:paraId="333C2F18" w14:textId="77777777" w:rsidR="00667525" w:rsidRPr="00084B20" w:rsidRDefault="00667525" w:rsidP="000D4D0C">
            <w:pPr>
              <w:spacing w:before="60" w:after="60"/>
              <w:rPr>
                <w:rFonts w:ascii="Arial" w:eastAsia="Times New Roman" w:hAnsi="Arial" w:cs="Arial"/>
                <w:color w:val="000000"/>
                <w:sz w:val="20"/>
                <w:szCs w:val="20"/>
              </w:rPr>
            </w:pPr>
            <w:r w:rsidRPr="00084B20">
              <w:rPr>
                <w:rFonts w:ascii="Arial" w:eastAsia="Times New Roman" w:hAnsi="Arial" w:cs="Arial"/>
                <w:color w:val="000000"/>
                <w:sz w:val="20"/>
                <w:szCs w:val="20"/>
              </w:rPr>
              <w:t>APC CD163</w:t>
            </w:r>
          </w:p>
        </w:tc>
        <w:tc>
          <w:tcPr>
            <w:tcW w:w="3600" w:type="dxa"/>
            <w:tcBorders>
              <w:top w:val="single" w:sz="4" w:space="0" w:color="auto"/>
              <w:left w:val="nil"/>
              <w:bottom w:val="single" w:sz="4" w:space="0" w:color="auto"/>
              <w:right w:val="nil"/>
            </w:tcBorders>
            <w:shd w:val="clear" w:color="auto" w:fill="auto"/>
            <w:noWrap/>
            <w:vAlign w:val="center"/>
          </w:tcPr>
          <w:p w14:paraId="26E76916" w14:textId="77777777" w:rsidR="00667525" w:rsidRPr="00084B20" w:rsidRDefault="00667525" w:rsidP="000D4D0C">
            <w:pPr>
              <w:spacing w:before="60" w:after="60"/>
              <w:rPr>
                <w:rFonts w:ascii="Arial" w:eastAsia="Times New Roman" w:hAnsi="Arial" w:cs="Arial"/>
                <w:color w:val="000000"/>
                <w:sz w:val="20"/>
                <w:szCs w:val="20"/>
              </w:rPr>
            </w:pPr>
            <w:r w:rsidRPr="00084B20">
              <w:rPr>
                <w:rFonts w:ascii="Arial" w:eastAsia="Times New Roman" w:hAnsi="Arial" w:cs="Arial"/>
                <w:color w:val="000000"/>
                <w:sz w:val="20"/>
                <w:szCs w:val="20"/>
              </w:rPr>
              <w:t>1:20 (FC)</w:t>
            </w:r>
          </w:p>
        </w:tc>
        <w:tc>
          <w:tcPr>
            <w:tcW w:w="2880" w:type="dxa"/>
            <w:tcBorders>
              <w:top w:val="single" w:sz="4" w:space="0" w:color="auto"/>
              <w:left w:val="nil"/>
              <w:bottom w:val="single" w:sz="4" w:space="0" w:color="auto"/>
              <w:right w:val="nil"/>
            </w:tcBorders>
            <w:shd w:val="clear" w:color="auto" w:fill="auto"/>
            <w:noWrap/>
            <w:vAlign w:val="center"/>
          </w:tcPr>
          <w:p w14:paraId="16B741C5" w14:textId="77777777" w:rsidR="00667525" w:rsidRPr="00084B20" w:rsidRDefault="00667525" w:rsidP="000D4D0C">
            <w:pPr>
              <w:spacing w:before="60" w:after="60"/>
              <w:rPr>
                <w:rFonts w:ascii="Arial" w:eastAsia="Times New Roman" w:hAnsi="Arial" w:cs="Arial"/>
                <w:color w:val="000000"/>
                <w:sz w:val="20"/>
                <w:szCs w:val="20"/>
              </w:rPr>
            </w:pPr>
            <w:r>
              <w:rPr>
                <w:rFonts w:ascii="Arial" w:eastAsia="Times New Roman" w:hAnsi="Arial" w:cs="Arial"/>
                <w:color w:val="000000"/>
                <w:sz w:val="20"/>
                <w:szCs w:val="20"/>
              </w:rPr>
              <w:t>BD Biosciences; 562669</w:t>
            </w:r>
          </w:p>
        </w:tc>
      </w:tr>
      <w:tr w:rsidR="00667525" w:rsidRPr="0034681A" w14:paraId="39710884" w14:textId="77777777" w:rsidTr="000D4D0C">
        <w:trPr>
          <w:trHeight w:val="345"/>
        </w:trPr>
        <w:tc>
          <w:tcPr>
            <w:tcW w:w="2520" w:type="dxa"/>
            <w:tcBorders>
              <w:top w:val="single" w:sz="4" w:space="0" w:color="auto"/>
              <w:left w:val="nil"/>
              <w:bottom w:val="single" w:sz="4" w:space="0" w:color="auto"/>
              <w:right w:val="nil"/>
            </w:tcBorders>
            <w:shd w:val="clear" w:color="auto" w:fill="auto"/>
            <w:noWrap/>
            <w:vAlign w:val="center"/>
          </w:tcPr>
          <w:p w14:paraId="5CA08257" w14:textId="77777777" w:rsidR="00667525" w:rsidRPr="00084B20" w:rsidRDefault="00667525" w:rsidP="000D4D0C">
            <w:pPr>
              <w:spacing w:before="60" w:after="60"/>
              <w:rPr>
                <w:rFonts w:ascii="Arial" w:eastAsia="Times New Roman" w:hAnsi="Arial" w:cs="Arial"/>
                <w:color w:val="000000"/>
                <w:sz w:val="20"/>
                <w:szCs w:val="20"/>
              </w:rPr>
            </w:pPr>
            <w:r w:rsidRPr="00084B20">
              <w:rPr>
                <w:rFonts w:ascii="Arial" w:eastAsia="Times New Roman" w:hAnsi="Arial" w:cs="Arial"/>
                <w:color w:val="000000"/>
                <w:sz w:val="20"/>
                <w:szCs w:val="20"/>
              </w:rPr>
              <w:t>APC CD86</w:t>
            </w:r>
          </w:p>
        </w:tc>
        <w:tc>
          <w:tcPr>
            <w:tcW w:w="3600" w:type="dxa"/>
            <w:tcBorders>
              <w:top w:val="single" w:sz="4" w:space="0" w:color="auto"/>
              <w:left w:val="nil"/>
              <w:bottom w:val="single" w:sz="4" w:space="0" w:color="auto"/>
              <w:right w:val="nil"/>
            </w:tcBorders>
            <w:shd w:val="clear" w:color="auto" w:fill="auto"/>
            <w:noWrap/>
            <w:vAlign w:val="center"/>
          </w:tcPr>
          <w:p w14:paraId="14B5313B" w14:textId="77777777" w:rsidR="00667525" w:rsidRPr="00084B20" w:rsidRDefault="00667525" w:rsidP="000D4D0C">
            <w:pPr>
              <w:spacing w:before="60" w:after="60"/>
              <w:rPr>
                <w:rFonts w:ascii="Arial" w:eastAsia="Times New Roman" w:hAnsi="Arial" w:cs="Arial"/>
                <w:color w:val="000000"/>
                <w:sz w:val="20"/>
                <w:szCs w:val="20"/>
              </w:rPr>
            </w:pPr>
            <w:r w:rsidRPr="00084B20">
              <w:rPr>
                <w:rFonts w:ascii="Arial" w:eastAsia="Times New Roman" w:hAnsi="Arial" w:cs="Arial"/>
                <w:color w:val="000000"/>
                <w:sz w:val="20"/>
                <w:szCs w:val="20"/>
              </w:rPr>
              <w:t>1:20 (FC)</w:t>
            </w:r>
          </w:p>
        </w:tc>
        <w:tc>
          <w:tcPr>
            <w:tcW w:w="2880" w:type="dxa"/>
            <w:tcBorders>
              <w:top w:val="single" w:sz="4" w:space="0" w:color="auto"/>
              <w:left w:val="nil"/>
              <w:bottom w:val="single" w:sz="4" w:space="0" w:color="auto"/>
              <w:right w:val="nil"/>
            </w:tcBorders>
            <w:shd w:val="clear" w:color="auto" w:fill="auto"/>
            <w:noWrap/>
            <w:vAlign w:val="center"/>
          </w:tcPr>
          <w:p w14:paraId="062E4DF3" w14:textId="77777777" w:rsidR="00667525" w:rsidRPr="00084B20" w:rsidRDefault="00667525" w:rsidP="000D4D0C">
            <w:pPr>
              <w:spacing w:before="60" w:after="60"/>
              <w:rPr>
                <w:rFonts w:ascii="Arial" w:eastAsia="Times New Roman" w:hAnsi="Arial" w:cs="Arial"/>
                <w:color w:val="000000"/>
                <w:sz w:val="20"/>
                <w:szCs w:val="20"/>
              </w:rPr>
            </w:pPr>
            <w:r>
              <w:rPr>
                <w:rFonts w:ascii="Arial" w:eastAsia="Times New Roman" w:hAnsi="Arial" w:cs="Arial"/>
                <w:color w:val="000000"/>
                <w:sz w:val="20"/>
                <w:szCs w:val="20"/>
              </w:rPr>
              <w:t>Fisher Scientific; 11-0689-42</w:t>
            </w:r>
          </w:p>
        </w:tc>
      </w:tr>
    </w:tbl>
    <w:p w14:paraId="4060945B" w14:textId="77777777" w:rsidR="00667525" w:rsidRPr="0038334B" w:rsidRDefault="00667525" w:rsidP="00667525">
      <w:pPr>
        <w:spacing w:line="240" w:lineRule="auto"/>
        <w:rPr>
          <w:rFonts w:ascii="Times New Roman" w:hAnsi="Times New Roman" w:cs="Times New Roman"/>
          <w:b/>
          <w:bCs/>
          <w:iCs/>
        </w:rPr>
      </w:pPr>
    </w:p>
    <w:p w14:paraId="551F25FE" w14:textId="77777777" w:rsidR="00755780" w:rsidRDefault="00755780"/>
    <w:sectPr w:rsidR="00755780" w:rsidSect="00667525">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525"/>
    <w:rsid w:val="00331A6B"/>
    <w:rsid w:val="00667525"/>
    <w:rsid w:val="00755780"/>
    <w:rsid w:val="00857596"/>
    <w:rsid w:val="00A012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73E76"/>
  <w15:chartTrackingRefBased/>
  <w15:docId w15:val="{2D6E316C-238B-40C0-BD36-FEAED322F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7525"/>
    <w:rPr>
      <w:kern w:val="0"/>
      <w14:ligatures w14:val="none"/>
    </w:rPr>
  </w:style>
  <w:style w:type="paragraph" w:styleId="Heading1">
    <w:name w:val="heading 1"/>
    <w:basedOn w:val="Normal"/>
    <w:next w:val="Normal"/>
    <w:link w:val="Heading1Char"/>
    <w:uiPriority w:val="9"/>
    <w:qFormat/>
    <w:rsid w:val="00667525"/>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67525"/>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67525"/>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67525"/>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667525"/>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667525"/>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667525"/>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667525"/>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667525"/>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75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75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75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75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75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75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75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75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7525"/>
    <w:rPr>
      <w:rFonts w:eastAsiaTheme="majorEastAsia" w:cstheme="majorBidi"/>
      <w:color w:val="272727" w:themeColor="text1" w:themeTint="D8"/>
    </w:rPr>
  </w:style>
  <w:style w:type="paragraph" w:styleId="Title">
    <w:name w:val="Title"/>
    <w:basedOn w:val="Normal"/>
    <w:next w:val="Normal"/>
    <w:link w:val="TitleChar"/>
    <w:uiPriority w:val="10"/>
    <w:qFormat/>
    <w:rsid w:val="00667525"/>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675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7525"/>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675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7525"/>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667525"/>
    <w:rPr>
      <w:i/>
      <w:iCs/>
      <w:color w:val="404040" w:themeColor="text1" w:themeTint="BF"/>
    </w:rPr>
  </w:style>
  <w:style w:type="paragraph" w:styleId="ListParagraph">
    <w:name w:val="List Paragraph"/>
    <w:basedOn w:val="Normal"/>
    <w:uiPriority w:val="34"/>
    <w:qFormat/>
    <w:rsid w:val="00667525"/>
    <w:pPr>
      <w:ind w:left="720"/>
      <w:contextualSpacing/>
    </w:pPr>
    <w:rPr>
      <w:kern w:val="2"/>
      <w14:ligatures w14:val="standardContextual"/>
    </w:rPr>
  </w:style>
  <w:style w:type="character" w:styleId="IntenseEmphasis">
    <w:name w:val="Intense Emphasis"/>
    <w:basedOn w:val="DefaultParagraphFont"/>
    <w:uiPriority w:val="21"/>
    <w:qFormat/>
    <w:rsid w:val="00667525"/>
    <w:rPr>
      <w:i/>
      <w:iCs/>
      <w:color w:val="0F4761" w:themeColor="accent1" w:themeShade="BF"/>
    </w:rPr>
  </w:style>
  <w:style w:type="paragraph" w:styleId="IntenseQuote">
    <w:name w:val="Intense Quote"/>
    <w:basedOn w:val="Normal"/>
    <w:next w:val="Normal"/>
    <w:link w:val="IntenseQuoteChar"/>
    <w:uiPriority w:val="30"/>
    <w:qFormat/>
    <w:rsid w:val="006675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667525"/>
    <w:rPr>
      <w:i/>
      <w:iCs/>
      <w:color w:val="0F4761" w:themeColor="accent1" w:themeShade="BF"/>
    </w:rPr>
  </w:style>
  <w:style w:type="character" w:styleId="IntenseReference">
    <w:name w:val="Intense Reference"/>
    <w:basedOn w:val="DefaultParagraphFont"/>
    <w:uiPriority w:val="32"/>
    <w:qFormat/>
    <w:rsid w:val="00667525"/>
    <w:rPr>
      <w:b/>
      <w:bCs/>
      <w:smallCaps/>
      <w:color w:val="0F4761" w:themeColor="accent1" w:themeShade="BF"/>
      <w:spacing w:val="5"/>
    </w:rPr>
  </w:style>
  <w:style w:type="paragraph" w:styleId="Caption">
    <w:name w:val="caption"/>
    <w:basedOn w:val="Normal"/>
    <w:next w:val="Normal"/>
    <w:uiPriority w:val="35"/>
    <w:unhideWhenUsed/>
    <w:qFormat/>
    <w:rsid w:val="00667525"/>
    <w:pPr>
      <w:spacing w:after="200" w:line="240" w:lineRule="auto"/>
    </w:pPr>
    <w:rPr>
      <w:i/>
      <w:iCs/>
      <w:color w:val="0E2841" w:themeColor="text2"/>
      <w:sz w:val="18"/>
      <w:szCs w:val="18"/>
    </w:rPr>
  </w:style>
  <w:style w:type="character" w:styleId="LineNumber">
    <w:name w:val="line number"/>
    <w:basedOn w:val="DefaultParagraphFont"/>
    <w:uiPriority w:val="99"/>
    <w:semiHidden/>
    <w:unhideWhenUsed/>
    <w:rsid w:val="006675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569</Words>
  <Characters>3248</Characters>
  <Application>Microsoft Office Word</Application>
  <DocSecurity>0</DocSecurity>
  <Lines>27</Lines>
  <Paragraphs>7</Paragraphs>
  <ScaleCrop>false</ScaleCrop>
  <Company>Springer Nature</Company>
  <LinksUpToDate>false</LinksUpToDate>
  <CharactersWithSpaces>3810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2024-10-14T06:48:00Z</dcterms:created>
  <dcterms:modified xsi:type="dcterms:W3CDTF">2024-10-14T06:48:00Z</dcterms:modified>
</cp:coreProperties>
</file>