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177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4"/>
        <w:gridCol w:w="1744"/>
        <w:gridCol w:w="3900"/>
      </w:tblGrid>
      <w:tr w14:paraId="7F4238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39" w:hRule="atLeast"/>
        </w:trPr>
        <w:tc>
          <w:tcPr>
            <w:tcW w:w="2554" w:type="dxa"/>
            <w:tcBorders>
              <w:bottom w:val="single" w:color="auto" w:sz="4" w:space="0"/>
            </w:tcBorders>
            <w:noWrap w:val="0"/>
            <w:vAlign w:val="top"/>
          </w:tcPr>
          <w:p w14:paraId="78C83017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>Gene</w:t>
            </w:r>
          </w:p>
        </w:tc>
        <w:tc>
          <w:tcPr>
            <w:tcW w:w="5644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6FAEF781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 w:eastAsia="Times New Roman"/>
                <w:bCs/>
                <w:color w:val="auto"/>
                <w:szCs w:val="21"/>
              </w:rPr>
              <w:t>Primer sequence</w:t>
            </w:r>
            <w:r>
              <w:rPr>
                <w:rFonts w:ascii="Times New Roman" w:hAnsi="Times New Roman"/>
                <w:bCs/>
                <w:color w:val="auto"/>
                <w:szCs w:val="21"/>
              </w:rPr>
              <w:t>（</w:t>
            </w:r>
            <w:r>
              <w:rPr>
                <w:rFonts w:ascii="Times New Roman" w:hAnsi="Times New Roman" w:eastAsia="Times New Roman"/>
                <w:bCs/>
                <w:color w:val="auto"/>
                <w:szCs w:val="21"/>
              </w:rPr>
              <w:t>5’ to 3’</w:t>
            </w:r>
            <w:r>
              <w:rPr>
                <w:rFonts w:ascii="Times New Roman" w:hAnsi="Times New Roman"/>
                <w:bCs/>
                <w:color w:val="auto"/>
                <w:szCs w:val="21"/>
              </w:rPr>
              <w:t>）</w:t>
            </w:r>
          </w:p>
        </w:tc>
      </w:tr>
      <w:tr w14:paraId="68117A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restart"/>
            <w:tcBorders>
              <w:top w:val="single" w:color="auto" w:sz="4" w:space="0"/>
              <w:bottom w:val="nil"/>
            </w:tcBorders>
            <w:noWrap w:val="0"/>
            <w:vAlign w:val="center"/>
          </w:tcPr>
          <w:p w14:paraId="34B625D9">
            <w:pPr>
              <w:spacing w:line="360" w:lineRule="auto"/>
              <w:jc w:val="both"/>
              <w:rPr>
                <w:rFonts w:hint="default" w:ascii="Times New Roman" w:hAnsi="Times New Roman" w:eastAsia="宋体"/>
                <w:color w:val="auto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2"/>
                <w:lang w:val="en-US" w:eastAsia="zh-CN"/>
              </w:rPr>
              <w:t>lncRNA LIPE-AS1</w:t>
            </w:r>
          </w:p>
        </w:tc>
        <w:tc>
          <w:tcPr>
            <w:tcW w:w="1744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 w14:paraId="28F6455E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Forward primer </w:t>
            </w:r>
          </w:p>
        </w:tc>
        <w:tc>
          <w:tcPr>
            <w:tcW w:w="3900" w:type="dxa"/>
            <w:tcBorders>
              <w:top w:val="single" w:color="auto" w:sz="4" w:space="0"/>
              <w:bottom w:val="nil"/>
            </w:tcBorders>
            <w:noWrap w:val="0"/>
            <w:vAlign w:val="center"/>
          </w:tcPr>
          <w:p w14:paraId="6657F8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AGTGCTCAGTCGCAGACATC</w:t>
            </w:r>
          </w:p>
        </w:tc>
      </w:tr>
      <w:tr w14:paraId="7923DF8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continue"/>
            <w:tcBorders>
              <w:top w:val="nil"/>
            </w:tcBorders>
            <w:noWrap w:val="0"/>
            <w:vAlign w:val="center"/>
          </w:tcPr>
          <w:p w14:paraId="787EBC11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  <w:tc>
          <w:tcPr>
            <w:tcW w:w="1744" w:type="dxa"/>
            <w:tcBorders>
              <w:top w:val="nil"/>
            </w:tcBorders>
            <w:noWrap w:val="0"/>
            <w:vAlign w:val="top"/>
          </w:tcPr>
          <w:p w14:paraId="508AF621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Reverse primer </w:t>
            </w:r>
          </w:p>
        </w:tc>
        <w:tc>
          <w:tcPr>
            <w:tcW w:w="3900" w:type="dxa"/>
            <w:tcBorders>
              <w:top w:val="nil"/>
            </w:tcBorders>
            <w:noWrap w:val="0"/>
            <w:vAlign w:val="center"/>
          </w:tcPr>
          <w:p w14:paraId="74B50E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AAGTACGCTGTCCTCCCTCT </w:t>
            </w:r>
          </w:p>
        </w:tc>
      </w:tr>
      <w:tr w14:paraId="6454DE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554" w:type="dxa"/>
            <w:vMerge w:val="restart"/>
            <w:noWrap w:val="0"/>
            <w:vAlign w:val="center"/>
          </w:tcPr>
          <w:p w14:paraId="35A73E3F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lncRNA AC010761.9</w:t>
            </w:r>
          </w:p>
        </w:tc>
        <w:tc>
          <w:tcPr>
            <w:tcW w:w="1744" w:type="dxa"/>
            <w:noWrap w:val="0"/>
            <w:vAlign w:val="top"/>
          </w:tcPr>
          <w:p w14:paraId="61717102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Forward primer </w:t>
            </w:r>
          </w:p>
        </w:tc>
        <w:tc>
          <w:tcPr>
            <w:tcW w:w="3900" w:type="dxa"/>
            <w:noWrap w:val="0"/>
            <w:vAlign w:val="center"/>
          </w:tcPr>
          <w:p w14:paraId="3A59298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GAGGGAACACTTCTTGCGGG</w:t>
            </w:r>
          </w:p>
        </w:tc>
      </w:tr>
      <w:tr w14:paraId="1352FA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554" w:type="dxa"/>
            <w:vMerge w:val="continue"/>
            <w:noWrap w:val="0"/>
            <w:vAlign w:val="center"/>
          </w:tcPr>
          <w:p w14:paraId="23260D4F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  <w:tc>
          <w:tcPr>
            <w:tcW w:w="1744" w:type="dxa"/>
            <w:noWrap w:val="0"/>
            <w:vAlign w:val="top"/>
          </w:tcPr>
          <w:p w14:paraId="351F0CF5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Reverse primer </w:t>
            </w:r>
          </w:p>
        </w:tc>
        <w:tc>
          <w:tcPr>
            <w:tcW w:w="3900" w:type="dxa"/>
            <w:noWrap w:val="0"/>
            <w:vAlign w:val="center"/>
          </w:tcPr>
          <w:p w14:paraId="468A4A3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CAGGGCCAGTGTCAACCAAA</w:t>
            </w:r>
          </w:p>
        </w:tc>
      </w:tr>
      <w:tr w14:paraId="723C7AE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554" w:type="dxa"/>
            <w:vMerge w:val="restart"/>
            <w:noWrap w:val="0"/>
            <w:vAlign w:val="center"/>
          </w:tcPr>
          <w:p w14:paraId="5174E236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lncRNA AK126698 </w:t>
            </w:r>
          </w:p>
        </w:tc>
        <w:tc>
          <w:tcPr>
            <w:tcW w:w="1744" w:type="dxa"/>
            <w:noWrap w:val="0"/>
            <w:vAlign w:val="top"/>
          </w:tcPr>
          <w:p w14:paraId="798795D6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Forward primer </w:t>
            </w:r>
          </w:p>
        </w:tc>
        <w:tc>
          <w:tcPr>
            <w:tcW w:w="3900" w:type="dxa"/>
            <w:noWrap w:val="0"/>
            <w:vAlign w:val="center"/>
          </w:tcPr>
          <w:p w14:paraId="4EDAAB4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CTGGCAAGTTCTCATCCACA</w:t>
            </w:r>
          </w:p>
        </w:tc>
      </w:tr>
      <w:tr w14:paraId="76580C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554" w:type="dxa"/>
            <w:vMerge w:val="continue"/>
            <w:noWrap w:val="0"/>
            <w:vAlign w:val="center"/>
          </w:tcPr>
          <w:p w14:paraId="747D5525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  <w:tc>
          <w:tcPr>
            <w:tcW w:w="1744" w:type="dxa"/>
            <w:noWrap w:val="0"/>
            <w:vAlign w:val="top"/>
          </w:tcPr>
          <w:p w14:paraId="7143B49C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Reverse primer </w:t>
            </w:r>
          </w:p>
        </w:tc>
        <w:tc>
          <w:tcPr>
            <w:tcW w:w="3900" w:type="dxa"/>
            <w:noWrap w:val="0"/>
            <w:vAlign w:val="center"/>
          </w:tcPr>
          <w:p w14:paraId="2F09C06A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ATGTTGGCCAAGTTGGTCTC</w:t>
            </w:r>
          </w:p>
        </w:tc>
      </w:tr>
      <w:tr w14:paraId="2C1AEF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554" w:type="dxa"/>
            <w:vMerge w:val="restart"/>
            <w:noWrap w:val="0"/>
            <w:vAlign w:val="center"/>
          </w:tcPr>
          <w:p w14:paraId="68DBA98D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lncRNA MX1-1</w:t>
            </w:r>
          </w:p>
        </w:tc>
        <w:tc>
          <w:tcPr>
            <w:tcW w:w="1744" w:type="dxa"/>
            <w:noWrap w:val="0"/>
            <w:vAlign w:val="top"/>
          </w:tcPr>
          <w:p w14:paraId="68603A35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Forward primer </w:t>
            </w:r>
          </w:p>
        </w:tc>
        <w:tc>
          <w:tcPr>
            <w:tcW w:w="3900" w:type="dxa"/>
            <w:noWrap w:val="0"/>
            <w:vAlign w:val="center"/>
          </w:tcPr>
          <w:p w14:paraId="6D0F1AB2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GCAAGACACAAAGCAAGGCAC</w:t>
            </w:r>
          </w:p>
        </w:tc>
      </w:tr>
      <w:tr w14:paraId="04C87A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continue"/>
            <w:noWrap w:val="0"/>
            <w:vAlign w:val="center"/>
          </w:tcPr>
          <w:p w14:paraId="57CFD073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  <w:tc>
          <w:tcPr>
            <w:tcW w:w="1744" w:type="dxa"/>
            <w:noWrap w:val="0"/>
            <w:vAlign w:val="top"/>
          </w:tcPr>
          <w:p w14:paraId="6376870B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Reverse primer </w:t>
            </w:r>
          </w:p>
        </w:tc>
        <w:tc>
          <w:tcPr>
            <w:tcW w:w="3900" w:type="dxa"/>
            <w:noWrap w:val="0"/>
            <w:vAlign w:val="center"/>
          </w:tcPr>
          <w:p w14:paraId="77CADC14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CAGTGGGTGAGTGAGGACA</w:t>
            </w:r>
          </w:p>
        </w:tc>
      </w:tr>
      <w:tr w14:paraId="11ECC7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restart"/>
            <w:noWrap w:val="0"/>
            <w:vAlign w:val="center"/>
          </w:tcPr>
          <w:p w14:paraId="1ADA6717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lncRNA DLX6-AS1 </w:t>
            </w:r>
          </w:p>
        </w:tc>
        <w:tc>
          <w:tcPr>
            <w:tcW w:w="1744" w:type="dxa"/>
            <w:noWrap w:val="0"/>
            <w:vAlign w:val="top"/>
          </w:tcPr>
          <w:p w14:paraId="571BC868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Forward primer </w:t>
            </w:r>
          </w:p>
        </w:tc>
        <w:tc>
          <w:tcPr>
            <w:tcW w:w="3900" w:type="dxa"/>
            <w:noWrap w:val="0"/>
            <w:vAlign w:val="center"/>
          </w:tcPr>
          <w:p w14:paraId="57A4B424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TGGCAGCTATACATAAGGA </w:t>
            </w:r>
          </w:p>
        </w:tc>
      </w:tr>
      <w:tr w14:paraId="14BA84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continue"/>
            <w:tcBorders/>
            <w:noWrap w:val="0"/>
            <w:vAlign w:val="center"/>
          </w:tcPr>
          <w:p w14:paraId="086638A1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  <w:tc>
          <w:tcPr>
            <w:tcW w:w="1744" w:type="dxa"/>
            <w:noWrap w:val="0"/>
            <w:vAlign w:val="top"/>
          </w:tcPr>
          <w:p w14:paraId="15FA34CC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Reverse primer </w:t>
            </w:r>
          </w:p>
        </w:tc>
        <w:tc>
          <w:tcPr>
            <w:tcW w:w="3900" w:type="dxa"/>
            <w:noWrap w:val="0"/>
            <w:vAlign w:val="center"/>
          </w:tcPr>
          <w:p w14:paraId="6397D0BB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CAAATCATTACTTCCAACCCC</w:t>
            </w:r>
          </w:p>
        </w:tc>
      </w:tr>
      <w:tr w14:paraId="36E8A1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restart"/>
            <w:tcBorders/>
            <w:noWrap w:val="0"/>
            <w:vAlign w:val="center"/>
          </w:tcPr>
          <w:p w14:paraId="69D1DDDF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miR-330-5p</w:t>
            </w:r>
          </w:p>
        </w:tc>
        <w:tc>
          <w:tcPr>
            <w:tcW w:w="1744" w:type="dxa"/>
            <w:noWrap w:val="0"/>
            <w:vAlign w:val="top"/>
          </w:tcPr>
          <w:p w14:paraId="74F6183B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Forward primer </w:t>
            </w:r>
          </w:p>
        </w:tc>
        <w:tc>
          <w:tcPr>
            <w:tcW w:w="3900" w:type="dxa"/>
            <w:noWrap w:val="0"/>
            <w:vAlign w:val="center"/>
          </w:tcPr>
          <w:p w14:paraId="49C1E5A3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TCTCTGGGCCTGTGTCTTAG </w:t>
            </w:r>
          </w:p>
        </w:tc>
      </w:tr>
      <w:tr w14:paraId="593D344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continue"/>
            <w:tcBorders/>
            <w:noWrap w:val="0"/>
            <w:vAlign w:val="center"/>
          </w:tcPr>
          <w:p w14:paraId="44C7DFF7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  <w:tc>
          <w:tcPr>
            <w:tcW w:w="1744" w:type="dxa"/>
            <w:noWrap w:val="0"/>
            <w:vAlign w:val="top"/>
          </w:tcPr>
          <w:p w14:paraId="37FC4C07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Reverse primer </w:t>
            </w:r>
          </w:p>
        </w:tc>
        <w:tc>
          <w:tcPr>
            <w:tcW w:w="3900" w:type="dxa"/>
            <w:noWrap w:val="0"/>
            <w:vAlign w:val="center"/>
          </w:tcPr>
          <w:p w14:paraId="739E61E9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CAGTGCGTGTCGTGGAGT</w:t>
            </w:r>
          </w:p>
        </w:tc>
      </w:tr>
      <w:tr w14:paraId="3BD484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554" w:type="dxa"/>
            <w:vMerge w:val="restart"/>
            <w:tcBorders/>
            <w:noWrap w:val="0"/>
            <w:vAlign w:val="center"/>
          </w:tcPr>
          <w:p w14:paraId="30CCA0AF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HDAC3 </w:t>
            </w:r>
          </w:p>
        </w:tc>
        <w:tc>
          <w:tcPr>
            <w:tcW w:w="1744" w:type="dxa"/>
            <w:noWrap w:val="0"/>
            <w:vAlign w:val="top"/>
          </w:tcPr>
          <w:p w14:paraId="2101282A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Forward primer </w:t>
            </w:r>
          </w:p>
        </w:tc>
        <w:tc>
          <w:tcPr>
            <w:tcW w:w="3900" w:type="dxa"/>
            <w:noWrap w:val="0"/>
            <w:vAlign w:val="center"/>
          </w:tcPr>
          <w:p w14:paraId="2E30FDDD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AGTTCTGCTCGCGTTACACA</w:t>
            </w:r>
          </w:p>
        </w:tc>
      </w:tr>
      <w:tr w14:paraId="16146EA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54" w:type="dxa"/>
            <w:vMerge w:val="continue"/>
            <w:tcBorders/>
            <w:noWrap w:val="0"/>
            <w:vAlign w:val="top"/>
          </w:tcPr>
          <w:p w14:paraId="7A2514BC">
            <w:pPr>
              <w:spacing w:line="360" w:lineRule="auto"/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  <w:tc>
          <w:tcPr>
            <w:tcW w:w="1744" w:type="dxa"/>
            <w:noWrap w:val="0"/>
            <w:vAlign w:val="top"/>
          </w:tcPr>
          <w:p w14:paraId="2302508E">
            <w:pPr>
              <w:spacing w:line="360" w:lineRule="auto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ascii="Times New Roman" w:hAnsi="Times New Roman"/>
                <w:color w:val="auto"/>
                <w:szCs w:val="22"/>
              </w:rPr>
              <w:t xml:space="preserve">Reverse primer </w:t>
            </w:r>
          </w:p>
        </w:tc>
        <w:tc>
          <w:tcPr>
            <w:tcW w:w="3900" w:type="dxa"/>
            <w:noWrap w:val="0"/>
            <w:vAlign w:val="center"/>
          </w:tcPr>
          <w:p w14:paraId="356562D5">
            <w:pPr>
              <w:keepNext w:val="0"/>
              <w:keepLines w:val="0"/>
              <w:widowControl/>
              <w:suppressLineNumbers w:val="0"/>
              <w:jc w:val="left"/>
              <w:rPr>
                <w:rFonts w:ascii="Times New Roman" w:hAnsi="Times New Roman"/>
                <w:color w:val="auto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CAGAAGCCAGAGGCCTCAAA</w:t>
            </w:r>
          </w:p>
        </w:tc>
      </w:tr>
    </w:tbl>
    <w:p w14:paraId="65A52C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NzNhYjhlMDRkZDUyZGM0MDViYzM3ODIzYjEyYzcifQ=="/>
  </w:docVars>
  <w:rsids>
    <w:rsidRoot w:val="262E7C3D"/>
    <w:rsid w:val="262E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2024-09-15T11:28:00Z</dcterms:created>
  <dc:creator>Y</dc:creator>
  <cp:lastModifiedBy>Y</cp:lastModifiedBy>
  <dcterms:modified xsi:type="dcterms:W3CDTF">2024-09-23T00:31:09Z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F218050E90504DD1ACD7FB9393BFF3BE_11</vt:lpwstr>
  </property>
</Properties>
</file>