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30B9A" w14:textId="77777777" w:rsidR="00E725FC" w:rsidRPr="001F3F82" w:rsidRDefault="00E725FC" w:rsidP="001F3F82">
      <w:pPr>
        <w:spacing w:line="480" w:lineRule="auto"/>
        <w:rPr>
          <w:rFonts w:ascii="Times New Roman" w:hAnsi="Times New Roman" w:cs="Times New Roman"/>
          <w:b/>
          <w:bCs/>
          <w:sz w:val="24"/>
          <w:szCs w:val="24"/>
        </w:rPr>
      </w:pPr>
      <w:r w:rsidRPr="001F3F82">
        <w:rPr>
          <w:rFonts w:ascii="Times New Roman" w:hAnsi="Times New Roman" w:cs="Times New Roman"/>
          <w:b/>
          <w:bCs/>
          <w:sz w:val="24"/>
          <w:szCs w:val="24"/>
        </w:rPr>
        <w:t>2. Materials and methods</w:t>
      </w:r>
    </w:p>
    <w:p w14:paraId="15FE5F82" w14:textId="7D8CF01A" w:rsidR="009B1641" w:rsidRPr="001F3F82" w:rsidRDefault="009B1641" w:rsidP="001F3F82">
      <w:pPr>
        <w:spacing w:line="480" w:lineRule="auto"/>
        <w:rPr>
          <w:rFonts w:ascii="Times New Roman" w:hAnsi="Times New Roman" w:cs="Times New Roman"/>
          <w:i/>
          <w:iCs/>
          <w:sz w:val="24"/>
          <w:szCs w:val="24"/>
        </w:rPr>
      </w:pPr>
      <w:r w:rsidRPr="001F3F82">
        <w:rPr>
          <w:rFonts w:ascii="Times New Roman" w:hAnsi="Times New Roman" w:cs="Times New Roman"/>
          <w:i/>
          <w:iCs/>
          <w:sz w:val="24"/>
          <w:szCs w:val="24"/>
        </w:rPr>
        <w:t>2.12</w:t>
      </w:r>
      <w:r w:rsidR="009115AD" w:rsidRPr="001F3F82">
        <w:rPr>
          <w:rFonts w:ascii="Times New Roman" w:hAnsi="Times New Roman" w:cs="Times New Roman"/>
          <w:i/>
          <w:iCs/>
          <w:sz w:val="24"/>
          <w:szCs w:val="24"/>
        </w:rPr>
        <w:t>.</w:t>
      </w:r>
      <w:r w:rsidRPr="001F3F82">
        <w:rPr>
          <w:rFonts w:ascii="Times New Roman" w:hAnsi="Times New Roman" w:cs="Times New Roman"/>
          <w:i/>
          <w:iCs/>
          <w:sz w:val="24"/>
          <w:szCs w:val="24"/>
        </w:rPr>
        <w:t xml:space="preserve"> Antioxidant activities</w:t>
      </w:r>
    </w:p>
    <w:p w14:paraId="5AA2CB67" w14:textId="544CC3D0" w:rsidR="009B1641" w:rsidRPr="001F3F82" w:rsidRDefault="009B1641" w:rsidP="001F3F82">
      <w:pPr>
        <w:spacing w:line="480" w:lineRule="auto"/>
        <w:rPr>
          <w:rFonts w:ascii="Times New Roman" w:hAnsi="Times New Roman" w:cs="Times New Roman"/>
          <w:i/>
          <w:iCs/>
          <w:sz w:val="24"/>
          <w:szCs w:val="24"/>
        </w:rPr>
      </w:pPr>
      <w:r w:rsidRPr="001F3F82">
        <w:rPr>
          <w:rFonts w:ascii="Times New Roman" w:hAnsi="Times New Roman" w:cs="Times New Roman"/>
          <w:i/>
          <w:iCs/>
          <w:sz w:val="24"/>
          <w:szCs w:val="24"/>
        </w:rPr>
        <w:t>2.12.1</w:t>
      </w:r>
      <w:r w:rsidR="009115AD" w:rsidRPr="001F3F82">
        <w:rPr>
          <w:rFonts w:ascii="Times New Roman" w:hAnsi="Times New Roman" w:cs="Times New Roman"/>
          <w:i/>
          <w:iCs/>
          <w:sz w:val="24"/>
          <w:szCs w:val="24"/>
        </w:rPr>
        <w:t>.</w:t>
      </w:r>
      <w:r w:rsidRPr="001F3F82">
        <w:rPr>
          <w:rFonts w:ascii="Times New Roman" w:hAnsi="Times New Roman" w:cs="Times New Roman"/>
          <w:i/>
          <w:iCs/>
          <w:sz w:val="24"/>
          <w:szCs w:val="24"/>
        </w:rPr>
        <w:t xml:space="preserve"> ABTS</w:t>
      </w:r>
      <w:r w:rsidRPr="001F3F82">
        <w:rPr>
          <w:rFonts w:ascii="Times New Roman" w:eastAsia="等线" w:hAnsi="Times New Roman" w:cs="Times New Roman"/>
          <w:i/>
          <w:iCs/>
          <w:sz w:val="24"/>
          <w:szCs w:val="24"/>
          <w:vertAlign w:val="superscript"/>
        </w:rPr>
        <w:t>•</w:t>
      </w:r>
      <w:r w:rsidRPr="001F3F82">
        <w:rPr>
          <w:rFonts w:ascii="Times New Roman" w:hAnsi="Times New Roman" w:cs="Times New Roman"/>
          <w:i/>
          <w:iCs/>
          <w:sz w:val="24"/>
          <w:szCs w:val="24"/>
          <w:vertAlign w:val="superscript"/>
        </w:rPr>
        <w:t>+</w:t>
      </w:r>
      <w:r w:rsidRPr="001F3F82">
        <w:rPr>
          <w:rFonts w:ascii="Times New Roman" w:hAnsi="Times New Roman" w:cs="Times New Roman"/>
          <w:i/>
          <w:iCs/>
          <w:sz w:val="24"/>
          <w:szCs w:val="24"/>
        </w:rPr>
        <w:t> radical scavenging activity</w:t>
      </w:r>
    </w:p>
    <w:p w14:paraId="32620BB4" w14:textId="0F1CDAE0" w:rsidR="009B1641" w:rsidRPr="001F3F82" w:rsidRDefault="009B1641" w:rsidP="001F3F82">
      <w:pPr>
        <w:spacing w:line="480" w:lineRule="auto"/>
        <w:ind w:firstLineChars="200" w:firstLine="480"/>
        <w:rPr>
          <w:rFonts w:ascii="Times New Roman" w:hAnsi="Times New Roman" w:cs="Times New Roman"/>
          <w:sz w:val="24"/>
          <w:szCs w:val="24"/>
        </w:rPr>
      </w:pPr>
      <w:bookmarkStart w:id="0" w:name="OLE_LINK14"/>
      <w:r w:rsidRPr="001F3F82">
        <w:rPr>
          <w:rFonts w:ascii="Times New Roman" w:hAnsi="Times New Roman" w:cs="Times New Roman"/>
          <w:sz w:val="24"/>
          <w:szCs w:val="24"/>
        </w:rPr>
        <w:t>The ABTS</w:t>
      </w:r>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xml:space="preserve"> scavenging activity of the CP hydrogels was measured as previously described, with some modifications </w:t>
      </w:r>
      <w:r w:rsidRPr="001F3F82">
        <w:rPr>
          <w:rFonts w:ascii="Times New Roman" w:hAnsi="Times New Roman" w:cs="Times New Roman"/>
          <w:color w:val="4472C4" w:themeColor="accent1"/>
          <w:sz w:val="24"/>
          <w:szCs w:val="24"/>
        </w:rPr>
        <w:fldChar w:fldCharType="begin"/>
      </w:r>
      <w:r w:rsidR="001F3F82" w:rsidRPr="001F3F82">
        <w:rPr>
          <w:rFonts w:ascii="Times New Roman" w:hAnsi="Times New Roman" w:cs="Times New Roman"/>
          <w:color w:val="4472C4" w:themeColor="accent1"/>
          <w:sz w:val="24"/>
          <w:szCs w:val="24"/>
        </w:rPr>
        <w:instrText xml:space="preserve"> ADDIN EN.CITE &lt;EndNote&gt;&lt;Cite&gt;&lt;Author&gt;Xu&lt;/Author&gt;&lt;Year&gt;2021&lt;/Year&gt;&lt;RecNum&gt;105&lt;/RecNum&gt;&lt;DisplayText&gt;[1]&lt;/DisplayText&gt;&lt;record&gt;&lt;rec-number&gt;105&lt;/rec-number&gt;&lt;foreign-keys&gt;&lt;key app="EN" db-id="55veszxsnp5se2e5rayvszwnvw9s2wwpsv20" timestamp="1721970297"&gt;105&lt;/key&gt;&lt;/foreign-keys&gt;&lt;ref-type name="Journal Article"&gt;17&lt;/ref-type&gt;&lt;contributors&gt;&lt;authors&gt;&lt;author&gt;Xu, Chao&lt;/author&gt;&lt;author&gt;Guan, Shui&lt;/author&gt;&lt;author&gt;Xu, Jianqiang&lt;/author&gt;&lt;author&gt;Gong, Weitao&lt;/author&gt;&lt;author&gt;Liu, Tianqing&lt;/author&gt;&lt;author&gt;Ma, Xuehu&lt;/author&gt;&lt;author&gt;Sun, Changkai&lt;/author&gt;&lt;/authors&gt;&lt;/contributors&gt;&lt;titles&gt;&lt;title&gt;Preparation, characterization and antioxidant activity of protocatechuic acid grafted carboxymethyl chitosan and its hydrogel&lt;/title&gt;&lt;secondary-title&gt;Carbohydrate Polymers&lt;/secondary-title&gt;&lt;/titles&gt;&lt;periodical&gt;&lt;full-title&gt;Carbohydrate Polymers&lt;/full-title&gt;&lt;/periodical&gt;&lt;pages&gt;117210&lt;/pages&gt;&lt;volume&gt;252&lt;/volume&gt;&lt;keywords&gt;&lt;keyword&gt;Protocatechuic acid&lt;/keyword&gt;&lt;keyword&gt;Carboxymethyl chitosan&lt;/keyword&gt;&lt;keyword&gt;Antioxidant&lt;/keyword&gt;&lt;keyword&gt;Hydrogel&lt;/keyword&gt;&lt;/keywords&gt;&lt;dates&gt;&lt;year&gt;2021&lt;/year&gt;&lt;pub-dates&gt;&lt;date&gt;2021/01/15/&lt;/date&gt;&lt;/pub-dates&gt;&lt;/dates&gt;&lt;isbn&gt;0144-8617&lt;/isbn&gt;&lt;urls&gt;&lt;related-urls&gt;&lt;url&gt;https://www.sciencedirect.com/science/article/pii/S0144861720313837&lt;/url&gt;&lt;/related-urls&gt;&lt;/urls&gt;&lt;electronic-resource-num&gt;https://doi.org/10.1016/j.carbpol.2020.117210&lt;/electronic-resource-num&gt;&lt;/record&gt;&lt;/Cite&gt;&lt;/EndNote&gt;</w:instrText>
      </w:r>
      <w:r w:rsidRPr="001F3F82">
        <w:rPr>
          <w:rFonts w:ascii="Times New Roman" w:hAnsi="Times New Roman" w:cs="Times New Roman"/>
          <w:color w:val="4472C4" w:themeColor="accent1"/>
          <w:sz w:val="24"/>
          <w:szCs w:val="24"/>
        </w:rPr>
        <w:fldChar w:fldCharType="separate"/>
      </w:r>
      <w:r w:rsidR="001F3F82" w:rsidRPr="001F3F82">
        <w:rPr>
          <w:rFonts w:ascii="Times New Roman" w:hAnsi="Times New Roman" w:cs="Times New Roman"/>
          <w:noProof/>
          <w:color w:val="4472C4" w:themeColor="accent1"/>
          <w:sz w:val="24"/>
          <w:szCs w:val="24"/>
        </w:rPr>
        <w:t>[1]</w:t>
      </w:r>
      <w:r w:rsidRPr="001F3F82">
        <w:rPr>
          <w:rFonts w:ascii="Times New Roman" w:hAnsi="Times New Roman" w:cs="Times New Roman"/>
          <w:color w:val="4472C4" w:themeColor="accent1"/>
          <w:sz w:val="24"/>
          <w:szCs w:val="24"/>
        </w:rPr>
        <w:fldChar w:fldCharType="end"/>
      </w:r>
      <w:r w:rsidRPr="001F3F82">
        <w:rPr>
          <w:rFonts w:ascii="Times New Roman" w:hAnsi="Times New Roman" w:cs="Times New Roman"/>
          <w:sz w:val="24"/>
          <w:szCs w:val="24"/>
        </w:rPr>
        <w:t>. To generate ABTS</w:t>
      </w:r>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200 mL of a 7 mM ABTS solution was mixed with 3.52 mL of a 2.45 mM K</w:t>
      </w:r>
      <w:r w:rsidRPr="001F3F82">
        <w:rPr>
          <w:rFonts w:ascii="Times New Roman" w:hAnsi="Times New Roman" w:cs="Times New Roman"/>
          <w:sz w:val="24"/>
          <w:szCs w:val="24"/>
          <w:vertAlign w:val="subscript"/>
        </w:rPr>
        <w:t>2</w:t>
      </w:r>
      <w:r w:rsidRPr="001F3F82">
        <w:rPr>
          <w:rFonts w:ascii="Times New Roman" w:hAnsi="Times New Roman" w:cs="Times New Roman"/>
          <w:sz w:val="24"/>
          <w:szCs w:val="24"/>
        </w:rPr>
        <w:t>S</w:t>
      </w:r>
      <w:r w:rsidRPr="001F3F82">
        <w:rPr>
          <w:rFonts w:ascii="Times New Roman" w:hAnsi="Times New Roman" w:cs="Times New Roman"/>
          <w:sz w:val="24"/>
          <w:szCs w:val="24"/>
          <w:vertAlign w:val="subscript"/>
        </w:rPr>
        <w:t>2</w:t>
      </w:r>
      <w:r w:rsidRPr="001F3F82">
        <w:rPr>
          <w:rFonts w:ascii="Times New Roman" w:hAnsi="Times New Roman" w:cs="Times New Roman"/>
          <w:sz w:val="24"/>
          <w:szCs w:val="24"/>
        </w:rPr>
        <w:t>O</w:t>
      </w:r>
      <w:r w:rsidRPr="001F3F82">
        <w:rPr>
          <w:rFonts w:ascii="Times New Roman" w:hAnsi="Times New Roman" w:cs="Times New Roman"/>
          <w:sz w:val="24"/>
          <w:szCs w:val="24"/>
          <w:vertAlign w:val="subscript"/>
        </w:rPr>
        <w:t>8</w:t>
      </w:r>
      <w:r w:rsidRPr="001F3F82">
        <w:rPr>
          <w:rFonts w:ascii="Times New Roman" w:hAnsi="Times New Roman" w:cs="Times New Roman"/>
          <w:sz w:val="24"/>
          <w:szCs w:val="24"/>
        </w:rPr>
        <w:t xml:space="preserve"> solution at RT in the dark for 12–16 h. The resulting ABTS</w:t>
      </w:r>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xml:space="preserve"> solution was then diluted with distilled water until its absorbance reached 0.7 ± 0.02 at 734 nm. Next, 0.02 g of CP/CP hydrogel powder was immersed in 5 mL of the diluted ABTS</w:t>
      </w:r>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xml:space="preserve"> solution for 30 min at RT in the dark. The mixture was then centrifuged at 1000 rpm for 10 min to remove the hydrogel solids. The ABTS</w:t>
      </w:r>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xml:space="preserve"> activity was calculated by measuring the UV absorbance at 734 nm, using water as a blank. Eq (3) was used to evaluate the ABTS</w:t>
      </w:r>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radical scavenging rate:</w:t>
      </w:r>
    </w:p>
    <w:bookmarkEnd w:id="0"/>
    <w:p w14:paraId="7667D7B2" w14:textId="15F06EC3" w:rsidR="009B1641" w:rsidRPr="001F3F82" w:rsidRDefault="00000000" w:rsidP="001F3F82">
      <w:pPr>
        <w:spacing w:line="480" w:lineRule="auto"/>
        <w:rPr>
          <w:rFonts w:ascii="Times New Roman" w:hAnsi="Times New Roman" w:cs="Times New Roman"/>
          <w:sz w:val="24"/>
          <w:szCs w:val="24"/>
        </w:rPr>
      </w:pPr>
      <m:oMath>
        <m:sSup>
          <m:sSupPr>
            <m:ctrlPr>
              <w:rPr>
                <w:rFonts w:ascii="Cambria Math" w:hAnsi="Cambria Math" w:cs="Times New Roman"/>
                <w:i/>
                <w:sz w:val="24"/>
                <w:szCs w:val="24"/>
                <w:vertAlign w:val="superscript"/>
              </w:rPr>
            </m:ctrlPr>
          </m:sSupPr>
          <m:e>
            <m:r>
              <w:rPr>
                <w:rFonts w:ascii="Cambria Math" w:hAnsi="Cambria Math" w:cs="Times New Roman"/>
                <w:sz w:val="24"/>
                <w:szCs w:val="24"/>
              </w:rPr>
              <m:t>ABTS</m:t>
            </m:r>
          </m:e>
          <m:sup>
            <m:r>
              <w:rPr>
                <w:rFonts w:ascii="Cambria Math" w:hAnsi="Cambria Math" w:cs="Times New Roman"/>
                <w:sz w:val="24"/>
                <w:szCs w:val="24"/>
                <w:vertAlign w:val="superscript"/>
              </w:rPr>
              <m:t>•+</m:t>
            </m:r>
          </m:sup>
        </m:sSup>
        <m:r>
          <w:rPr>
            <w:rFonts w:ascii="Cambria Math" w:hAnsi="Cambria Math" w:cs="Times New Roman"/>
            <w:sz w:val="24"/>
            <w:szCs w:val="24"/>
          </w:rPr>
          <m:t xml:space="preserve"> radical scavenging rate </m:t>
        </m:r>
        <m:d>
          <m:dPr>
            <m:ctrlPr>
              <w:rPr>
                <w:rFonts w:ascii="Cambria Math" w:hAnsi="Cambria Math" w:cs="Times New Roman"/>
                <w:i/>
                <w:sz w:val="24"/>
                <w:szCs w:val="24"/>
              </w:rPr>
            </m:ctrlPr>
          </m:dPr>
          <m:e>
            <m:r>
              <w:rPr>
                <w:rFonts w:ascii="Cambria Math" w:hAnsi="Cambria Math" w:cs="Times New Roman"/>
                <w:sz w:val="24"/>
                <w:szCs w:val="24"/>
              </w:rPr>
              <m:t>%</m:t>
            </m:r>
          </m:e>
        </m:d>
        <m:r>
          <w:rPr>
            <w:rFonts w:ascii="Cambria Math" w:hAnsi="Cambria Math" w:cs="Times New Roman"/>
            <w:sz w:val="24"/>
            <w:szCs w:val="24"/>
          </w:rPr>
          <m:t xml:space="preserve"> = </m:t>
        </m:r>
        <m:f>
          <m:fPr>
            <m:type m:val="lin"/>
            <m:ctrlPr>
              <w:rPr>
                <w:rFonts w:ascii="Cambria Math" w:hAnsi="Cambria Math" w:cs="Times New Roman"/>
                <w:i/>
                <w:sz w:val="24"/>
                <w:szCs w:val="24"/>
              </w:rPr>
            </m:ctrlPr>
          </m:fPr>
          <m:num>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blank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sample</m:t>
                    </m:r>
                  </m:sub>
                </m:sSub>
              </m:e>
            </m:d>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sample</m:t>
                </m:r>
              </m:sub>
            </m:sSub>
            <m:r>
              <w:rPr>
                <w:rFonts w:ascii="Cambria Math" w:hAnsi="Cambria Math" w:cs="Times New Roman"/>
                <w:sz w:val="24"/>
                <w:szCs w:val="24"/>
              </w:rPr>
              <m:t xml:space="preserve"> × 100</m:t>
            </m:r>
          </m:den>
        </m:f>
      </m:oMath>
      <w:r w:rsidR="00B603B0" w:rsidRPr="001F3F82">
        <w:rPr>
          <w:rFonts w:ascii="Times New Roman" w:hAnsi="Times New Roman" w:cs="Times New Roman"/>
          <w:sz w:val="24"/>
          <w:szCs w:val="24"/>
        </w:rPr>
        <w:t xml:space="preserve"> </w:t>
      </w:r>
      <w:r w:rsidR="00711C4E" w:rsidRPr="001F3F82">
        <w:rPr>
          <w:rFonts w:ascii="Times New Roman" w:hAnsi="Times New Roman" w:cs="Times New Roman"/>
          <w:sz w:val="24"/>
          <w:szCs w:val="24"/>
        </w:rPr>
        <w:t xml:space="preserve">     </w:t>
      </w:r>
      <w:r w:rsidR="009B1641" w:rsidRPr="001F3F82">
        <w:rPr>
          <w:rFonts w:ascii="Times New Roman" w:hAnsi="Times New Roman" w:cs="Times New Roman"/>
          <w:sz w:val="24"/>
          <w:szCs w:val="24"/>
        </w:rPr>
        <w:t>(3)</w:t>
      </w:r>
    </w:p>
    <w:p w14:paraId="08CAC9AB" w14:textId="77777777" w:rsidR="009B1641" w:rsidRPr="001F3F82" w:rsidRDefault="009B1641" w:rsidP="001F3F82">
      <w:pPr>
        <w:spacing w:line="480" w:lineRule="auto"/>
        <w:rPr>
          <w:rFonts w:ascii="Times New Roman" w:hAnsi="Times New Roman" w:cs="Times New Roman"/>
          <w:sz w:val="24"/>
          <w:szCs w:val="24"/>
        </w:rPr>
      </w:pPr>
      <w:r w:rsidRPr="001F3F82">
        <w:rPr>
          <w:rFonts w:ascii="Times New Roman" w:hAnsi="Times New Roman" w:cs="Times New Roman"/>
          <w:sz w:val="24"/>
          <w:szCs w:val="24"/>
        </w:rPr>
        <w:t xml:space="preserve">where </w:t>
      </w:r>
      <w:proofErr w:type="spellStart"/>
      <w:r w:rsidRPr="001F3F82">
        <w:rPr>
          <w:rFonts w:ascii="Times New Roman" w:hAnsi="Times New Roman" w:cs="Times New Roman"/>
          <w:i/>
          <w:iCs/>
          <w:sz w:val="24"/>
          <w:szCs w:val="24"/>
        </w:rPr>
        <w:t>A</w:t>
      </w:r>
      <w:r w:rsidRPr="001F3F82">
        <w:rPr>
          <w:rFonts w:ascii="Times New Roman" w:hAnsi="Times New Roman" w:cs="Times New Roman"/>
          <w:i/>
          <w:iCs/>
          <w:sz w:val="24"/>
          <w:szCs w:val="24"/>
          <w:vertAlign w:val="subscript"/>
        </w:rPr>
        <w:t>blank</w:t>
      </w:r>
      <w:proofErr w:type="spellEnd"/>
      <w:r w:rsidRPr="001F3F82">
        <w:rPr>
          <w:rFonts w:ascii="Times New Roman" w:hAnsi="Times New Roman" w:cs="Times New Roman"/>
          <w:sz w:val="24"/>
          <w:szCs w:val="24"/>
        </w:rPr>
        <w:t xml:space="preserve"> and </w:t>
      </w:r>
      <w:proofErr w:type="spellStart"/>
      <w:r w:rsidRPr="001F3F82">
        <w:rPr>
          <w:rFonts w:ascii="Times New Roman" w:hAnsi="Times New Roman" w:cs="Times New Roman"/>
          <w:i/>
          <w:iCs/>
          <w:sz w:val="24"/>
          <w:szCs w:val="24"/>
        </w:rPr>
        <w:t>A</w:t>
      </w:r>
      <w:r w:rsidRPr="001F3F82">
        <w:rPr>
          <w:rFonts w:ascii="Times New Roman" w:hAnsi="Times New Roman" w:cs="Times New Roman"/>
          <w:i/>
          <w:iCs/>
          <w:sz w:val="24"/>
          <w:szCs w:val="24"/>
          <w:vertAlign w:val="subscript"/>
        </w:rPr>
        <w:t>sample</w:t>
      </w:r>
      <w:proofErr w:type="spellEnd"/>
      <w:r w:rsidRPr="001F3F82">
        <w:rPr>
          <w:rFonts w:ascii="Times New Roman" w:hAnsi="Times New Roman" w:cs="Times New Roman"/>
          <w:sz w:val="24"/>
          <w:szCs w:val="24"/>
        </w:rPr>
        <w:t xml:space="preserve"> are the absorbances of the </w:t>
      </w:r>
      <w:bookmarkStart w:id="1" w:name="OLE_LINK26"/>
      <w:r w:rsidRPr="001F3F82">
        <w:rPr>
          <w:rFonts w:ascii="Times New Roman" w:hAnsi="Times New Roman" w:cs="Times New Roman"/>
          <w:sz w:val="24"/>
          <w:szCs w:val="24"/>
        </w:rPr>
        <w:t>ABTS</w:t>
      </w:r>
      <w:bookmarkEnd w:id="1"/>
      <w:r w:rsidRPr="001F3F82">
        <w:rPr>
          <w:rFonts w:ascii="Times New Roman" w:hAnsi="Times New Roman" w:cs="Times New Roman"/>
          <w:sz w:val="24"/>
          <w:szCs w:val="24"/>
          <w:vertAlign w:val="superscript"/>
        </w:rPr>
        <w:t>•+</w:t>
      </w:r>
      <w:r w:rsidRPr="001F3F82">
        <w:rPr>
          <w:rFonts w:ascii="Times New Roman" w:hAnsi="Times New Roman" w:cs="Times New Roman"/>
          <w:sz w:val="24"/>
          <w:szCs w:val="24"/>
        </w:rPr>
        <w:t xml:space="preserve"> solution before and after CP/CP hydrogel sample was added, respectively.</w:t>
      </w:r>
    </w:p>
    <w:p w14:paraId="66A75E4A" w14:textId="2000F222" w:rsidR="009B1641" w:rsidRPr="001F3F82" w:rsidRDefault="009B1641" w:rsidP="001F3F82">
      <w:pPr>
        <w:spacing w:line="480" w:lineRule="auto"/>
        <w:rPr>
          <w:rFonts w:ascii="Times New Roman" w:hAnsi="Times New Roman" w:cs="Times New Roman"/>
          <w:i/>
          <w:iCs/>
          <w:sz w:val="24"/>
          <w:szCs w:val="24"/>
        </w:rPr>
      </w:pPr>
      <w:r w:rsidRPr="001F3F82">
        <w:rPr>
          <w:rFonts w:ascii="Times New Roman" w:hAnsi="Times New Roman" w:cs="Times New Roman"/>
          <w:i/>
          <w:iCs/>
          <w:sz w:val="24"/>
          <w:szCs w:val="24"/>
        </w:rPr>
        <w:t>2.12.2</w:t>
      </w:r>
      <w:r w:rsidR="009115AD" w:rsidRPr="001F3F82">
        <w:rPr>
          <w:rFonts w:ascii="Times New Roman" w:hAnsi="Times New Roman" w:cs="Times New Roman"/>
          <w:i/>
          <w:iCs/>
          <w:sz w:val="24"/>
          <w:szCs w:val="24"/>
        </w:rPr>
        <w:t>.</w:t>
      </w:r>
      <w:r w:rsidRPr="001F3F82">
        <w:rPr>
          <w:rFonts w:ascii="Times New Roman" w:hAnsi="Times New Roman" w:cs="Times New Roman"/>
          <w:i/>
          <w:iCs/>
          <w:sz w:val="24"/>
          <w:szCs w:val="24"/>
        </w:rPr>
        <w:t xml:space="preserve"> DPPH radical scavenging activity</w:t>
      </w:r>
    </w:p>
    <w:p w14:paraId="3DD92D6D" w14:textId="7E3EC11A" w:rsidR="009B1641" w:rsidRPr="001F3F82" w:rsidRDefault="009B1641" w:rsidP="001F3F82">
      <w:pPr>
        <w:spacing w:line="480" w:lineRule="auto"/>
        <w:ind w:firstLineChars="200" w:firstLine="480"/>
        <w:rPr>
          <w:rFonts w:ascii="Times New Roman" w:hAnsi="Times New Roman" w:cs="Times New Roman"/>
          <w:sz w:val="24"/>
          <w:szCs w:val="24"/>
        </w:rPr>
      </w:pPr>
      <w:bookmarkStart w:id="2" w:name="OLE_LINK32"/>
      <w:r w:rsidRPr="001F3F82">
        <w:rPr>
          <w:rFonts w:ascii="Times New Roman" w:hAnsi="Times New Roman" w:cs="Times New Roman"/>
          <w:sz w:val="24"/>
          <w:szCs w:val="24"/>
        </w:rPr>
        <w:t>The DPPH radical scavenging activity of the CP hydrogels was assayed according to a previously described method, with minor modifications</w:t>
      </w:r>
      <w:r w:rsidRPr="001F3F82">
        <w:rPr>
          <w:rFonts w:ascii="Times New Roman" w:hAnsi="Times New Roman" w:cs="Times New Roman"/>
          <w:color w:val="4472C4" w:themeColor="accent1"/>
          <w:sz w:val="24"/>
          <w:szCs w:val="24"/>
        </w:rPr>
        <w:t xml:space="preserve"> </w:t>
      </w:r>
      <w:r w:rsidRPr="001F3F82">
        <w:rPr>
          <w:rFonts w:ascii="Times New Roman" w:hAnsi="Times New Roman" w:cs="Times New Roman"/>
          <w:color w:val="4472C4" w:themeColor="accent1"/>
          <w:sz w:val="24"/>
          <w:szCs w:val="24"/>
        </w:rPr>
        <w:fldChar w:fldCharType="begin"/>
      </w:r>
      <w:r w:rsidR="001F3F82" w:rsidRPr="001F3F82">
        <w:rPr>
          <w:rFonts w:ascii="Times New Roman" w:hAnsi="Times New Roman" w:cs="Times New Roman"/>
          <w:color w:val="4472C4" w:themeColor="accent1"/>
          <w:sz w:val="24"/>
          <w:szCs w:val="24"/>
        </w:rPr>
        <w:instrText xml:space="preserve"> ADDIN EN.CITE &lt;EndNote&gt;&lt;Cite&gt;&lt;Author&gt;Xu&lt;/Author&gt;&lt;Year&gt;2021&lt;/Year&gt;&lt;RecNum&gt;105&lt;/RecNum&gt;&lt;DisplayText&gt;[1]&lt;/DisplayText&gt;&lt;record&gt;&lt;rec-number&gt;105&lt;/rec-number&gt;&lt;foreign-keys&gt;&lt;key app="EN" db-id="55veszxsnp5se2e5rayvszwnvw9s2wwpsv20" timestamp="1721970297"&gt;105&lt;/key&gt;&lt;/foreign-keys&gt;&lt;ref-type name="Journal Article"&gt;17&lt;/ref-type&gt;&lt;contributors&gt;&lt;authors&gt;&lt;author&gt;Xu, Chao&lt;/author&gt;&lt;author&gt;Guan, Shui&lt;/author&gt;&lt;author&gt;Xu, Jianqiang&lt;/author&gt;&lt;author&gt;Gong, Weitao&lt;/author&gt;&lt;author&gt;Liu, Tianqing&lt;/author&gt;&lt;author&gt;Ma, Xuehu&lt;/author&gt;&lt;author&gt;Sun, Changkai&lt;/author&gt;&lt;/authors&gt;&lt;/contributors&gt;&lt;titles&gt;&lt;title&gt;Preparation, characterization and antioxidant activity of protocatechuic acid grafted carboxymethyl chitosan and its hydrogel&lt;/title&gt;&lt;secondary-title&gt;Carbohydrate Polymers&lt;/secondary-title&gt;&lt;/titles&gt;&lt;periodical&gt;&lt;full-title&gt;Carbohydrate Polymers&lt;/full-title&gt;&lt;/periodical&gt;&lt;pages&gt;117210&lt;/pages&gt;&lt;volume&gt;252&lt;/volume&gt;&lt;keywords&gt;&lt;keyword&gt;Protocatechuic acid&lt;/keyword&gt;&lt;keyword&gt;Carboxymethyl chitosan&lt;/keyword&gt;&lt;keyword&gt;Antioxidant&lt;/keyword&gt;&lt;keyword&gt;Hydrogel&lt;/keyword&gt;&lt;/keywords&gt;&lt;dates&gt;&lt;year&gt;2021&lt;/year&gt;&lt;pub-dates&gt;&lt;date&gt;2021/01/15/&lt;/date&gt;&lt;/pub-dates&gt;&lt;/dates&gt;&lt;isbn&gt;0144-8617&lt;/isbn&gt;&lt;urls&gt;&lt;related-urls&gt;&lt;url&gt;https://www.sciencedirect.com/science/article/pii/S0144861720313837&lt;/url&gt;&lt;/related-urls&gt;&lt;/urls&gt;&lt;electronic-resource-num&gt;https://doi.org/10.1016/j.carbpol.2020.117210&lt;/electronic-resource-num&gt;&lt;/record&gt;&lt;/Cite&gt;&lt;/EndNote&gt;</w:instrText>
      </w:r>
      <w:r w:rsidRPr="001F3F82">
        <w:rPr>
          <w:rFonts w:ascii="Times New Roman" w:hAnsi="Times New Roman" w:cs="Times New Roman"/>
          <w:color w:val="4472C4" w:themeColor="accent1"/>
          <w:sz w:val="24"/>
          <w:szCs w:val="24"/>
        </w:rPr>
        <w:fldChar w:fldCharType="separate"/>
      </w:r>
      <w:r w:rsidR="001F3F82" w:rsidRPr="001F3F82">
        <w:rPr>
          <w:rFonts w:ascii="Times New Roman" w:hAnsi="Times New Roman" w:cs="Times New Roman"/>
          <w:noProof/>
          <w:color w:val="4472C4" w:themeColor="accent1"/>
          <w:sz w:val="24"/>
          <w:szCs w:val="24"/>
        </w:rPr>
        <w:t>[1]</w:t>
      </w:r>
      <w:r w:rsidRPr="001F3F82">
        <w:rPr>
          <w:rFonts w:ascii="Times New Roman" w:hAnsi="Times New Roman" w:cs="Times New Roman"/>
          <w:color w:val="4472C4" w:themeColor="accent1"/>
          <w:sz w:val="24"/>
          <w:szCs w:val="24"/>
        </w:rPr>
        <w:fldChar w:fldCharType="end"/>
      </w:r>
      <w:r w:rsidRPr="001F3F82">
        <w:rPr>
          <w:rFonts w:ascii="Times New Roman" w:hAnsi="Times New Roman" w:cs="Times New Roman"/>
          <w:sz w:val="24"/>
          <w:szCs w:val="24"/>
        </w:rPr>
        <w:t xml:space="preserve">. </w:t>
      </w:r>
      <w:bookmarkEnd w:id="2"/>
      <w:r w:rsidRPr="001F3F82">
        <w:rPr>
          <w:rFonts w:ascii="Times New Roman" w:hAnsi="Times New Roman" w:cs="Times New Roman"/>
          <w:sz w:val="24"/>
          <w:szCs w:val="24"/>
        </w:rPr>
        <w:t xml:space="preserve">A 5 mL aliquot of 100 mM DPPH ethanol solution was mixed with 0.02 g of CP/CP hydrogel powder and reacted in the dark for 30 min, followed by centrifugation at 1000 rpm for 10 </w:t>
      </w:r>
      <w:bookmarkStart w:id="3" w:name="OLE_LINK12"/>
      <w:r w:rsidRPr="001F3F82">
        <w:rPr>
          <w:rFonts w:ascii="Times New Roman" w:hAnsi="Times New Roman" w:cs="Times New Roman"/>
          <w:sz w:val="24"/>
          <w:szCs w:val="24"/>
        </w:rPr>
        <w:t>min</w:t>
      </w:r>
      <w:bookmarkEnd w:id="3"/>
      <w:r w:rsidRPr="001F3F82">
        <w:rPr>
          <w:rFonts w:ascii="Times New Roman" w:hAnsi="Times New Roman" w:cs="Times New Roman"/>
          <w:sz w:val="24"/>
          <w:szCs w:val="24"/>
        </w:rPr>
        <w:t xml:space="preserve"> to remove the hydrogel solids. The DPPH radical scavenging activity of the samples was calculated by measuring the absorbance at 517 nm using Equation (4):</w:t>
      </w:r>
    </w:p>
    <w:p w14:paraId="4FB081B1" w14:textId="2B927E9C" w:rsidR="009B1641" w:rsidRPr="001F3F82" w:rsidRDefault="00783855" w:rsidP="001F3F82">
      <w:pPr>
        <w:spacing w:line="480" w:lineRule="auto"/>
        <w:rPr>
          <w:rFonts w:ascii="Times New Roman" w:hAnsi="Times New Roman" w:cs="Times New Roman"/>
          <w:sz w:val="24"/>
          <w:szCs w:val="24"/>
        </w:rPr>
      </w:pPr>
      <m:oMath>
        <m:r>
          <w:rPr>
            <w:rFonts w:ascii="Cambria Math" w:hAnsi="Cambria Math" w:cs="Times New Roman"/>
            <w:sz w:val="24"/>
            <w:szCs w:val="24"/>
          </w:rPr>
          <w:lastRenderedPageBreak/>
          <m:t xml:space="preserve">DPPH radical scavenging rate </m:t>
        </m:r>
        <m:d>
          <m:dPr>
            <m:ctrlPr>
              <w:rPr>
                <w:rFonts w:ascii="Cambria Math" w:hAnsi="Cambria Math" w:cs="Times New Roman"/>
                <w:i/>
                <w:iCs/>
                <w:sz w:val="24"/>
                <w:szCs w:val="24"/>
              </w:rPr>
            </m:ctrlPr>
          </m:dPr>
          <m:e>
            <m:r>
              <w:rPr>
                <w:rFonts w:ascii="Cambria Math" w:hAnsi="Cambria Math" w:cs="Times New Roman"/>
                <w:sz w:val="24"/>
                <w:szCs w:val="24"/>
              </w:rPr>
              <m:t>%</m:t>
            </m:r>
          </m:e>
        </m:d>
        <m:r>
          <w:rPr>
            <w:rFonts w:ascii="Cambria Math" w:hAnsi="Cambria Math" w:cs="Times New Roman"/>
            <w:sz w:val="24"/>
            <w:szCs w:val="24"/>
          </w:rPr>
          <m:t xml:space="preserve"> = </m:t>
        </m:r>
        <m:d>
          <m:dPr>
            <m:begChr m:val="["/>
            <m:endChr m:val="]"/>
            <m:ctrlPr>
              <w:rPr>
                <w:rFonts w:ascii="Cambria Math" w:hAnsi="Cambria Math" w:cs="Times New Roman"/>
                <w:i/>
                <w:iCs/>
                <w:sz w:val="24"/>
                <w:szCs w:val="24"/>
              </w:rPr>
            </m:ctrlPr>
          </m:dPr>
          <m:e>
            <m:f>
              <m:fPr>
                <m:type m:val="lin"/>
                <m:ctrlPr>
                  <w:rPr>
                    <w:rFonts w:ascii="Cambria Math" w:hAnsi="Cambria Math" w:cs="Times New Roman"/>
                    <w:i/>
                    <w:iCs/>
                    <w:sz w:val="24"/>
                    <w:szCs w:val="24"/>
                  </w:rPr>
                </m:ctrlPr>
              </m:fPr>
              <m:num>
                <m:r>
                  <w:rPr>
                    <w:rFonts w:ascii="Cambria Math" w:hAnsi="Cambria Math" w:cs="Times New Roman"/>
                    <w:sz w:val="24"/>
                    <w:szCs w:val="24"/>
                  </w:rPr>
                  <m:t>1-</m:t>
                </m:r>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e>
                </m:d>
              </m:num>
              <m:den>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den>
            </m:f>
          </m:e>
        </m:d>
        <m:r>
          <w:rPr>
            <w:rFonts w:ascii="Cambria Math" w:hAnsi="Cambria Math" w:cs="Times New Roman"/>
            <w:sz w:val="24"/>
            <w:szCs w:val="24"/>
          </w:rPr>
          <m:t xml:space="preserve"> × 100</m:t>
        </m:r>
      </m:oMath>
      <w:r w:rsidR="009B1641" w:rsidRPr="001F3F82">
        <w:rPr>
          <w:rFonts w:ascii="Times New Roman" w:hAnsi="Times New Roman" w:cs="Times New Roman"/>
        </w:rPr>
        <w:t xml:space="preserve"> </w:t>
      </w:r>
      <w:r w:rsidR="009B1641" w:rsidRPr="001F3F82">
        <w:rPr>
          <w:rFonts w:ascii="Times New Roman" w:hAnsi="Times New Roman" w:cs="Times New Roman"/>
          <w:sz w:val="24"/>
          <w:szCs w:val="24"/>
        </w:rPr>
        <w:t xml:space="preserve">     </w:t>
      </w:r>
      <w:r w:rsidR="00711C4E" w:rsidRPr="001F3F82">
        <w:rPr>
          <w:rFonts w:ascii="Times New Roman" w:hAnsi="Times New Roman" w:cs="Times New Roman"/>
          <w:sz w:val="24"/>
          <w:szCs w:val="24"/>
        </w:rPr>
        <w:t xml:space="preserve">         </w:t>
      </w:r>
      <w:r w:rsidR="009B1641" w:rsidRPr="001F3F82">
        <w:rPr>
          <w:rFonts w:ascii="Times New Roman" w:hAnsi="Times New Roman" w:cs="Times New Roman"/>
          <w:sz w:val="24"/>
          <w:szCs w:val="24"/>
        </w:rPr>
        <w:t>(4)</w:t>
      </w:r>
    </w:p>
    <w:p w14:paraId="416C4E00" w14:textId="77777777" w:rsidR="009B1641" w:rsidRPr="001F3F82" w:rsidRDefault="009B1641" w:rsidP="001F3F82">
      <w:pPr>
        <w:spacing w:line="480" w:lineRule="auto"/>
        <w:rPr>
          <w:rFonts w:ascii="Times New Roman" w:hAnsi="Times New Roman" w:cs="Times New Roman"/>
          <w:sz w:val="24"/>
          <w:szCs w:val="24"/>
        </w:rPr>
      </w:pPr>
      <w:r w:rsidRPr="001F3F82">
        <w:rPr>
          <w:rFonts w:ascii="Times New Roman" w:hAnsi="Times New Roman" w:cs="Times New Roman"/>
          <w:sz w:val="24"/>
          <w:szCs w:val="24"/>
        </w:rPr>
        <w:t xml:space="preserve">where </w:t>
      </w:r>
      <w:r w:rsidRPr="001F3F82">
        <w:rPr>
          <w:rFonts w:ascii="Times New Roman" w:hAnsi="Times New Roman" w:cs="Times New Roman"/>
          <w:i/>
          <w:iCs/>
          <w:sz w:val="24"/>
          <w:szCs w:val="24"/>
        </w:rPr>
        <w:t>A</w:t>
      </w:r>
      <w:r w:rsidRPr="001F3F82">
        <w:rPr>
          <w:rFonts w:ascii="Times New Roman" w:hAnsi="Times New Roman" w:cs="Times New Roman"/>
          <w:i/>
          <w:iCs/>
          <w:sz w:val="24"/>
          <w:szCs w:val="24"/>
          <w:vertAlign w:val="subscript"/>
        </w:rPr>
        <w:t>1</w:t>
      </w:r>
      <w:r w:rsidRPr="001F3F82">
        <w:rPr>
          <w:rFonts w:ascii="Times New Roman" w:hAnsi="Times New Roman" w:cs="Times New Roman"/>
          <w:sz w:val="24"/>
          <w:szCs w:val="24"/>
        </w:rPr>
        <w:t xml:space="preserve"> and </w:t>
      </w:r>
      <w:r w:rsidRPr="001F3F82">
        <w:rPr>
          <w:rFonts w:ascii="Times New Roman" w:hAnsi="Times New Roman" w:cs="Times New Roman"/>
          <w:i/>
          <w:iCs/>
          <w:sz w:val="24"/>
          <w:szCs w:val="24"/>
        </w:rPr>
        <w:t>A</w:t>
      </w:r>
      <w:r w:rsidRPr="001F3F82">
        <w:rPr>
          <w:rFonts w:ascii="Times New Roman" w:hAnsi="Times New Roman" w:cs="Times New Roman"/>
          <w:i/>
          <w:iCs/>
          <w:sz w:val="24"/>
          <w:szCs w:val="24"/>
          <w:vertAlign w:val="subscript"/>
        </w:rPr>
        <w:t>2</w:t>
      </w:r>
      <w:r w:rsidRPr="001F3F82">
        <w:rPr>
          <w:rFonts w:ascii="Times New Roman" w:hAnsi="Times New Roman" w:cs="Times New Roman"/>
          <w:sz w:val="24"/>
          <w:szCs w:val="24"/>
        </w:rPr>
        <w:t xml:space="preserve"> are the absorbances of the solutions with and without DPPH, respectively, and </w:t>
      </w:r>
      <w:r w:rsidRPr="001F3F82">
        <w:rPr>
          <w:rFonts w:ascii="Times New Roman" w:hAnsi="Times New Roman" w:cs="Times New Roman"/>
          <w:i/>
          <w:iCs/>
          <w:sz w:val="24"/>
          <w:szCs w:val="24"/>
        </w:rPr>
        <w:t>A</w:t>
      </w:r>
      <w:r w:rsidRPr="001F3F82">
        <w:rPr>
          <w:rFonts w:ascii="Times New Roman" w:hAnsi="Times New Roman" w:cs="Times New Roman"/>
          <w:i/>
          <w:iCs/>
          <w:sz w:val="24"/>
          <w:szCs w:val="24"/>
          <w:vertAlign w:val="subscript"/>
        </w:rPr>
        <w:t>3</w:t>
      </w:r>
      <w:r w:rsidRPr="001F3F82">
        <w:rPr>
          <w:rFonts w:ascii="Times New Roman" w:hAnsi="Times New Roman" w:cs="Times New Roman"/>
          <w:sz w:val="24"/>
          <w:szCs w:val="24"/>
        </w:rPr>
        <w:t xml:space="preserve"> is the absorbance of the DPPH solution without sample.</w:t>
      </w:r>
    </w:p>
    <w:p w14:paraId="72F922A6" w14:textId="5F55C795" w:rsidR="009B1641" w:rsidRPr="001F3F82" w:rsidRDefault="009B1641" w:rsidP="001F3F82">
      <w:pPr>
        <w:spacing w:line="480" w:lineRule="auto"/>
        <w:rPr>
          <w:rFonts w:ascii="Times New Roman" w:hAnsi="Times New Roman" w:cs="Times New Roman"/>
          <w:i/>
          <w:iCs/>
          <w:sz w:val="24"/>
          <w:szCs w:val="24"/>
        </w:rPr>
      </w:pPr>
      <w:r w:rsidRPr="001F3F82">
        <w:rPr>
          <w:rFonts w:ascii="Times New Roman" w:hAnsi="Times New Roman" w:cs="Times New Roman"/>
          <w:i/>
          <w:iCs/>
          <w:sz w:val="24"/>
          <w:szCs w:val="24"/>
        </w:rPr>
        <w:t>2.13</w:t>
      </w:r>
      <w:r w:rsidR="009115AD" w:rsidRPr="001F3F82">
        <w:rPr>
          <w:rFonts w:ascii="Times New Roman" w:hAnsi="Times New Roman" w:cs="Times New Roman"/>
          <w:i/>
          <w:iCs/>
          <w:sz w:val="24"/>
          <w:szCs w:val="24"/>
        </w:rPr>
        <w:t>.</w:t>
      </w:r>
      <w:r w:rsidRPr="001F3F82">
        <w:rPr>
          <w:rFonts w:ascii="Times New Roman" w:hAnsi="Times New Roman" w:cs="Times New Roman"/>
          <w:i/>
          <w:iCs/>
          <w:sz w:val="24"/>
          <w:szCs w:val="24"/>
        </w:rPr>
        <w:t xml:space="preserve"> Bacterial penetration assay </w:t>
      </w:r>
    </w:p>
    <w:p w14:paraId="6E23F9E2" w14:textId="4AECB8C8" w:rsidR="00A054AD" w:rsidRPr="001F3F82" w:rsidRDefault="009B1641" w:rsidP="001F3F82">
      <w:pPr>
        <w:spacing w:line="480" w:lineRule="auto"/>
        <w:ind w:firstLineChars="200" w:firstLine="480"/>
        <w:rPr>
          <w:rFonts w:ascii="Times New Roman" w:hAnsi="Times New Roman" w:cs="Times New Roman"/>
          <w:sz w:val="24"/>
          <w:szCs w:val="24"/>
        </w:rPr>
      </w:pPr>
      <w:bookmarkStart w:id="4" w:name="OLE_LINK34"/>
      <w:r w:rsidRPr="001F3F82">
        <w:rPr>
          <w:rFonts w:ascii="Times New Roman" w:hAnsi="Times New Roman" w:cs="Times New Roman"/>
          <w:sz w:val="24"/>
          <w:szCs w:val="24"/>
        </w:rPr>
        <w:t>The CP hydrogels were sterilized using UV light for 30 min and washed three times with sterile PBS (pH 7.4) before the experiment. The strains chosen for the experiments were common harmful bacteria:</w:t>
      </w:r>
      <w:r w:rsidRPr="001F3F82">
        <w:rPr>
          <w:rFonts w:ascii="Times New Roman" w:hAnsi="Times New Roman" w:cs="Times New Roman"/>
          <w:i/>
          <w:iCs/>
          <w:sz w:val="24"/>
        </w:rPr>
        <w:t xml:space="preserve"> Escherichia </w:t>
      </w:r>
      <w:r w:rsidRPr="001F3F82">
        <w:rPr>
          <w:rFonts w:ascii="Times New Roman" w:hAnsi="Times New Roman" w:cs="Times New Roman"/>
          <w:i/>
          <w:sz w:val="24"/>
        </w:rPr>
        <w:t>coli</w:t>
      </w:r>
      <w:r w:rsidRPr="001F3F82">
        <w:rPr>
          <w:rFonts w:ascii="Times New Roman" w:hAnsi="Times New Roman" w:cs="Times New Roman"/>
          <w:sz w:val="24"/>
        </w:rPr>
        <w:t xml:space="preserve"> (</w:t>
      </w:r>
      <w:r w:rsidRPr="001F3F82">
        <w:rPr>
          <w:rFonts w:ascii="Times New Roman" w:hAnsi="Times New Roman" w:cs="Times New Roman"/>
          <w:i/>
          <w:iCs/>
          <w:sz w:val="24"/>
        </w:rPr>
        <w:t>E. coli</w:t>
      </w:r>
      <w:r w:rsidRPr="001F3F82">
        <w:rPr>
          <w:rFonts w:ascii="Times New Roman" w:hAnsi="Times New Roman" w:cs="Times New Roman"/>
          <w:sz w:val="24"/>
        </w:rPr>
        <w:t xml:space="preserve">) and </w:t>
      </w:r>
      <w:r w:rsidRPr="001F3F82">
        <w:rPr>
          <w:rFonts w:ascii="Times New Roman" w:hAnsi="Times New Roman" w:cs="Times New Roman"/>
          <w:i/>
          <w:iCs/>
          <w:sz w:val="24"/>
        </w:rPr>
        <w:t>Staphylococcus</w:t>
      </w:r>
      <w:r w:rsidRPr="001F3F82">
        <w:rPr>
          <w:rFonts w:ascii="Times New Roman" w:hAnsi="Times New Roman" w:cs="Times New Roman"/>
          <w:i/>
          <w:sz w:val="24"/>
        </w:rPr>
        <w:t xml:space="preserve"> aureus</w:t>
      </w:r>
      <w:r w:rsidRPr="001F3F82">
        <w:rPr>
          <w:rFonts w:ascii="Times New Roman" w:hAnsi="Times New Roman" w:cs="Times New Roman"/>
          <w:sz w:val="24"/>
        </w:rPr>
        <w:t xml:space="preserve"> (</w:t>
      </w:r>
      <w:r w:rsidRPr="001F3F82">
        <w:rPr>
          <w:rFonts w:ascii="Times New Roman" w:hAnsi="Times New Roman" w:cs="Times New Roman"/>
          <w:i/>
          <w:iCs/>
          <w:sz w:val="24"/>
        </w:rPr>
        <w:t>S. aureus</w:t>
      </w:r>
      <w:r w:rsidRPr="001F3F82">
        <w:rPr>
          <w:rFonts w:ascii="Times New Roman" w:hAnsi="Times New Roman" w:cs="Times New Roman"/>
          <w:sz w:val="24"/>
        </w:rPr>
        <w:t>)</w:t>
      </w:r>
      <w:r w:rsidRPr="001F3F82">
        <w:rPr>
          <w:rFonts w:ascii="Times New Roman" w:hAnsi="Times New Roman" w:cs="Times New Roman"/>
          <w:sz w:val="24"/>
          <w:szCs w:val="24"/>
        </w:rPr>
        <w:t xml:space="preserve">. </w:t>
      </w:r>
      <w:r w:rsidRPr="001F3F82">
        <w:rPr>
          <w:rFonts w:ascii="Times New Roman" w:hAnsi="Times New Roman" w:cs="Times New Roman"/>
          <w:i/>
          <w:iCs/>
          <w:sz w:val="24"/>
          <w:szCs w:val="24"/>
        </w:rPr>
        <w:t>E. coli</w:t>
      </w:r>
      <w:r w:rsidRPr="001F3F82">
        <w:rPr>
          <w:rFonts w:ascii="Times New Roman" w:hAnsi="Times New Roman" w:cs="Times New Roman"/>
          <w:sz w:val="24"/>
          <w:szCs w:val="24"/>
        </w:rPr>
        <w:t xml:space="preserve"> and </w:t>
      </w:r>
      <w:r w:rsidRPr="001F3F82">
        <w:rPr>
          <w:rFonts w:ascii="Times New Roman" w:hAnsi="Times New Roman" w:cs="Times New Roman"/>
          <w:i/>
          <w:iCs/>
          <w:sz w:val="24"/>
          <w:szCs w:val="24"/>
        </w:rPr>
        <w:t>S. aureus</w:t>
      </w:r>
      <w:r w:rsidRPr="001F3F82">
        <w:rPr>
          <w:rFonts w:ascii="Times New Roman" w:hAnsi="Times New Roman" w:cs="Times New Roman"/>
          <w:sz w:val="24"/>
          <w:szCs w:val="24"/>
        </w:rPr>
        <w:t xml:space="preserve"> were cultured aerobically at 37°C and shaken at 150 rpm for 10 h. The suspensions were then diluted to 1 × 10</w:t>
      </w:r>
      <w:r w:rsidRPr="001F3F82">
        <w:rPr>
          <w:rFonts w:ascii="Times New Roman" w:hAnsi="Times New Roman" w:cs="Times New Roman"/>
          <w:sz w:val="24"/>
          <w:szCs w:val="24"/>
          <w:vertAlign w:val="superscript"/>
        </w:rPr>
        <w:t>9</w:t>
      </w:r>
      <w:r w:rsidRPr="001F3F82">
        <w:rPr>
          <w:rFonts w:ascii="Times New Roman" w:hAnsi="Times New Roman" w:cs="Times New Roman"/>
          <w:sz w:val="24"/>
          <w:szCs w:val="24"/>
        </w:rPr>
        <w:t xml:space="preserve"> CFU/</w:t>
      </w:r>
      <w:proofErr w:type="spellStart"/>
      <w:r w:rsidRPr="001F3F82">
        <w:rPr>
          <w:rFonts w:ascii="Times New Roman" w:hAnsi="Times New Roman" w:cs="Times New Roman"/>
          <w:sz w:val="24"/>
          <w:szCs w:val="24"/>
        </w:rPr>
        <w:t>mL.</w:t>
      </w:r>
      <w:proofErr w:type="spellEnd"/>
      <w:r w:rsidRPr="001F3F82">
        <w:rPr>
          <w:rFonts w:ascii="Times New Roman" w:hAnsi="Times New Roman" w:cs="Times New Roman"/>
          <w:sz w:val="24"/>
          <w:szCs w:val="24"/>
        </w:rPr>
        <w:t xml:space="preserve"> The CP hydrogels were cut into disks (10 mm in diameter) and placed on agar petri dishes. Then, 50 </w:t>
      </w:r>
      <w:proofErr w:type="spellStart"/>
      <w:r w:rsidRPr="001F3F82">
        <w:rPr>
          <w:rFonts w:ascii="Times New Roman" w:eastAsia="等线" w:hAnsi="Times New Roman" w:cs="Times New Roman"/>
          <w:sz w:val="24"/>
          <w:szCs w:val="24"/>
        </w:rPr>
        <w:t>μ</w:t>
      </w:r>
      <w:r w:rsidRPr="001F3F82">
        <w:rPr>
          <w:rFonts w:ascii="Times New Roman" w:hAnsi="Times New Roman" w:cs="Times New Roman"/>
          <w:sz w:val="24"/>
          <w:szCs w:val="24"/>
        </w:rPr>
        <w:t>L</w:t>
      </w:r>
      <w:proofErr w:type="spellEnd"/>
      <w:r w:rsidRPr="001F3F82">
        <w:rPr>
          <w:rFonts w:ascii="Times New Roman" w:hAnsi="Times New Roman" w:cs="Times New Roman"/>
          <w:sz w:val="24"/>
          <w:szCs w:val="24"/>
        </w:rPr>
        <w:t xml:space="preserve"> of diluted bacterial suspension was evenly added to the center of the surface of each hydrogel disk. After incubation for 24 h at 37°C, the hydrogel disk was gently removed with tweezers and the agar under each sample was cut with a knife and placed into a test tube containing 5 mL of PBS. The bacteria were separated from the agar using an ultrasonic cleaner, and bacterial counts were determined by routine CFU analysis on agar petri dishes at different dilutions</w:t>
      </w:r>
      <w:bookmarkEnd w:id="4"/>
      <w:r w:rsidRPr="001F3F82">
        <w:rPr>
          <w:rFonts w:ascii="Times New Roman" w:hAnsi="Times New Roman" w:cs="Times New Roman"/>
          <w:sz w:val="24"/>
          <w:szCs w:val="24"/>
        </w:rPr>
        <w:t xml:space="preserve"> </w:t>
      </w:r>
      <w:r w:rsidRPr="001F3F82">
        <w:rPr>
          <w:rFonts w:ascii="Times New Roman" w:hAnsi="Times New Roman" w:cs="Times New Roman"/>
          <w:color w:val="4472C4" w:themeColor="accent1"/>
          <w:sz w:val="24"/>
          <w:szCs w:val="24"/>
        </w:rPr>
        <w:fldChar w:fldCharType="begin"/>
      </w:r>
      <w:r w:rsidR="001F3F82" w:rsidRPr="001F3F82">
        <w:rPr>
          <w:rFonts w:ascii="Times New Roman" w:hAnsi="Times New Roman" w:cs="Times New Roman"/>
          <w:color w:val="4472C4" w:themeColor="accent1"/>
          <w:sz w:val="24"/>
          <w:szCs w:val="24"/>
        </w:rPr>
        <w:instrText xml:space="preserve"> ADDIN EN.CITE &lt;EndNote&gt;&lt;Cite&gt;&lt;Author&gt;Xu&lt;/Author&gt;&lt;Year&gt;2015&lt;/Year&gt;&lt;RecNum&gt;106&lt;/RecNum&gt;&lt;DisplayText&gt;[2]&lt;/DisplayText&gt;&lt;record&gt;&lt;rec-number&gt;106&lt;/rec-number&gt;&lt;foreign-keys&gt;&lt;key app="EN" db-id="55veszxsnp5se2e5rayvszwnvw9s2wwpsv20" timestamp="1721970356"&gt;106&lt;/key&gt;&lt;/foreign-keys&gt;&lt;ref-type name="Journal Article"&gt;17&lt;/ref-type&gt;&lt;contributors&gt;&lt;authors&gt;&lt;author&gt;Xu, Rui&lt;/author&gt;&lt;author&gt;Luo, Gaoxing&lt;/author&gt;&lt;author&gt;Xia, Hesheng&lt;/author&gt;&lt;author&gt;He, Weifeng&lt;/author&gt;&lt;author&gt;Zhao, Jian&lt;/author&gt;&lt;author&gt;Liu, Bo&lt;/author&gt;&lt;author&gt;Tan, Jianglin&lt;/author&gt;&lt;author&gt;Zhou, Junyi&lt;/author&gt;&lt;author&gt;Liu, Daisong&lt;/author&gt;&lt;author&gt;Wang, Yuzhen&lt;/author&gt;&lt;author&gt;Yao, Zhihui&lt;/author&gt;&lt;author&gt;Zhan, Rixing&lt;/author&gt;&lt;author&gt;Yang, Sisi&lt;/author&gt;&lt;author&gt;Wu, Jun&lt;/author&gt;&lt;/authors&gt;&lt;/contributors&gt;&lt;titles&gt;&lt;title&gt;Novel bilayer wound dressing composed of silicone rubber with particular micropores enhanced wound re-epithelialization and contraction&lt;/title&gt;&lt;secondary-title&gt;Biomaterials&lt;/secondary-title&gt;&lt;/titles&gt;&lt;periodical&gt;&lt;full-title&gt;Biomaterials&lt;/full-title&gt;&lt;/periodical&gt;&lt;pages&gt;1-11&lt;/pages&gt;&lt;volume&gt;40&lt;/volume&gt;&lt;keywords&gt;&lt;keyword&gt;Wound dressing&lt;/keyword&gt;&lt;keyword&gt;Silicone rubber&lt;/keyword&gt;&lt;keyword&gt;Bilayer&lt;/keyword&gt;&lt;keyword&gt;Micropore&lt;/keyword&gt;&lt;keyword&gt;Wound healing&lt;/keyword&gt;&lt;/keywords&gt;&lt;dates&gt;&lt;year&gt;2015&lt;/year&gt;&lt;pub-dates&gt;&lt;date&gt;2015/02/01/&lt;/date&gt;&lt;/pub-dates&gt;&lt;/dates&gt;&lt;isbn&gt;0142-9612&lt;/isbn&gt;&lt;urls&gt;&lt;related-urls&gt;&lt;url&gt;https://www.sciencedirect.com/science/article/pii/S0142961214011417&lt;/url&gt;&lt;/related-urls&gt;&lt;/urls&gt;&lt;electronic-resource-num&gt;https://doi.org/10.1016/j.biomaterials.2014.10.077&lt;/electronic-resource-num&gt;&lt;/record&gt;&lt;/Cite&gt;&lt;/EndNote&gt;</w:instrText>
      </w:r>
      <w:r w:rsidRPr="001F3F82">
        <w:rPr>
          <w:rFonts w:ascii="Times New Roman" w:hAnsi="Times New Roman" w:cs="Times New Roman"/>
          <w:color w:val="4472C4" w:themeColor="accent1"/>
          <w:sz w:val="24"/>
          <w:szCs w:val="24"/>
        </w:rPr>
        <w:fldChar w:fldCharType="separate"/>
      </w:r>
      <w:r w:rsidR="001F3F82" w:rsidRPr="001F3F82">
        <w:rPr>
          <w:rFonts w:ascii="Times New Roman" w:hAnsi="Times New Roman" w:cs="Times New Roman"/>
          <w:noProof/>
          <w:color w:val="4472C4" w:themeColor="accent1"/>
          <w:sz w:val="24"/>
          <w:szCs w:val="24"/>
        </w:rPr>
        <w:t>[2]</w:t>
      </w:r>
      <w:r w:rsidRPr="001F3F82">
        <w:rPr>
          <w:rFonts w:ascii="Times New Roman" w:hAnsi="Times New Roman" w:cs="Times New Roman"/>
          <w:color w:val="4472C4" w:themeColor="accent1"/>
          <w:sz w:val="24"/>
          <w:szCs w:val="24"/>
        </w:rPr>
        <w:fldChar w:fldCharType="end"/>
      </w:r>
      <w:r w:rsidRPr="001F3F82">
        <w:rPr>
          <w:rFonts w:ascii="Times New Roman" w:hAnsi="Times New Roman" w:cs="Times New Roman"/>
          <w:sz w:val="24"/>
          <w:szCs w:val="24"/>
        </w:rPr>
        <w:t>.</w:t>
      </w:r>
    </w:p>
    <w:p w14:paraId="371D56A0" w14:textId="190FA55F" w:rsidR="007341F8" w:rsidRPr="001F3F82" w:rsidRDefault="007341F8" w:rsidP="001F3F82">
      <w:pPr>
        <w:widowControl/>
        <w:spacing w:line="480" w:lineRule="auto"/>
        <w:jc w:val="left"/>
        <w:rPr>
          <w:rFonts w:ascii="Times New Roman" w:hAnsi="Times New Roman" w:cs="Times New Roman"/>
          <w:b/>
          <w:bCs/>
          <w:sz w:val="24"/>
          <w:szCs w:val="24"/>
        </w:rPr>
      </w:pPr>
      <w:r w:rsidRPr="001F3F82">
        <w:rPr>
          <w:rFonts w:ascii="Times New Roman" w:hAnsi="Times New Roman" w:cs="Times New Roman"/>
          <w:b/>
          <w:bCs/>
          <w:sz w:val="24"/>
          <w:szCs w:val="24"/>
        </w:rPr>
        <w:br w:type="page"/>
      </w:r>
    </w:p>
    <w:p w14:paraId="35D32151" w14:textId="74CB2293" w:rsidR="009B1641" w:rsidRPr="001F3F82" w:rsidRDefault="00AB457C" w:rsidP="001F3F82">
      <w:pPr>
        <w:spacing w:line="480" w:lineRule="auto"/>
        <w:rPr>
          <w:rFonts w:ascii="Times New Roman" w:hAnsi="Times New Roman" w:cs="Times New Roman"/>
          <w:b/>
          <w:bCs/>
          <w:sz w:val="22"/>
        </w:rPr>
      </w:pPr>
      <w:r w:rsidRPr="001F3F82">
        <w:rPr>
          <w:rFonts w:ascii="Times New Roman" w:hAnsi="Times New Roman" w:cs="Times New Roman"/>
          <w:b/>
          <w:bCs/>
          <w:sz w:val="24"/>
          <w:szCs w:val="24"/>
        </w:rPr>
        <w:lastRenderedPageBreak/>
        <w:t>References</w:t>
      </w:r>
    </w:p>
    <w:p w14:paraId="4AB3D14C" w14:textId="123C178D" w:rsidR="001F3F82" w:rsidRPr="001F3F82" w:rsidRDefault="009B1641" w:rsidP="001F3F82">
      <w:pPr>
        <w:pStyle w:val="EndNoteBibliography"/>
        <w:spacing w:line="480" w:lineRule="auto"/>
        <w:ind w:left="720" w:hanging="720"/>
        <w:rPr>
          <w:rFonts w:ascii="Times New Roman" w:hAnsi="Times New Roman" w:cs="Times New Roman"/>
          <w:sz w:val="24"/>
          <w:szCs w:val="24"/>
        </w:rPr>
      </w:pPr>
      <w:r w:rsidRPr="001F3F82">
        <w:rPr>
          <w:rFonts w:ascii="Times New Roman" w:hAnsi="Times New Roman" w:cs="Times New Roman"/>
          <w:sz w:val="24"/>
          <w:szCs w:val="24"/>
        </w:rPr>
        <w:fldChar w:fldCharType="begin"/>
      </w:r>
      <w:r w:rsidRPr="001F3F82">
        <w:rPr>
          <w:rFonts w:ascii="Times New Roman" w:hAnsi="Times New Roman" w:cs="Times New Roman"/>
          <w:sz w:val="24"/>
          <w:szCs w:val="24"/>
        </w:rPr>
        <w:instrText xml:space="preserve"> ADDIN EN.REFLIST </w:instrText>
      </w:r>
      <w:r w:rsidRPr="001F3F82">
        <w:rPr>
          <w:rFonts w:ascii="Times New Roman" w:hAnsi="Times New Roman" w:cs="Times New Roman"/>
          <w:sz w:val="24"/>
          <w:szCs w:val="24"/>
        </w:rPr>
        <w:fldChar w:fldCharType="separate"/>
      </w:r>
      <w:r w:rsidR="001F3F82" w:rsidRPr="001F3F82">
        <w:rPr>
          <w:rFonts w:ascii="Times New Roman" w:hAnsi="Times New Roman" w:cs="Times New Roman"/>
          <w:sz w:val="24"/>
          <w:szCs w:val="24"/>
        </w:rPr>
        <w:t>1.</w:t>
      </w:r>
      <w:r w:rsidR="001F3F82" w:rsidRPr="001F3F82">
        <w:rPr>
          <w:rFonts w:ascii="Times New Roman" w:hAnsi="Times New Roman" w:cs="Times New Roman"/>
          <w:sz w:val="24"/>
          <w:szCs w:val="24"/>
        </w:rPr>
        <w:tab/>
        <w:t>C. Xu, S. Guan, J. Xu, W. Gong, T. Liu, X. Ma, C. Sun, Carbohydr</w:t>
      </w:r>
      <w:r w:rsidR="001F3F82">
        <w:rPr>
          <w:rFonts w:ascii="Times New Roman" w:hAnsi="Times New Roman" w:cs="Times New Roman" w:hint="eastAsia"/>
          <w:sz w:val="24"/>
          <w:szCs w:val="24"/>
        </w:rPr>
        <w:t>.</w:t>
      </w:r>
      <w:r w:rsidR="001F3F82" w:rsidRPr="001F3F82">
        <w:rPr>
          <w:rFonts w:ascii="Times New Roman" w:hAnsi="Times New Roman" w:cs="Times New Roman"/>
          <w:sz w:val="24"/>
          <w:szCs w:val="24"/>
        </w:rPr>
        <w:t xml:space="preserve"> Polym</w:t>
      </w:r>
      <w:r w:rsidR="001F3F82">
        <w:rPr>
          <w:rFonts w:ascii="Times New Roman" w:hAnsi="Times New Roman" w:cs="Times New Roman" w:hint="eastAsia"/>
          <w:sz w:val="24"/>
          <w:szCs w:val="24"/>
        </w:rPr>
        <w:t xml:space="preserve">. </w:t>
      </w:r>
      <w:r w:rsidR="001F3F82" w:rsidRPr="001F3F82">
        <w:rPr>
          <w:rFonts w:ascii="Times New Roman" w:hAnsi="Times New Roman" w:cs="Times New Roman"/>
          <w:b/>
          <w:sz w:val="24"/>
          <w:szCs w:val="24"/>
        </w:rPr>
        <w:t>252</w:t>
      </w:r>
      <w:r w:rsidR="001F3F82" w:rsidRPr="001F3F82">
        <w:rPr>
          <w:rFonts w:ascii="Times New Roman" w:hAnsi="Times New Roman" w:cs="Times New Roman"/>
          <w:sz w:val="24"/>
          <w:szCs w:val="24"/>
        </w:rPr>
        <w:t>,</w:t>
      </w:r>
      <w:r w:rsidR="001F3F82">
        <w:rPr>
          <w:rFonts w:ascii="Times New Roman" w:hAnsi="Times New Roman" w:cs="Times New Roman" w:hint="eastAsia"/>
          <w:sz w:val="24"/>
          <w:szCs w:val="24"/>
        </w:rPr>
        <w:t xml:space="preserve"> </w:t>
      </w:r>
      <w:r w:rsidR="001F3F82" w:rsidRPr="001F3F82">
        <w:rPr>
          <w:rFonts w:ascii="Times New Roman" w:hAnsi="Times New Roman" w:cs="Times New Roman"/>
          <w:sz w:val="24"/>
          <w:szCs w:val="24"/>
        </w:rPr>
        <w:t>117210</w:t>
      </w:r>
      <w:r w:rsidR="001F3F82">
        <w:rPr>
          <w:rFonts w:ascii="Times New Roman" w:hAnsi="Times New Roman" w:cs="Times New Roman" w:hint="eastAsia"/>
          <w:sz w:val="24"/>
          <w:szCs w:val="24"/>
        </w:rPr>
        <w:t xml:space="preserve"> </w:t>
      </w:r>
      <w:r w:rsidR="001F3F82" w:rsidRPr="001F3F82">
        <w:rPr>
          <w:rFonts w:ascii="Times New Roman" w:hAnsi="Times New Roman" w:cs="Times New Roman"/>
          <w:sz w:val="24"/>
          <w:szCs w:val="24"/>
        </w:rPr>
        <w:t xml:space="preserve">(2021). </w:t>
      </w:r>
      <w:hyperlink r:id="rId7" w:history="1">
        <w:r w:rsidR="001F3F82" w:rsidRPr="001F3F82">
          <w:rPr>
            <w:rStyle w:val="a7"/>
            <w:rFonts w:ascii="Times New Roman" w:hAnsi="Times New Roman" w:cs="Times New Roman"/>
            <w:sz w:val="24"/>
            <w:szCs w:val="24"/>
          </w:rPr>
          <w:t>https://doi.org/10.1016/j.carbpol.2020.117210</w:t>
        </w:r>
      </w:hyperlink>
    </w:p>
    <w:p w14:paraId="7FF98952" w14:textId="2C6A6A44" w:rsidR="001F3F82" w:rsidRPr="001F3F82" w:rsidRDefault="001F3F82" w:rsidP="001F3F82">
      <w:pPr>
        <w:pStyle w:val="EndNoteBibliography"/>
        <w:spacing w:line="480" w:lineRule="auto"/>
        <w:ind w:left="720" w:hanging="720"/>
        <w:rPr>
          <w:rFonts w:ascii="Times New Roman" w:hAnsi="Times New Roman" w:cs="Times New Roman" w:hint="eastAsia"/>
          <w:sz w:val="24"/>
          <w:szCs w:val="24"/>
        </w:rPr>
      </w:pPr>
      <w:r w:rsidRPr="001F3F82">
        <w:rPr>
          <w:rFonts w:ascii="Times New Roman" w:hAnsi="Times New Roman" w:cs="Times New Roman"/>
          <w:sz w:val="24"/>
          <w:szCs w:val="24"/>
        </w:rPr>
        <w:t>2.</w:t>
      </w:r>
      <w:r w:rsidRPr="001F3F82">
        <w:rPr>
          <w:rFonts w:ascii="Times New Roman" w:hAnsi="Times New Roman" w:cs="Times New Roman"/>
          <w:sz w:val="24"/>
          <w:szCs w:val="24"/>
        </w:rPr>
        <w:tab/>
        <w:t>R. Xu, G. Luo, H. Xia, W. He, J. Zhao, B. Liu, J. Tan, J. Zhou, D. Liu, Y. Wang, Z. Yao, R. Zhan, S. Yang, J. Wu,</w:t>
      </w:r>
      <w:r>
        <w:rPr>
          <w:rFonts w:ascii="Times New Roman" w:hAnsi="Times New Roman" w:cs="Times New Roman" w:hint="eastAsia"/>
          <w:sz w:val="24"/>
          <w:szCs w:val="24"/>
        </w:rPr>
        <w:t xml:space="preserve"> </w:t>
      </w:r>
      <w:bookmarkStart w:id="5" w:name="OLE_LINK213"/>
      <w:r w:rsidRPr="001F3F82">
        <w:rPr>
          <w:rFonts w:ascii="Times New Roman" w:hAnsi="Times New Roman" w:cs="Times New Roman"/>
          <w:sz w:val="24"/>
          <w:szCs w:val="24"/>
        </w:rPr>
        <w:t>Biomaterials</w:t>
      </w:r>
      <w:bookmarkEnd w:id="5"/>
      <w:r>
        <w:rPr>
          <w:rFonts w:ascii="Times New Roman" w:hAnsi="Times New Roman" w:cs="Times New Roman" w:hint="eastAsia"/>
          <w:sz w:val="24"/>
          <w:szCs w:val="24"/>
        </w:rPr>
        <w:t xml:space="preserve">. </w:t>
      </w:r>
      <w:r w:rsidRPr="001F3F82">
        <w:rPr>
          <w:rFonts w:ascii="Times New Roman" w:hAnsi="Times New Roman" w:cs="Times New Roman"/>
          <w:b/>
          <w:sz w:val="24"/>
          <w:szCs w:val="24"/>
        </w:rPr>
        <w:t>40</w:t>
      </w:r>
      <w:r w:rsidRPr="001F3F82">
        <w:rPr>
          <w:rFonts w:ascii="Times New Roman" w:hAnsi="Times New Roman" w:cs="Times New Roman"/>
          <w:sz w:val="24"/>
          <w:szCs w:val="24"/>
        </w:rPr>
        <w:t>,</w:t>
      </w:r>
      <w:r>
        <w:rPr>
          <w:rFonts w:ascii="Times New Roman" w:hAnsi="Times New Roman" w:cs="Times New Roman" w:hint="eastAsia"/>
          <w:sz w:val="24"/>
          <w:szCs w:val="24"/>
        </w:rPr>
        <w:t xml:space="preserve"> </w:t>
      </w:r>
      <w:r w:rsidRPr="001F3F82">
        <w:rPr>
          <w:rFonts w:ascii="Times New Roman" w:hAnsi="Times New Roman" w:cs="Times New Roman"/>
          <w:sz w:val="24"/>
          <w:szCs w:val="24"/>
        </w:rPr>
        <w:t>1-11</w:t>
      </w:r>
      <w:r>
        <w:rPr>
          <w:rFonts w:ascii="Times New Roman" w:hAnsi="Times New Roman" w:cs="Times New Roman" w:hint="eastAsia"/>
          <w:sz w:val="24"/>
          <w:szCs w:val="24"/>
        </w:rPr>
        <w:t xml:space="preserve"> </w:t>
      </w:r>
      <w:r w:rsidRPr="001F3F82">
        <w:rPr>
          <w:rFonts w:ascii="Times New Roman" w:hAnsi="Times New Roman" w:cs="Times New Roman"/>
          <w:sz w:val="24"/>
          <w:szCs w:val="24"/>
        </w:rPr>
        <w:t>(2015).</w:t>
      </w:r>
      <w:r>
        <w:rPr>
          <w:rFonts w:ascii="Times New Roman" w:hAnsi="Times New Roman" w:cs="Times New Roman" w:hint="eastAsia"/>
          <w:sz w:val="24"/>
          <w:szCs w:val="24"/>
        </w:rPr>
        <w:t xml:space="preserve"> </w:t>
      </w:r>
      <w:hyperlink r:id="rId8" w:tgtFrame="_blank" w:tooltip="Persistent link using digital object identifier" w:history="1">
        <w:r w:rsidRPr="001F3F82">
          <w:rPr>
            <w:rStyle w:val="a7"/>
            <w:rFonts w:ascii="Times New Roman" w:hAnsi="Times New Roman" w:cs="Times New Roman"/>
            <w:sz w:val="24"/>
            <w:szCs w:val="24"/>
          </w:rPr>
          <w:t>https://doi.org/10.1016/j.biomaterials.2014.10.077</w:t>
        </w:r>
      </w:hyperlink>
    </w:p>
    <w:p w14:paraId="5541D461" w14:textId="63C10C16" w:rsidR="009B1641" w:rsidRPr="001F3F82" w:rsidRDefault="009B1641" w:rsidP="001F3F82">
      <w:pPr>
        <w:spacing w:line="480" w:lineRule="auto"/>
        <w:rPr>
          <w:rFonts w:ascii="Times New Roman" w:hAnsi="Times New Roman" w:cs="Times New Roman"/>
          <w:sz w:val="24"/>
          <w:szCs w:val="24"/>
        </w:rPr>
      </w:pPr>
      <w:r w:rsidRPr="001F3F82">
        <w:rPr>
          <w:rFonts w:ascii="Times New Roman" w:hAnsi="Times New Roman" w:cs="Times New Roman"/>
          <w:sz w:val="24"/>
          <w:szCs w:val="24"/>
        </w:rPr>
        <w:fldChar w:fldCharType="end"/>
      </w:r>
    </w:p>
    <w:sectPr w:rsidR="009B1641" w:rsidRPr="001F3F82" w:rsidSect="00C1694B">
      <w:footerReference w:type="default" r:id="rId9"/>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2E1835" w14:textId="77777777" w:rsidR="00B54049" w:rsidRDefault="00B54049" w:rsidP="00E725FC">
      <w:pPr>
        <w:rPr>
          <w:rFonts w:hint="eastAsia"/>
        </w:rPr>
      </w:pPr>
      <w:r>
        <w:separator/>
      </w:r>
    </w:p>
  </w:endnote>
  <w:endnote w:type="continuationSeparator" w:id="0">
    <w:p w14:paraId="0039BFFD" w14:textId="77777777" w:rsidR="00B54049" w:rsidRDefault="00B54049" w:rsidP="00E725F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24100165"/>
      <w:docPartObj>
        <w:docPartGallery w:val="Page Numbers (Bottom of Page)"/>
        <w:docPartUnique/>
      </w:docPartObj>
    </w:sdtPr>
    <w:sdtContent>
      <w:p w14:paraId="6E251B01" w14:textId="657C65FE" w:rsidR="00543590" w:rsidRDefault="00543590">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6DF090C9" w14:textId="77777777" w:rsidR="00543590" w:rsidRDefault="00543590">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E043F7" w14:textId="77777777" w:rsidR="00B54049" w:rsidRDefault="00B54049" w:rsidP="00E725FC">
      <w:pPr>
        <w:rPr>
          <w:rFonts w:hint="eastAsia"/>
        </w:rPr>
      </w:pPr>
      <w:r>
        <w:separator/>
      </w:r>
    </w:p>
  </w:footnote>
  <w:footnote w:type="continuationSeparator" w:id="0">
    <w:p w14:paraId="3C766A39" w14:textId="77777777" w:rsidR="00B54049" w:rsidRDefault="00B54049" w:rsidP="00E725F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veszxsnp5se2e5rayvszwnvw9s2wwpsv20&quot;&gt;My EndNote Library&lt;record-ids&gt;&lt;item&gt;105&lt;/item&gt;&lt;item&gt;106&lt;/item&gt;&lt;/record-ids&gt;&lt;/item&gt;&lt;/Libraries&gt;"/>
  </w:docVars>
  <w:rsids>
    <w:rsidRoot w:val="00CA6237"/>
    <w:rsid w:val="00023A7C"/>
    <w:rsid w:val="00075875"/>
    <w:rsid w:val="001F3F82"/>
    <w:rsid w:val="00327AFF"/>
    <w:rsid w:val="003A0801"/>
    <w:rsid w:val="004A0572"/>
    <w:rsid w:val="004A74D0"/>
    <w:rsid w:val="004C7D44"/>
    <w:rsid w:val="00543590"/>
    <w:rsid w:val="00594C09"/>
    <w:rsid w:val="006468DE"/>
    <w:rsid w:val="006B072C"/>
    <w:rsid w:val="006F30E5"/>
    <w:rsid w:val="00711C4E"/>
    <w:rsid w:val="007341F8"/>
    <w:rsid w:val="00783855"/>
    <w:rsid w:val="009115AD"/>
    <w:rsid w:val="009853B0"/>
    <w:rsid w:val="009B1641"/>
    <w:rsid w:val="00A054AD"/>
    <w:rsid w:val="00A4464C"/>
    <w:rsid w:val="00A703B5"/>
    <w:rsid w:val="00AB457C"/>
    <w:rsid w:val="00B44B77"/>
    <w:rsid w:val="00B54049"/>
    <w:rsid w:val="00B603B0"/>
    <w:rsid w:val="00C1694B"/>
    <w:rsid w:val="00CA6237"/>
    <w:rsid w:val="00E359A3"/>
    <w:rsid w:val="00E725FC"/>
    <w:rsid w:val="00F40EAB"/>
    <w:rsid w:val="00F92422"/>
    <w:rsid w:val="00FC1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74751E4"/>
  <w14:defaultImageDpi w14:val="32767"/>
  <w15:chartTrackingRefBased/>
  <w15:docId w15:val="{D9DE3783-27A5-41E4-9732-CFD58A3C2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457C"/>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25FC"/>
    <w:pPr>
      <w:tabs>
        <w:tab w:val="center" w:pos="4153"/>
        <w:tab w:val="right" w:pos="8306"/>
      </w:tabs>
      <w:snapToGrid w:val="0"/>
      <w:jc w:val="center"/>
    </w:pPr>
    <w:rPr>
      <w:sz w:val="18"/>
      <w:szCs w:val="18"/>
    </w:rPr>
  </w:style>
  <w:style w:type="character" w:customStyle="1" w:styleId="a4">
    <w:name w:val="页眉 字符"/>
    <w:basedOn w:val="a0"/>
    <w:link w:val="a3"/>
    <w:uiPriority w:val="99"/>
    <w:rsid w:val="00E725FC"/>
    <w:rPr>
      <w:sz w:val="18"/>
      <w:szCs w:val="18"/>
    </w:rPr>
  </w:style>
  <w:style w:type="paragraph" w:styleId="a5">
    <w:name w:val="footer"/>
    <w:basedOn w:val="a"/>
    <w:link w:val="a6"/>
    <w:uiPriority w:val="99"/>
    <w:unhideWhenUsed/>
    <w:rsid w:val="00E725FC"/>
    <w:pPr>
      <w:tabs>
        <w:tab w:val="center" w:pos="4153"/>
        <w:tab w:val="right" w:pos="8306"/>
      </w:tabs>
      <w:snapToGrid w:val="0"/>
      <w:jc w:val="left"/>
    </w:pPr>
    <w:rPr>
      <w:sz w:val="18"/>
      <w:szCs w:val="18"/>
    </w:rPr>
  </w:style>
  <w:style w:type="character" w:customStyle="1" w:styleId="a6">
    <w:name w:val="页脚 字符"/>
    <w:basedOn w:val="a0"/>
    <w:link w:val="a5"/>
    <w:uiPriority w:val="99"/>
    <w:rsid w:val="00E725FC"/>
    <w:rPr>
      <w:sz w:val="18"/>
      <w:szCs w:val="18"/>
    </w:rPr>
  </w:style>
  <w:style w:type="paragraph" w:customStyle="1" w:styleId="EndNoteBibliographyTitle">
    <w:name w:val="EndNote Bibliography Title"/>
    <w:basedOn w:val="a"/>
    <w:link w:val="EndNoteBibliographyTitle0"/>
    <w:rsid w:val="009B164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B1641"/>
    <w:rPr>
      <w:rFonts w:ascii="等线" w:eastAsia="等线" w:hAnsi="等线"/>
      <w:noProof/>
      <w:sz w:val="20"/>
    </w:rPr>
  </w:style>
  <w:style w:type="paragraph" w:customStyle="1" w:styleId="EndNoteBibliography">
    <w:name w:val="EndNote Bibliography"/>
    <w:basedOn w:val="a"/>
    <w:link w:val="EndNoteBibliography0"/>
    <w:rsid w:val="009B1641"/>
    <w:rPr>
      <w:rFonts w:ascii="等线" w:eastAsia="等线" w:hAnsi="等线"/>
      <w:noProof/>
      <w:sz w:val="20"/>
    </w:rPr>
  </w:style>
  <w:style w:type="character" w:customStyle="1" w:styleId="EndNoteBibliography0">
    <w:name w:val="EndNote Bibliography 字符"/>
    <w:basedOn w:val="a0"/>
    <w:link w:val="EndNoteBibliography"/>
    <w:rsid w:val="009B1641"/>
    <w:rPr>
      <w:rFonts w:ascii="等线" w:eastAsia="等线" w:hAnsi="等线"/>
      <w:noProof/>
      <w:sz w:val="20"/>
    </w:rPr>
  </w:style>
  <w:style w:type="character" w:styleId="a7">
    <w:name w:val="Hyperlink"/>
    <w:basedOn w:val="a0"/>
    <w:uiPriority w:val="99"/>
    <w:unhideWhenUsed/>
    <w:rsid w:val="009B1641"/>
    <w:rPr>
      <w:color w:val="0563C1" w:themeColor="hyperlink"/>
      <w:u w:val="single"/>
    </w:rPr>
  </w:style>
  <w:style w:type="character" w:styleId="a8">
    <w:name w:val="Unresolved Mention"/>
    <w:basedOn w:val="a0"/>
    <w:uiPriority w:val="99"/>
    <w:semiHidden/>
    <w:unhideWhenUsed/>
    <w:rsid w:val="009B1641"/>
    <w:rPr>
      <w:color w:val="605E5C"/>
      <w:shd w:val="clear" w:color="auto" w:fill="E1DFDD"/>
    </w:rPr>
  </w:style>
  <w:style w:type="character" w:styleId="a9">
    <w:name w:val="line number"/>
    <w:basedOn w:val="a0"/>
    <w:uiPriority w:val="99"/>
    <w:unhideWhenUsed/>
    <w:rsid w:val="00783855"/>
    <w:rPr>
      <w:rFonts w:ascii="Times New Roman"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73372">
      <w:bodyDiv w:val="1"/>
      <w:marLeft w:val="0"/>
      <w:marRight w:val="0"/>
      <w:marTop w:val="0"/>
      <w:marBottom w:val="0"/>
      <w:divBdr>
        <w:top w:val="none" w:sz="0" w:space="0" w:color="auto"/>
        <w:left w:val="none" w:sz="0" w:space="0" w:color="auto"/>
        <w:bottom w:val="none" w:sz="0" w:space="0" w:color="auto"/>
        <w:right w:val="none" w:sz="0" w:space="0" w:color="auto"/>
      </w:divBdr>
    </w:div>
    <w:div w:id="151072568">
      <w:bodyDiv w:val="1"/>
      <w:marLeft w:val="0"/>
      <w:marRight w:val="0"/>
      <w:marTop w:val="0"/>
      <w:marBottom w:val="0"/>
      <w:divBdr>
        <w:top w:val="none" w:sz="0" w:space="0" w:color="auto"/>
        <w:left w:val="none" w:sz="0" w:space="0" w:color="auto"/>
        <w:bottom w:val="none" w:sz="0" w:space="0" w:color="auto"/>
        <w:right w:val="none" w:sz="0" w:space="0" w:color="auto"/>
      </w:divBdr>
    </w:div>
    <w:div w:id="296834793">
      <w:bodyDiv w:val="1"/>
      <w:marLeft w:val="0"/>
      <w:marRight w:val="0"/>
      <w:marTop w:val="0"/>
      <w:marBottom w:val="0"/>
      <w:divBdr>
        <w:top w:val="none" w:sz="0" w:space="0" w:color="auto"/>
        <w:left w:val="none" w:sz="0" w:space="0" w:color="auto"/>
        <w:bottom w:val="none" w:sz="0" w:space="0" w:color="auto"/>
        <w:right w:val="none" w:sz="0" w:space="0" w:color="auto"/>
      </w:divBdr>
    </w:div>
    <w:div w:id="511799721">
      <w:bodyDiv w:val="1"/>
      <w:marLeft w:val="0"/>
      <w:marRight w:val="0"/>
      <w:marTop w:val="0"/>
      <w:marBottom w:val="0"/>
      <w:divBdr>
        <w:top w:val="none" w:sz="0" w:space="0" w:color="auto"/>
        <w:left w:val="none" w:sz="0" w:space="0" w:color="auto"/>
        <w:bottom w:val="none" w:sz="0" w:space="0" w:color="auto"/>
        <w:right w:val="none" w:sz="0" w:space="0" w:color="auto"/>
      </w:divBdr>
    </w:div>
    <w:div w:id="976452441">
      <w:bodyDiv w:val="1"/>
      <w:marLeft w:val="0"/>
      <w:marRight w:val="0"/>
      <w:marTop w:val="0"/>
      <w:marBottom w:val="0"/>
      <w:divBdr>
        <w:top w:val="none" w:sz="0" w:space="0" w:color="auto"/>
        <w:left w:val="none" w:sz="0" w:space="0" w:color="auto"/>
        <w:bottom w:val="none" w:sz="0" w:space="0" w:color="auto"/>
        <w:right w:val="none" w:sz="0" w:space="0" w:color="auto"/>
      </w:divBdr>
    </w:div>
    <w:div w:id="1030448521">
      <w:bodyDiv w:val="1"/>
      <w:marLeft w:val="0"/>
      <w:marRight w:val="0"/>
      <w:marTop w:val="0"/>
      <w:marBottom w:val="0"/>
      <w:divBdr>
        <w:top w:val="none" w:sz="0" w:space="0" w:color="auto"/>
        <w:left w:val="none" w:sz="0" w:space="0" w:color="auto"/>
        <w:bottom w:val="none" w:sz="0" w:space="0" w:color="auto"/>
        <w:right w:val="none" w:sz="0" w:space="0" w:color="auto"/>
      </w:divBdr>
    </w:div>
    <w:div w:id="1074932371">
      <w:bodyDiv w:val="1"/>
      <w:marLeft w:val="0"/>
      <w:marRight w:val="0"/>
      <w:marTop w:val="0"/>
      <w:marBottom w:val="0"/>
      <w:divBdr>
        <w:top w:val="none" w:sz="0" w:space="0" w:color="auto"/>
        <w:left w:val="none" w:sz="0" w:space="0" w:color="auto"/>
        <w:bottom w:val="none" w:sz="0" w:space="0" w:color="auto"/>
        <w:right w:val="none" w:sz="0" w:space="0" w:color="auto"/>
      </w:divBdr>
    </w:div>
    <w:div w:id="1387531823">
      <w:bodyDiv w:val="1"/>
      <w:marLeft w:val="0"/>
      <w:marRight w:val="0"/>
      <w:marTop w:val="0"/>
      <w:marBottom w:val="0"/>
      <w:divBdr>
        <w:top w:val="none" w:sz="0" w:space="0" w:color="auto"/>
        <w:left w:val="none" w:sz="0" w:space="0" w:color="auto"/>
        <w:bottom w:val="none" w:sz="0" w:space="0" w:color="auto"/>
        <w:right w:val="none" w:sz="0" w:space="0" w:color="auto"/>
      </w:divBdr>
    </w:div>
    <w:div w:id="1439909246">
      <w:bodyDiv w:val="1"/>
      <w:marLeft w:val="0"/>
      <w:marRight w:val="0"/>
      <w:marTop w:val="0"/>
      <w:marBottom w:val="0"/>
      <w:divBdr>
        <w:top w:val="none" w:sz="0" w:space="0" w:color="auto"/>
        <w:left w:val="none" w:sz="0" w:space="0" w:color="auto"/>
        <w:bottom w:val="none" w:sz="0" w:space="0" w:color="auto"/>
        <w:right w:val="none" w:sz="0" w:space="0" w:color="auto"/>
      </w:divBdr>
    </w:div>
    <w:div w:id="1743139980">
      <w:bodyDiv w:val="1"/>
      <w:marLeft w:val="0"/>
      <w:marRight w:val="0"/>
      <w:marTop w:val="0"/>
      <w:marBottom w:val="0"/>
      <w:divBdr>
        <w:top w:val="none" w:sz="0" w:space="0" w:color="auto"/>
        <w:left w:val="none" w:sz="0" w:space="0" w:color="auto"/>
        <w:bottom w:val="none" w:sz="0" w:space="0" w:color="auto"/>
        <w:right w:val="none" w:sz="0" w:space="0" w:color="auto"/>
      </w:divBdr>
    </w:div>
    <w:div w:id="214434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biomaterials.2014.10.077" TargetMode="External"/><Relationship Id="rId3" Type="http://schemas.openxmlformats.org/officeDocument/2006/relationships/settings" Target="settings.xml"/><Relationship Id="rId7" Type="http://schemas.openxmlformats.org/officeDocument/2006/relationships/hyperlink" Target="https://doi.org/10.1016/j.carbpol.2020.11721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204B5-1A60-4AC6-A3C6-59308124C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1171</Words>
  <Characters>6678</Characters>
  <Application>Microsoft Office Word</Application>
  <DocSecurity>0</DocSecurity>
  <Lines>55</Lines>
  <Paragraphs>15</Paragraphs>
  <ScaleCrop>false</ScaleCrop>
  <Company/>
  <LinksUpToDate>false</LinksUpToDate>
  <CharactersWithSpaces>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cailing yu</dc:creator>
  <cp:keywords/>
  <dc:description/>
  <cp:lastModifiedBy>cailing yu</cp:lastModifiedBy>
  <cp:revision>9</cp:revision>
  <dcterms:created xsi:type="dcterms:W3CDTF">2024-08-08T09:12:00Z</dcterms:created>
  <dcterms:modified xsi:type="dcterms:W3CDTF">2024-09-26T05:45:00Z</dcterms:modified>
</cp:coreProperties>
</file>