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3E9EC1"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Methods</w:t>
      </w:r>
    </w:p>
    <w:p w14:paraId="7D5D0882"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751C5E7B"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Methods</w:t>
      </w:r>
    </w:p>
    <w:p w14:paraId="5C619BA1"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Ethical approval and consent</w:t>
      </w:r>
    </w:p>
    <w:p w14:paraId="279C4E93"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The ethical foundations for the concept of whole-body donation and research in deceased persons for xenotransplantation research have been previously published</w:t>
      </w:r>
      <w:r>
        <w:rPr>
          <w:rFonts w:ascii="Times New Roman" w:hAnsi="Times New Roman" w:cs="Times New Roman"/>
          <w:color w:val="000000" w:themeColor="text1"/>
          <w:sz w:val="24"/>
        </w:rPr>
        <w:fldChar w:fldCharType="begin">
          <w:fldData xml:space="preserve">PEVuZE5vdGU+PENpdGU+PEF1dGhvcj5Nb2F6YW1pPC9BdXRob3I+PFllYXI+MjAyMzwvWWVhcj48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</w:fldData>
        </w:fldChar>
      </w:r>
      <w:r>
        <w:rPr>
          <w:rFonts w:ascii="Times New Roman" w:hAnsi="Times New Roman" w:cs="Times New Roman"/>
          <w:color w:val="000000" w:themeColor="text1"/>
          <w:sz w:val="24"/>
        </w:rPr>
        <w:instrText xml:space="preserve"> ADDIN EN.CITE </w:instrText>
      </w:r>
      <w:r>
        <w:rPr>
          <w:rFonts w:ascii="Times New Roman" w:hAnsi="Times New Roman" w:cs="Times New Roman"/>
          <w:color w:val="000000" w:themeColor="text1"/>
          <w:sz w:val="24"/>
        </w:rPr>
        <w:fldChar w:fldCharType="begin">
          <w:fldData xml:space="preserve">PEVuZE5vdGU+PENpdGU+PEF1dGhvcj5Nb2F6YW1pPC9BdXRob3I+PFllYXI+MjAyMzwvWWVhcj48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</w:fldData>
        </w:fldChar>
      </w:r>
      <w:r>
        <w:rPr>
          <w:rFonts w:ascii="Times New Roman" w:hAnsi="Times New Roman" w:cs="Times New Roman"/>
          <w:color w:val="000000" w:themeColor="text1"/>
          <w:sz w:val="24"/>
        </w:rPr>
        <w:instrText xml:space="preserve"> ADDIN EN.CITE.DATA </w:instrText>
      </w:r>
      <w:r>
        <w:rPr>
          <w:rFonts w:ascii="Times New Roman" w:hAnsi="Times New Roman" w:cs="Times New Roman"/>
          <w:color w:val="000000" w:themeColor="text1"/>
          <w:sz w:val="24"/>
        </w:rPr>
      </w:r>
      <w:r>
        <w:rPr>
          <w:rFonts w:ascii="Times New Roman" w:hAnsi="Times New Roman" w:cs="Times New Roman"/>
          <w:color w:val="000000" w:themeColor="text1"/>
          <w:sz w:val="24"/>
        </w:rPr>
        <w:fldChar w:fldCharType="end"/>
      </w:r>
      <w:r>
        <w:rPr>
          <w:rFonts w:ascii="Times New Roman" w:hAnsi="Times New Roman" w:cs="Times New Roman"/>
          <w:color w:val="000000" w:themeColor="text1"/>
          <w:sz w:val="24"/>
        </w:rPr>
      </w:r>
      <w:r>
        <w:rPr>
          <w:rFonts w:ascii="Times New Roman" w:hAnsi="Times New Roman" w:cs="Times New Roman"/>
          <w:color w:val="000000" w:themeColor="text1"/>
          <w:sz w:val="24"/>
        </w:rPr>
        <w:fldChar w:fldCharType="separate"/>
      </w:r>
      <w:r>
        <w:rPr>
          <w:rFonts w:ascii="Times New Roman" w:hAnsi="Times New Roman" w:cs="Times New Roman"/>
          <w:color w:val="000000" w:themeColor="text1"/>
          <w:sz w:val="24"/>
          <w:vertAlign w:val="superscript"/>
        </w:rPr>
        <w:t>1,2</w:t>
      </w:r>
      <w:r>
        <w:rPr>
          <w:rFonts w:ascii="Times New Roman" w:hAnsi="Times New Roman" w:cs="Times New Roman"/>
          <w:color w:val="000000" w:themeColor="text1"/>
          <w:sz w:val="24"/>
        </w:rPr>
        <w:fldChar w:fldCharType="end"/>
      </w:r>
      <w:r>
        <w:rPr>
          <w:rFonts w:ascii="Times New Roman" w:hAnsi="Times New Roman" w:cs="Times New Roman"/>
          <w:color w:val="000000" w:themeColor="text1"/>
          <w:sz w:val="24"/>
        </w:rPr>
        <w:t>. The selected decedent was repeatedly confirmed brain dead by four clinical assessments and had been ruled out for organ donation by the China Organ Donation Administrative Center. The study protocol was approved by the Institutional Review Board of Guangzhou Medical University First Affiliated Hospital (No. ES-2024-056-02). Written informed consent was obtained from the family of the brain-dead recipient. The Institutional Review Board of Guangzhou Medical University also reviewed our plans for zoonotic disease surveillance, hazardous material handling, and embalming procedures before transport and burial. The Guangdong Red Cross reviewed and provided oversight for the protocol.</w:t>
      </w:r>
    </w:p>
    <w:p w14:paraId="327F2423"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529A182C"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Donor pig preparation</w:t>
      </w:r>
    </w:p>
    <w:p w14:paraId="7C9E386E"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A Chinese Bama Xiang pig with a six gene-edited lung (</w:t>
      </w:r>
      <w:r>
        <w:rPr>
          <w:rFonts w:ascii="Times New Roman" w:hAnsi="Times New Roman" w:cs="Times New Roman"/>
          <w:i/>
          <w:iCs/>
          <w:color w:val="000000" w:themeColor="text1"/>
          <w:sz w:val="24"/>
        </w:rPr>
        <w:t>GTKO</w:t>
      </w:r>
      <w:r>
        <w:rPr>
          <w:rFonts w:ascii="Times New Roman" w:hAnsi="Times New Roman" w:cs="Times New Roman"/>
          <w:color w:val="000000" w:themeColor="text1"/>
          <w:sz w:val="24"/>
        </w:rPr>
        <w:t>/</w:t>
      </w:r>
      <w:r>
        <w:rPr>
          <w:rFonts w:ascii="Times New Roman" w:hAnsi="Times New Roman" w:cs="Times New Roman"/>
          <w:i/>
          <w:iCs/>
          <w:color w:val="000000" w:themeColor="text1"/>
          <w:sz w:val="24"/>
        </w:rPr>
        <w:t>B4GalNT2KO</w:t>
      </w:r>
      <w:r>
        <w:rPr>
          <w:rFonts w:ascii="Times New Roman" w:hAnsi="Times New Roman" w:cs="Times New Roman"/>
          <w:color w:val="000000" w:themeColor="text1"/>
          <w:sz w:val="24"/>
        </w:rPr>
        <w:t>/</w:t>
      </w:r>
      <w:r>
        <w:rPr>
          <w:rFonts w:ascii="Times New Roman" w:hAnsi="Times New Roman" w:cs="Times New Roman"/>
          <w:i/>
          <w:iCs/>
          <w:color w:val="000000" w:themeColor="text1"/>
          <w:sz w:val="24"/>
        </w:rPr>
        <w:t>CMAHKO</w:t>
      </w:r>
      <w:r>
        <w:rPr>
          <w:rFonts w:ascii="Times New Roman" w:hAnsi="Times New Roman" w:cs="Times New Roman"/>
          <w:color w:val="000000" w:themeColor="text1"/>
          <w:sz w:val="24"/>
        </w:rPr>
        <w:t>/</w:t>
      </w:r>
      <w:r>
        <w:rPr>
          <w:rFonts w:ascii="Times New Roman" w:hAnsi="Times New Roman" w:cs="Times New Roman"/>
          <w:i/>
          <w:iCs/>
          <w:color w:val="000000" w:themeColor="text1"/>
          <w:sz w:val="24"/>
        </w:rPr>
        <w:t>CD55</w:t>
      </w:r>
      <w:r>
        <w:rPr>
          <w:rFonts w:ascii="Times New Roman" w:hAnsi="Times New Roman" w:cs="Times New Roman"/>
          <w:color w:val="000000" w:themeColor="text1"/>
          <w:sz w:val="24"/>
        </w:rPr>
        <w:t>/</w:t>
      </w:r>
      <w:r>
        <w:rPr>
          <w:rFonts w:ascii="Times New Roman" w:hAnsi="Times New Roman" w:cs="Times New Roman"/>
          <w:i/>
          <w:iCs/>
          <w:color w:val="000000" w:themeColor="text1"/>
          <w:sz w:val="24"/>
        </w:rPr>
        <w:t>CD46</w:t>
      </w:r>
      <w:r>
        <w:rPr>
          <w:rFonts w:ascii="Times New Roman" w:hAnsi="Times New Roman" w:cs="Times New Roman"/>
          <w:color w:val="000000" w:themeColor="text1"/>
          <w:sz w:val="24"/>
        </w:rPr>
        <w:t>/</w:t>
      </w:r>
      <w:r>
        <w:rPr>
          <w:rFonts w:ascii="Times New Roman" w:hAnsi="Times New Roman" w:cs="Times New Roman"/>
          <w:i/>
          <w:iCs/>
          <w:color w:val="000000" w:themeColor="text1"/>
          <w:sz w:val="24"/>
        </w:rPr>
        <w:t>TBM</w:t>
      </w:r>
      <w:r>
        <w:rPr>
          <w:rFonts w:ascii="Times New Roman" w:hAnsi="Times New Roman" w:cs="Times New Roman"/>
          <w:color w:val="000000" w:themeColor="text1"/>
          <w:sz w:val="24"/>
        </w:rPr>
        <w:t>) (Clonorgan Biotechnology, Chengdu, China) was selected as the donor. The pig, a 22-month-old male weighing 70 kg, was housed under standard conditions with access to food and water ad libitum. All procedures involving animals were conducted in accordance with institutional guidelines for animal care and use. This study was approved by the Laboratory Animal Ethics Committee of the Affiliated First Hospital of Guangzhou Medical University (20240419). The pig lung was procured in a clinical-grade operating room. The donor pig was anesthetized, the lung xenograft was perfused with PERFADEX Plus solution (XVIVO, Gothenburg, Sweden), and static cold preservation was completed.</w:t>
      </w:r>
    </w:p>
    <w:p w14:paraId="5CE7DC1B"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45F3D34C"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Trial design and surgical procedure </w:t>
      </w:r>
    </w:p>
    <w:p w14:paraId="35FDDC22"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A brain-dead patient who was deemed unsuitable for organ donation by the Organ Ethics Committee, was included as the recipient in this study. The study endpoints were (1) complete failure of the xenotransplant lung, (2) hemodynamic circulation instability, (3) severe infection, and (4) family refusal to continue the experiment.</w:t>
      </w:r>
    </w:p>
    <w:p w14:paraId="66F2CFCD"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donor pig's left pulmonary artery (LPA), left pulmonary vein (LPV), and bronchus </w:t>
      </w:r>
      <w:r>
        <w:rPr>
          <w:rFonts w:ascii="Times New Roman" w:hAnsi="Times New Roman" w:cs="Times New Roman"/>
          <w:color w:val="000000" w:themeColor="text1"/>
          <w:sz w:val="24"/>
        </w:rPr>
        <w:lastRenderedPageBreak/>
        <w:t>were trimmed to appropriate lengths for transplantation, while the right lung of the donor pig was used for pathogen testing. Respiratory support was provided through double-lumen endotracheal mechanical ventilation. To prevent intraoperative hypoxemia or circulatory instability, the recipient underwent a median sternotomy, and the pig's left lung was transplanted into the recipient using standard surgical techniques, including the anastomosis of the left bronchus, LPV, and LPA (Fig. S1).</w:t>
      </w:r>
    </w:p>
    <w:p w14:paraId="0C1AE84F"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Peripheral blood and lung tissue samples were collected from the donor pig pre-transplant and from the recipient on postoperative day (POD) 9 to detect porcine pathogens (Table S1). </w:t>
      </w:r>
    </w:p>
    <w:p w14:paraId="7F4EC356"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0BA8B3A1"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Immunosuppression and clinical monitoring</w:t>
      </w:r>
    </w:p>
    <w:p w14:paraId="61FFE4DA" w14:textId="77777777" w:rsidR="003B0FA5" w:rsidRDefault="003B0FA5" w:rsidP="003B0FA5">
      <w:pPr>
        <w:widowControl/>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One day before surgery, immunoinduction was initiated (Fig. 1A). The patient received 25 mg of rabbit thymoglobulin (rATG) for T-cell depletion, 0.5 mg of mycophenolate mofetil (MMF), and 5 mg of tacrolimus (FK). On the day of transplantation (May 15, 2024), the patient was administered 50 mg of rATG and 20 mg of basiliximab for T-cell depletion. On the first postoperative day (POD 1), 300 mg of rituximab was administered for B-cell depletion. On POD 2, 600 mg of eculizumab was administered to inhibit complement activation, and 50 mg of tofacitinib was used to suppress proinflammatory cytokines. On POD 3, 20 mg of masiliximab was given again for T-cell depletion, and on POD 6, the costimulation blocker belatacept (250 mg) was administered. Maintenance therapy included FK506 (tacrolimus) at 5 mg/day and MMF starting at 1 g/day on POD 0, increasing to 2 g/day on POD 1 and 2.5 g/day on POD 2, and being maintained at 2.5 g/day from POD 3 to POD 9. Methylprednisolone was administered at 750 mg on POD 0 and reduced to 60 mg by POD 6. Postoperative monitoring of FK blood concentration was conducted to maintain levels between 15 and 20 ng/ml. Physiological parameters, including body temperature, central venous pressure (CVP), urine output, blood glucose levels, heart rate, blood pressure, fluid balance, and drainage volume, were continuously monitored in the xenograft lung recipient from transplantation through the postoperative day (POD) 9. These measurements were recorded at regular intervals to assess the recipient's physiological stability (Fig. S2). The recipient's immune status was assessed by regularly monitoring immune cells and inflammatory cytokine levels in peripheral blood (Fig. S3). </w:t>
      </w:r>
    </w:p>
    <w:p w14:paraId="30FB7655"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39F76D60"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lastRenderedPageBreak/>
        <w:t>Pathological biopsy and xenograft function assessment</w:t>
      </w:r>
    </w:p>
    <w:p w14:paraId="642BD530"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Regular pathological biopsies and xenograft function assessments were conducted to monitor the damage and functionality of the lung xenograft at multiple time points: 2 hours’ postperfusion, 24 hours’ postperfusion, POD 2, POD 3, POD 4, POD 6, and POD 9. Pathological biopsies were performed through a left-side incision at the fifth intercostal space. Tissue samples from the lung xenograft were collected for pathological examination. Concurrently, blood was drawn under direct vision from the left LPA and LPV, respectively, for blood gas analysis to evaluate the oxygenation function of the lung xenograft. Lung compliance testing was conducted to assess the function of the xenograft. Dynamic lung compliance (Cdyn), static lung compliance (Cstat), respiratory parameters, and tidal volume were measured while the left xenograft lung was ventilated independently.</w:t>
      </w:r>
    </w:p>
    <w:p w14:paraId="009E8010"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5BA38F52"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Histological and immunological assessments</w:t>
      </w:r>
    </w:p>
    <w:p w14:paraId="2CBE2EC2"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Hematoxylin and eosin (HE) staining was used to assess tissue morphology and general pathology. Immunohistochemistry for CD3 and CD68 was performed to evaluate T-cell and macrophage infiltration. Immunofluorescence staining for immunoglobin (Ig)G, IgM, C4c, and C3 was conducted to assess antibody deposition and complement activation.</w:t>
      </w:r>
    </w:p>
    <w:p w14:paraId="171491FC"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0B312B4B"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drawing>
          <wp:inline distT="0" distB="0" distL="0" distR="0" wp14:anchorId="442CCC1A" wp14:editId="37B2AADA">
            <wp:extent cx="5913755" cy="2143760"/>
            <wp:effectExtent l="0" t="0" r="1270" b="8890"/>
            <wp:docPr id="318193207" name="图片 1" descr="A collage of several people performing surge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193207" name="图片 1" descr="A collage of several people performing surgery&#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913690" cy="2143570"/>
                    </a:xfrm>
                    <a:prstGeom prst="rect">
                      <a:avLst/>
                    </a:prstGeom>
                    <a:noFill/>
                    <a:ln>
                      <a:noFill/>
                    </a:ln>
                  </pic:spPr>
                </pic:pic>
              </a:graphicData>
            </a:graphic>
          </wp:inline>
        </w:drawing>
      </w:r>
    </w:p>
    <w:p w14:paraId="78569F4E"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Fig. S1 The surgical procedure for pig-to-human lung xenotransplantation.</w:t>
      </w:r>
    </w:p>
    <w:p w14:paraId="2E2A62FB"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2B24038A"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0" distR="0" simplePos="0" relativeHeight="251659264" behindDoc="0" locked="0" layoutInCell="1" allowOverlap="1" wp14:anchorId="392FDE20" wp14:editId="5C5131D4">
            <wp:simplePos x="0" y="0"/>
            <wp:positionH relativeFrom="column">
              <wp:posOffset>-199390</wp:posOffset>
            </wp:positionH>
            <wp:positionV relativeFrom="paragraph">
              <wp:posOffset>-29845</wp:posOffset>
            </wp:positionV>
            <wp:extent cx="5669915" cy="6299200"/>
            <wp:effectExtent l="0" t="0" r="6985" b="6350"/>
            <wp:wrapTopAndBottom/>
            <wp:docPr id="1972615761" name="图片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615761" name="图片 1" descr="A collage of graph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669915" cy="6299200"/>
                    </a:xfrm>
                    <a:prstGeom prst="rect">
                      <a:avLst/>
                    </a:prstGeom>
                    <a:noFill/>
                    <a:ln>
                      <a:noFill/>
                    </a:ln>
                  </pic:spPr>
                </pic:pic>
              </a:graphicData>
            </a:graphic>
          </wp:anchor>
        </w:drawing>
      </w:r>
      <w:r>
        <w:rPr>
          <w:rFonts w:ascii="Times New Roman" w:hAnsi="Times New Roman" w:cs="Times New Roman"/>
          <w:b/>
          <w:bCs/>
          <w:color w:val="000000" w:themeColor="text1"/>
          <w:sz w:val="24"/>
        </w:rPr>
        <w:t>Fig. S2. Dynamic physiological measurements in xenograft lung recipient.</w:t>
      </w:r>
      <w:r>
        <w:rPr>
          <w:rFonts w:ascii="Times New Roman" w:hAnsi="Times New Roman" w:cs="Times New Roman"/>
          <w:color w:val="000000" w:themeColor="text1"/>
          <w:sz w:val="24"/>
        </w:rPr>
        <w:t xml:space="preserve"> </w:t>
      </w:r>
    </w:p>
    <w:p w14:paraId="1FA87C22"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color w:val="000000" w:themeColor="text1"/>
          <w:sz w:val="24"/>
        </w:rPr>
        <w:t xml:space="preserve">CVP, central venous pressure; SAP, systolic arterial pressure; DAP, diastolic arterial pressure; PASP, pulmonary artery systolic pressure; PADP, pulmonary artery diastolic pressure; MPAP, mean pulmonary artery pressure; POD, postoperative day. </w:t>
      </w:r>
    </w:p>
    <w:p w14:paraId="1DAEE445"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inline distT="0" distB="0" distL="0" distR="0" wp14:anchorId="6CF437BF" wp14:editId="5641DC70">
            <wp:extent cx="5198745" cy="4848225"/>
            <wp:effectExtent l="0" t="0" r="1905" b="0"/>
            <wp:docPr id="2101622884" name="图片 3"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22884" name="图片 3" descr="A group of graphs showing different types of data&#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198745" cy="4848225"/>
                    </a:xfrm>
                    <a:prstGeom prst="rect">
                      <a:avLst/>
                    </a:prstGeom>
                    <a:noFill/>
                    <a:ln>
                      <a:noFill/>
                    </a:ln>
                  </pic:spPr>
                </pic:pic>
              </a:graphicData>
            </a:graphic>
          </wp:inline>
        </w:drawing>
      </w:r>
      <w:r>
        <w:rPr>
          <w:rFonts w:ascii="Times New Roman" w:hAnsi="Times New Roman" w:cs="Times New Roman"/>
          <w:b/>
          <w:bCs/>
          <w:color w:val="000000" w:themeColor="text1"/>
          <w:sz w:val="24"/>
        </w:rPr>
        <w:t xml:space="preserve">Fig. S3 Inflammatory markers and cytokine responses in the xenograft lung recipient. </w:t>
      </w:r>
      <w:r>
        <w:rPr>
          <w:rFonts w:ascii="Times New Roman" w:hAnsi="Times New Roman" w:cs="Times New Roman"/>
          <w:color w:val="000000" w:themeColor="text1"/>
          <w:sz w:val="24"/>
        </w:rPr>
        <w:t>NK, natural killer cell; IL, interleukin; WBC, white blood cell; NEUT, neutrophil; LYMPH, lymphocyte; MONO, monocyte; PCT, procalcitonin; CRP, C-reactive protein; TNF-α, tumor necrosis factor-alpha; IFN-γ, interferon-gamma; IFN-α, interferon-alpha.</w:t>
      </w:r>
    </w:p>
    <w:p w14:paraId="5977DC38"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6648302D"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7A6D1466"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45B47607"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3720D6D1"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01DDD577"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3652D8EC"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2358B366"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1CE71C7C"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693C7F03" w14:textId="77777777" w:rsidR="003B0FA5" w:rsidRDefault="003B0FA5" w:rsidP="003B0FA5">
      <w:pPr>
        <w:adjustRightInd w:val="0"/>
        <w:snapToGrid w:val="0"/>
        <w:spacing w:line="360" w:lineRule="auto"/>
        <w:rPr>
          <w:rFonts w:ascii="Times New Roman" w:eastAsia="SimSun" w:hAnsi="Times New Roman" w:cs="Times New Roman"/>
          <w:b/>
          <w:bCs/>
          <w:color w:val="000000" w:themeColor="text1"/>
          <w:sz w:val="24"/>
        </w:rPr>
      </w:pPr>
      <w:r>
        <w:rPr>
          <w:rFonts w:ascii="Times New Roman" w:hAnsi="Times New Roman" w:cs="Times New Roman"/>
          <w:b/>
          <w:bCs/>
          <w:color w:val="000000" w:themeColor="text1"/>
          <w:sz w:val="24"/>
        </w:rPr>
        <w:lastRenderedPageBreak/>
        <w:t xml:space="preserve">Table S1 </w:t>
      </w:r>
      <w:r>
        <w:rPr>
          <w:rFonts w:ascii="Times New Roman" w:eastAsia="SimSun" w:hAnsi="Times New Roman" w:cs="Times New Roman"/>
          <w:b/>
          <w:bCs/>
          <w:color w:val="000000" w:themeColor="text1"/>
          <w:sz w:val="24"/>
        </w:rPr>
        <w:t>Porcine pathogen detection by metagenomics and meta-transcriptomics</w:t>
      </w:r>
    </w:p>
    <w:tbl>
      <w:tblPr>
        <w:tblStyle w:val="TableGrid"/>
        <w:tblpPr w:leftFromText="180" w:rightFromText="180" w:vertAnchor="text" w:horzAnchor="page" w:tblpX="483" w:tblpY="90"/>
        <w:tblOverlap w:val="never"/>
        <w:tblW w:w="109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84"/>
        <w:gridCol w:w="1878"/>
        <w:gridCol w:w="1701"/>
        <w:gridCol w:w="1843"/>
        <w:gridCol w:w="1310"/>
      </w:tblGrid>
      <w:tr w:rsidR="003B0FA5" w14:paraId="325E5EF5" w14:textId="77777777" w:rsidTr="00787588">
        <w:tc>
          <w:tcPr>
            <w:tcW w:w="4184" w:type="dxa"/>
            <w:tcBorders>
              <w:top w:val="single" w:sz="4" w:space="0" w:color="auto"/>
              <w:bottom w:val="single" w:sz="4" w:space="0" w:color="auto"/>
            </w:tcBorders>
          </w:tcPr>
          <w:p w14:paraId="50E1783F" w14:textId="77777777" w:rsidR="003B0FA5" w:rsidRDefault="003B0FA5" w:rsidP="00787588">
            <w:pPr>
              <w:adjustRightInd w:val="0"/>
              <w:snapToGrid w:val="0"/>
              <w:spacing w:line="360" w:lineRule="auto"/>
              <w:rPr>
                <w:color w:val="000000" w:themeColor="text1"/>
                <w:sz w:val="24"/>
              </w:rPr>
            </w:pPr>
            <w:r>
              <w:rPr>
                <w:rFonts w:eastAsia="SimSun"/>
                <w:color w:val="000000" w:themeColor="text1"/>
                <w:sz w:val="24"/>
              </w:rPr>
              <w:t>Pathogens</w:t>
            </w:r>
          </w:p>
        </w:tc>
        <w:tc>
          <w:tcPr>
            <w:tcW w:w="1878" w:type="dxa"/>
            <w:tcBorders>
              <w:top w:val="single" w:sz="4" w:space="0" w:color="auto"/>
              <w:bottom w:val="single" w:sz="4" w:space="0" w:color="auto"/>
            </w:tcBorders>
          </w:tcPr>
          <w:p w14:paraId="74CEE0C6" w14:textId="77777777" w:rsidR="003B0FA5" w:rsidRDefault="003B0FA5" w:rsidP="00787588">
            <w:pPr>
              <w:adjustRightInd w:val="0"/>
              <w:snapToGrid w:val="0"/>
              <w:spacing w:line="360" w:lineRule="auto"/>
              <w:rPr>
                <w:color w:val="000000" w:themeColor="text1"/>
                <w:sz w:val="24"/>
              </w:rPr>
            </w:pPr>
            <w:r>
              <w:rPr>
                <w:rFonts w:eastAsia="SimSun"/>
                <w:color w:val="000000" w:themeColor="text1"/>
                <w:sz w:val="24"/>
              </w:rPr>
              <w:t>Porcine peripheral blood (pretransplant, reads)</w:t>
            </w:r>
          </w:p>
        </w:tc>
        <w:tc>
          <w:tcPr>
            <w:tcW w:w="1701" w:type="dxa"/>
            <w:tcBorders>
              <w:top w:val="single" w:sz="4" w:space="0" w:color="auto"/>
              <w:bottom w:val="single" w:sz="4" w:space="0" w:color="auto"/>
            </w:tcBorders>
          </w:tcPr>
          <w:p w14:paraId="3F920E9B" w14:textId="77777777" w:rsidR="003B0FA5" w:rsidRDefault="003B0FA5" w:rsidP="00787588">
            <w:pPr>
              <w:adjustRightInd w:val="0"/>
              <w:snapToGrid w:val="0"/>
              <w:spacing w:line="360" w:lineRule="auto"/>
              <w:rPr>
                <w:rFonts w:eastAsia="SimSun"/>
                <w:color w:val="000000" w:themeColor="text1"/>
                <w:sz w:val="24"/>
              </w:rPr>
            </w:pPr>
            <w:r>
              <w:rPr>
                <w:rFonts w:eastAsia="SimSun"/>
                <w:color w:val="000000" w:themeColor="text1"/>
                <w:sz w:val="24"/>
              </w:rPr>
              <w:t>Porcine lung (pretransplant, reads)</w:t>
            </w:r>
          </w:p>
        </w:tc>
        <w:tc>
          <w:tcPr>
            <w:tcW w:w="1843" w:type="dxa"/>
            <w:tcBorders>
              <w:top w:val="single" w:sz="4" w:space="0" w:color="auto"/>
              <w:bottom w:val="single" w:sz="4" w:space="0" w:color="auto"/>
            </w:tcBorders>
          </w:tcPr>
          <w:p w14:paraId="614721C1" w14:textId="77777777" w:rsidR="003B0FA5" w:rsidRDefault="003B0FA5" w:rsidP="00787588">
            <w:pPr>
              <w:adjustRightInd w:val="0"/>
              <w:snapToGrid w:val="0"/>
              <w:spacing w:line="360" w:lineRule="auto"/>
              <w:rPr>
                <w:color w:val="000000" w:themeColor="text1"/>
                <w:sz w:val="24"/>
              </w:rPr>
            </w:pPr>
            <w:r>
              <w:rPr>
                <w:rFonts w:eastAsia="SimSun"/>
                <w:color w:val="000000" w:themeColor="text1"/>
                <w:sz w:val="24"/>
              </w:rPr>
              <w:t>Recipient peripheral blood (POD 9, reads)</w:t>
            </w:r>
          </w:p>
        </w:tc>
        <w:tc>
          <w:tcPr>
            <w:tcW w:w="1310" w:type="dxa"/>
            <w:tcBorders>
              <w:top w:val="single" w:sz="4" w:space="0" w:color="auto"/>
              <w:bottom w:val="single" w:sz="4" w:space="0" w:color="auto"/>
            </w:tcBorders>
          </w:tcPr>
          <w:p w14:paraId="00E6D3F7" w14:textId="77777777" w:rsidR="003B0FA5" w:rsidRDefault="003B0FA5" w:rsidP="00787588">
            <w:pPr>
              <w:adjustRightInd w:val="0"/>
              <w:snapToGrid w:val="0"/>
              <w:spacing w:line="360" w:lineRule="auto"/>
              <w:rPr>
                <w:rFonts w:eastAsia="SimSun"/>
                <w:color w:val="000000" w:themeColor="text1"/>
                <w:sz w:val="24"/>
              </w:rPr>
            </w:pPr>
            <w:r>
              <w:rPr>
                <w:rFonts w:eastAsia="SimSun"/>
                <w:color w:val="000000" w:themeColor="text1"/>
                <w:sz w:val="24"/>
              </w:rPr>
              <w:t>Xenograft lung (POD 9, reads)</w:t>
            </w:r>
          </w:p>
        </w:tc>
      </w:tr>
      <w:tr w:rsidR="003B0FA5" w14:paraId="7B051834" w14:textId="77777777" w:rsidTr="00787588">
        <w:tc>
          <w:tcPr>
            <w:tcW w:w="4184" w:type="dxa"/>
            <w:tcBorders>
              <w:top w:val="single" w:sz="4" w:space="0" w:color="auto"/>
            </w:tcBorders>
          </w:tcPr>
          <w:p w14:paraId="696DA7A2" w14:textId="77777777" w:rsidR="003B0FA5" w:rsidRDefault="003B0FA5" w:rsidP="00787588">
            <w:pPr>
              <w:adjustRightInd w:val="0"/>
              <w:snapToGrid w:val="0"/>
              <w:spacing w:line="360" w:lineRule="auto"/>
              <w:rPr>
                <w:color w:val="000000" w:themeColor="text1"/>
                <w:sz w:val="24"/>
              </w:rPr>
            </w:pPr>
            <w:r>
              <w:rPr>
                <w:rFonts w:eastAsia="SimSun"/>
                <w:color w:val="000000" w:themeColor="text1"/>
                <w:sz w:val="24"/>
              </w:rPr>
              <w:t>Pathogens in metagenomics</w:t>
            </w:r>
          </w:p>
        </w:tc>
        <w:tc>
          <w:tcPr>
            <w:tcW w:w="1878" w:type="dxa"/>
            <w:tcBorders>
              <w:top w:val="single" w:sz="4" w:space="0" w:color="auto"/>
            </w:tcBorders>
          </w:tcPr>
          <w:p w14:paraId="2EC4D3E6" w14:textId="77777777" w:rsidR="003B0FA5" w:rsidRDefault="003B0FA5" w:rsidP="00787588">
            <w:pPr>
              <w:adjustRightInd w:val="0"/>
              <w:snapToGrid w:val="0"/>
              <w:spacing w:line="360" w:lineRule="auto"/>
              <w:rPr>
                <w:color w:val="000000" w:themeColor="text1"/>
                <w:sz w:val="24"/>
              </w:rPr>
            </w:pPr>
          </w:p>
        </w:tc>
        <w:tc>
          <w:tcPr>
            <w:tcW w:w="1701" w:type="dxa"/>
            <w:tcBorders>
              <w:top w:val="single" w:sz="4" w:space="0" w:color="auto"/>
            </w:tcBorders>
          </w:tcPr>
          <w:p w14:paraId="5001D8D9" w14:textId="77777777" w:rsidR="003B0FA5" w:rsidRDefault="003B0FA5" w:rsidP="00787588">
            <w:pPr>
              <w:adjustRightInd w:val="0"/>
              <w:snapToGrid w:val="0"/>
              <w:spacing w:line="360" w:lineRule="auto"/>
              <w:rPr>
                <w:color w:val="000000" w:themeColor="text1"/>
                <w:sz w:val="24"/>
              </w:rPr>
            </w:pPr>
          </w:p>
        </w:tc>
        <w:tc>
          <w:tcPr>
            <w:tcW w:w="1843" w:type="dxa"/>
            <w:tcBorders>
              <w:top w:val="single" w:sz="4" w:space="0" w:color="auto"/>
            </w:tcBorders>
          </w:tcPr>
          <w:p w14:paraId="71E8E2CF" w14:textId="77777777" w:rsidR="003B0FA5" w:rsidRDefault="003B0FA5" w:rsidP="00787588">
            <w:pPr>
              <w:adjustRightInd w:val="0"/>
              <w:snapToGrid w:val="0"/>
              <w:spacing w:line="360" w:lineRule="auto"/>
              <w:rPr>
                <w:color w:val="000000" w:themeColor="text1"/>
                <w:sz w:val="24"/>
              </w:rPr>
            </w:pPr>
          </w:p>
        </w:tc>
        <w:tc>
          <w:tcPr>
            <w:tcW w:w="1310" w:type="dxa"/>
            <w:tcBorders>
              <w:top w:val="single" w:sz="4" w:space="0" w:color="auto"/>
            </w:tcBorders>
          </w:tcPr>
          <w:p w14:paraId="0E520135" w14:textId="77777777" w:rsidR="003B0FA5" w:rsidRDefault="003B0FA5" w:rsidP="00787588">
            <w:pPr>
              <w:adjustRightInd w:val="0"/>
              <w:snapToGrid w:val="0"/>
              <w:spacing w:line="360" w:lineRule="auto"/>
              <w:rPr>
                <w:color w:val="000000" w:themeColor="text1"/>
                <w:sz w:val="24"/>
              </w:rPr>
            </w:pPr>
          </w:p>
        </w:tc>
      </w:tr>
      <w:tr w:rsidR="003B0FA5" w14:paraId="74720094" w14:textId="77777777" w:rsidTr="00787588">
        <w:tc>
          <w:tcPr>
            <w:tcW w:w="4184" w:type="dxa"/>
            <w:tcBorders>
              <w:top w:val="single" w:sz="4" w:space="0" w:color="auto"/>
            </w:tcBorders>
          </w:tcPr>
          <w:p w14:paraId="0D7E8DD0" w14:textId="77777777" w:rsidR="003B0FA5" w:rsidRDefault="003B0FA5" w:rsidP="00787588">
            <w:pPr>
              <w:adjustRightInd w:val="0"/>
              <w:snapToGrid w:val="0"/>
              <w:spacing w:line="360" w:lineRule="auto"/>
              <w:ind w:leftChars="100" w:left="210"/>
              <w:rPr>
                <w:color w:val="000000" w:themeColor="text1"/>
                <w:sz w:val="24"/>
              </w:rPr>
            </w:pPr>
            <w:r>
              <w:rPr>
                <w:color w:val="000000" w:themeColor="text1"/>
                <w:sz w:val="24"/>
              </w:rPr>
              <w:t>Porcine endogenous retrovirus C (PERV-C)</w:t>
            </w:r>
          </w:p>
        </w:tc>
        <w:tc>
          <w:tcPr>
            <w:tcW w:w="1878" w:type="dxa"/>
            <w:tcBorders>
              <w:top w:val="single" w:sz="4" w:space="0" w:color="auto"/>
            </w:tcBorders>
          </w:tcPr>
          <w:p w14:paraId="4B130F0C" w14:textId="77777777" w:rsidR="003B0FA5" w:rsidRDefault="003B0FA5" w:rsidP="00787588">
            <w:pPr>
              <w:adjustRightInd w:val="0"/>
              <w:snapToGrid w:val="0"/>
              <w:spacing w:line="360" w:lineRule="auto"/>
              <w:rPr>
                <w:color w:val="000000" w:themeColor="text1"/>
                <w:sz w:val="24"/>
              </w:rPr>
            </w:pPr>
            <w:r>
              <w:rPr>
                <w:color w:val="000000" w:themeColor="text1"/>
                <w:sz w:val="24"/>
              </w:rPr>
              <w:t>9</w:t>
            </w:r>
          </w:p>
        </w:tc>
        <w:tc>
          <w:tcPr>
            <w:tcW w:w="1701" w:type="dxa"/>
            <w:tcBorders>
              <w:top w:val="single" w:sz="4" w:space="0" w:color="auto"/>
            </w:tcBorders>
          </w:tcPr>
          <w:p w14:paraId="353518D3" w14:textId="77777777" w:rsidR="003B0FA5" w:rsidRDefault="003B0FA5" w:rsidP="00787588">
            <w:pPr>
              <w:adjustRightInd w:val="0"/>
              <w:snapToGrid w:val="0"/>
              <w:spacing w:line="360" w:lineRule="auto"/>
              <w:rPr>
                <w:color w:val="000000" w:themeColor="text1"/>
                <w:sz w:val="24"/>
              </w:rPr>
            </w:pPr>
            <w:r>
              <w:rPr>
                <w:color w:val="000000" w:themeColor="text1"/>
                <w:sz w:val="24"/>
              </w:rPr>
              <w:t>89</w:t>
            </w:r>
          </w:p>
        </w:tc>
        <w:tc>
          <w:tcPr>
            <w:tcW w:w="1843" w:type="dxa"/>
            <w:tcBorders>
              <w:top w:val="single" w:sz="4" w:space="0" w:color="auto"/>
            </w:tcBorders>
          </w:tcPr>
          <w:p w14:paraId="51062BD8" w14:textId="77777777" w:rsidR="003B0FA5" w:rsidRDefault="003B0FA5" w:rsidP="00787588">
            <w:pPr>
              <w:adjustRightInd w:val="0"/>
              <w:snapToGrid w:val="0"/>
              <w:spacing w:line="360" w:lineRule="auto"/>
              <w:rPr>
                <w:color w:val="000000" w:themeColor="text1"/>
                <w:sz w:val="24"/>
              </w:rPr>
            </w:pPr>
            <w:r>
              <w:rPr>
                <w:color w:val="000000" w:themeColor="text1"/>
                <w:sz w:val="24"/>
              </w:rPr>
              <w:t>3</w:t>
            </w:r>
          </w:p>
        </w:tc>
        <w:tc>
          <w:tcPr>
            <w:tcW w:w="1310" w:type="dxa"/>
            <w:tcBorders>
              <w:top w:val="single" w:sz="4" w:space="0" w:color="auto"/>
            </w:tcBorders>
          </w:tcPr>
          <w:p w14:paraId="74CCEB76" w14:textId="77777777" w:rsidR="003B0FA5" w:rsidRDefault="003B0FA5" w:rsidP="00787588">
            <w:pPr>
              <w:adjustRightInd w:val="0"/>
              <w:snapToGrid w:val="0"/>
              <w:spacing w:line="360" w:lineRule="auto"/>
              <w:rPr>
                <w:color w:val="000000" w:themeColor="text1"/>
                <w:sz w:val="24"/>
              </w:rPr>
            </w:pPr>
            <w:r>
              <w:rPr>
                <w:color w:val="000000" w:themeColor="text1"/>
                <w:sz w:val="24"/>
              </w:rPr>
              <w:t>5</w:t>
            </w:r>
          </w:p>
        </w:tc>
      </w:tr>
      <w:tr w:rsidR="003B0FA5" w14:paraId="222F067B" w14:textId="77777777" w:rsidTr="00787588">
        <w:tc>
          <w:tcPr>
            <w:tcW w:w="4184" w:type="dxa"/>
            <w:vAlign w:val="center"/>
          </w:tcPr>
          <w:p w14:paraId="548D3190" w14:textId="77777777" w:rsidR="003B0FA5" w:rsidRDefault="003B0FA5" w:rsidP="00787588">
            <w:pPr>
              <w:adjustRightInd w:val="0"/>
              <w:snapToGrid w:val="0"/>
              <w:spacing w:line="360" w:lineRule="auto"/>
              <w:ind w:leftChars="100" w:left="210"/>
              <w:rPr>
                <w:color w:val="000000" w:themeColor="text1"/>
                <w:sz w:val="24"/>
              </w:rPr>
            </w:pPr>
            <w:r>
              <w:rPr>
                <w:color w:val="000000" w:themeColor="text1"/>
                <w:sz w:val="24"/>
              </w:rPr>
              <w:t>Porcine lymphotropic herpesvirus 1 (PLHV-1)</w:t>
            </w:r>
          </w:p>
        </w:tc>
        <w:tc>
          <w:tcPr>
            <w:tcW w:w="1878" w:type="dxa"/>
          </w:tcPr>
          <w:p w14:paraId="47B34EA2" w14:textId="77777777" w:rsidR="003B0FA5" w:rsidRDefault="003B0FA5" w:rsidP="00787588">
            <w:pPr>
              <w:adjustRightInd w:val="0"/>
              <w:snapToGrid w:val="0"/>
              <w:spacing w:line="360" w:lineRule="auto"/>
              <w:rPr>
                <w:color w:val="000000" w:themeColor="text1"/>
                <w:sz w:val="24"/>
              </w:rPr>
            </w:pPr>
            <w:r>
              <w:rPr>
                <w:color w:val="000000" w:themeColor="text1"/>
                <w:sz w:val="24"/>
              </w:rPr>
              <w:t>16</w:t>
            </w:r>
          </w:p>
        </w:tc>
        <w:tc>
          <w:tcPr>
            <w:tcW w:w="1701" w:type="dxa"/>
          </w:tcPr>
          <w:p w14:paraId="44DC7737" w14:textId="77777777" w:rsidR="003B0FA5" w:rsidRDefault="003B0FA5" w:rsidP="00787588">
            <w:pPr>
              <w:adjustRightInd w:val="0"/>
              <w:snapToGrid w:val="0"/>
              <w:spacing w:line="360" w:lineRule="auto"/>
              <w:rPr>
                <w:color w:val="000000" w:themeColor="text1"/>
                <w:sz w:val="24"/>
              </w:rPr>
            </w:pPr>
            <w:r>
              <w:rPr>
                <w:color w:val="000000" w:themeColor="text1"/>
                <w:sz w:val="24"/>
              </w:rPr>
              <w:t>53</w:t>
            </w:r>
          </w:p>
        </w:tc>
        <w:tc>
          <w:tcPr>
            <w:tcW w:w="1843" w:type="dxa"/>
          </w:tcPr>
          <w:p w14:paraId="58D65511" w14:textId="77777777" w:rsidR="003B0FA5" w:rsidRDefault="003B0FA5" w:rsidP="00787588">
            <w:pPr>
              <w:adjustRightInd w:val="0"/>
              <w:snapToGrid w:val="0"/>
              <w:spacing w:line="360" w:lineRule="auto"/>
              <w:rPr>
                <w:color w:val="000000" w:themeColor="text1"/>
                <w:sz w:val="24"/>
              </w:rPr>
            </w:pPr>
            <w:r>
              <w:rPr>
                <w:color w:val="000000" w:themeColor="text1"/>
                <w:sz w:val="24"/>
              </w:rPr>
              <w:t>1</w:t>
            </w:r>
          </w:p>
        </w:tc>
        <w:tc>
          <w:tcPr>
            <w:tcW w:w="1310" w:type="dxa"/>
          </w:tcPr>
          <w:p w14:paraId="318A5015"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55D3769C" w14:textId="77777777" w:rsidTr="00787588">
        <w:tc>
          <w:tcPr>
            <w:tcW w:w="4184" w:type="dxa"/>
            <w:vAlign w:val="center"/>
          </w:tcPr>
          <w:p w14:paraId="01184FCA" w14:textId="77777777" w:rsidR="003B0FA5" w:rsidRDefault="003B0FA5" w:rsidP="00787588">
            <w:pPr>
              <w:adjustRightInd w:val="0"/>
              <w:snapToGrid w:val="0"/>
              <w:spacing w:line="360" w:lineRule="auto"/>
              <w:ind w:leftChars="100" w:left="210"/>
              <w:rPr>
                <w:color w:val="000000" w:themeColor="text1"/>
                <w:sz w:val="24"/>
              </w:rPr>
            </w:pPr>
            <w:r>
              <w:rPr>
                <w:color w:val="000000" w:themeColor="text1"/>
                <w:sz w:val="24"/>
              </w:rPr>
              <w:t>Porcine lymphotropic herpesvirus 3 (PLHV-3)</w:t>
            </w:r>
          </w:p>
        </w:tc>
        <w:tc>
          <w:tcPr>
            <w:tcW w:w="1878" w:type="dxa"/>
          </w:tcPr>
          <w:p w14:paraId="1CB9A737" w14:textId="77777777" w:rsidR="003B0FA5" w:rsidRDefault="003B0FA5" w:rsidP="00787588">
            <w:pPr>
              <w:adjustRightInd w:val="0"/>
              <w:snapToGrid w:val="0"/>
              <w:spacing w:line="360" w:lineRule="auto"/>
              <w:rPr>
                <w:color w:val="000000" w:themeColor="text1"/>
                <w:sz w:val="24"/>
              </w:rPr>
            </w:pPr>
            <w:r>
              <w:rPr>
                <w:color w:val="000000" w:themeColor="text1"/>
                <w:sz w:val="24"/>
              </w:rPr>
              <w:t>276</w:t>
            </w:r>
          </w:p>
        </w:tc>
        <w:tc>
          <w:tcPr>
            <w:tcW w:w="1701" w:type="dxa"/>
          </w:tcPr>
          <w:p w14:paraId="1950B09E" w14:textId="77777777" w:rsidR="003B0FA5" w:rsidRDefault="003B0FA5" w:rsidP="00787588">
            <w:pPr>
              <w:adjustRightInd w:val="0"/>
              <w:snapToGrid w:val="0"/>
              <w:spacing w:line="360" w:lineRule="auto"/>
              <w:rPr>
                <w:color w:val="000000" w:themeColor="text1"/>
                <w:sz w:val="24"/>
              </w:rPr>
            </w:pPr>
            <w:r>
              <w:rPr>
                <w:color w:val="000000" w:themeColor="text1"/>
                <w:sz w:val="24"/>
              </w:rPr>
              <w:t>19</w:t>
            </w:r>
          </w:p>
        </w:tc>
        <w:tc>
          <w:tcPr>
            <w:tcW w:w="1843" w:type="dxa"/>
          </w:tcPr>
          <w:p w14:paraId="47944EE3"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1FA3467A"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114677A8" w14:textId="77777777" w:rsidTr="00787588">
        <w:tc>
          <w:tcPr>
            <w:tcW w:w="4184" w:type="dxa"/>
            <w:vAlign w:val="center"/>
          </w:tcPr>
          <w:p w14:paraId="2C7A12AB" w14:textId="77777777" w:rsidR="003B0FA5" w:rsidRDefault="003B0FA5" w:rsidP="00787588">
            <w:pPr>
              <w:adjustRightInd w:val="0"/>
              <w:snapToGrid w:val="0"/>
              <w:spacing w:line="360" w:lineRule="auto"/>
              <w:ind w:leftChars="100" w:left="210"/>
              <w:rPr>
                <w:color w:val="000000" w:themeColor="text1"/>
                <w:sz w:val="24"/>
              </w:rPr>
            </w:pPr>
            <w:r>
              <w:rPr>
                <w:color w:val="000000" w:themeColor="text1"/>
                <w:sz w:val="24"/>
              </w:rPr>
              <w:t>Suid betaherpesvirus 2 (porcine CMV)</w:t>
            </w:r>
          </w:p>
        </w:tc>
        <w:tc>
          <w:tcPr>
            <w:tcW w:w="1878" w:type="dxa"/>
          </w:tcPr>
          <w:p w14:paraId="622AF559" w14:textId="77777777" w:rsidR="003B0FA5" w:rsidRDefault="003B0FA5" w:rsidP="00787588">
            <w:pPr>
              <w:adjustRightInd w:val="0"/>
              <w:snapToGrid w:val="0"/>
              <w:spacing w:line="360" w:lineRule="auto"/>
              <w:rPr>
                <w:color w:val="000000" w:themeColor="text1"/>
                <w:sz w:val="24"/>
              </w:rPr>
            </w:pPr>
            <w:r>
              <w:rPr>
                <w:color w:val="000000" w:themeColor="text1"/>
                <w:sz w:val="24"/>
              </w:rPr>
              <w:t>3</w:t>
            </w:r>
          </w:p>
        </w:tc>
        <w:tc>
          <w:tcPr>
            <w:tcW w:w="1701" w:type="dxa"/>
          </w:tcPr>
          <w:p w14:paraId="25133F42"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6E6E9E57" w14:textId="77777777" w:rsidR="003B0FA5" w:rsidRDefault="003B0FA5" w:rsidP="00787588">
            <w:pPr>
              <w:adjustRightInd w:val="0"/>
              <w:snapToGrid w:val="0"/>
              <w:spacing w:line="360" w:lineRule="auto"/>
              <w:rPr>
                <w:color w:val="000000" w:themeColor="text1"/>
                <w:sz w:val="24"/>
              </w:rPr>
            </w:pPr>
            <w:r>
              <w:rPr>
                <w:color w:val="000000" w:themeColor="text1"/>
                <w:sz w:val="24"/>
              </w:rPr>
              <w:t>1</w:t>
            </w:r>
          </w:p>
        </w:tc>
        <w:tc>
          <w:tcPr>
            <w:tcW w:w="1310" w:type="dxa"/>
          </w:tcPr>
          <w:p w14:paraId="24BD67DE"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249F347A" w14:textId="77777777" w:rsidTr="00787588">
        <w:tc>
          <w:tcPr>
            <w:tcW w:w="4184" w:type="dxa"/>
            <w:vAlign w:val="center"/>
          </w:tcPr>
          <w:p w14:paraId="576930DC" w14:textId="77777777" w:rsidR="003B0FA5" w:rsidRDefault="003B0FA5" w:rsidP="00787588">
            <w:pPr>
              <w:adjustRightInd w:val="0"/>
              <w:snapToGrid w:val="0"/>
              <w:spacing w:line="360" w:lineRule="auto"/>
              <w:ind w:leftChars="100" w:left="210"/>
              <w:rPr>
                <w:rStyle w:val="Strong"/>
                <w:rFonts w:eastAsia="SimSun" w:cs="Times New Roman"/>
                <w:b w:val="0"/>
                <w:bCs w:val="0"/>
                <w:color w:val="000000" w:themeColor="text1"/>
              </w:rPr>
            </w:pPr>
            <w:r>
              <w:rPr>
                <w:rStyle w:val="Strong"/>
                <w:rFonts w:eastAsia="SimSun" w:cs="Times New Roman"/>
                <w:color w:val="000000" w:themeColor="text1"/>
              </w:rPr>
              <w:t xml:space="preserve">Porcine </w:t>
            </w:r>
            <w:r>
              <w:rPr>
                <w:color w:val="000000" w:themeColor="text1"/>
                <w:sz w:val="24"/>
              </w:rPr>
              <w:t>circovirus</w:t>
            </w:r>
            <w:r>
              <w:rPr>
                <w:rStyle w:val="Strong"/>
                <w:rFonts w:eastAsia="SimSun" w:cs="Times New Roman"/>
                <w:color w:val="000000" w:themeColor="text1"/>
              </w:rPr>
              <w:t xml:space="preserve"> 1</w:t>
            </w:r>
          </w:p>
        </w:tc>
        <w:tc>
          <w:tcPr>
            <w:tcW w:w="1878" w:type="dxa"/>
          </w:tcPr>
          <w:p w14:paraId="7984570A"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701" w:type="dxa"/>
          </w:tcPr>
          <w:p w14:paraId="650C02C8"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18D39F15"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098A95BD" w14:textId="77777777" w:rsidR="003B0FA5" w:rsidRDefault="003B0FA5" w:rsidP="00787588">
            <w:pPr>
              <w:adjustRightInd w:val="0"/>
              <w:snapToGrid w:val="0"/>
              <w:spacing w:line="360" w:lineRule="auto"/>
              <w:rPr>
                <w:color w:val="000000" w:themeColor="text1"/>
                <w:sz w:val="24"/>
              </w:rPr>
            </w:pPr>
            <w:r>
              <w:rPr>
                <w:color w:val="000000" w:themeColor="text1"/>
                <w:sz w:val="24"/>
              </w:rPr>
              <w:t>2</w:t>
            </w:r>
          </w:p>
        </w:tc>
      </w:tr>
      <w:tr w:rsidR="003B0FA5" w14:paraId="5CC6E628" w14:textId="77777777" w:rsidTr="00787588">
        <w:tc>
          <w:tcPr>
            <w:tcW w:w="4184" w:type="dxa"/>
            <w:vAlign w:val="center"/>
          </w:tcPr>
          <w:p w14:paraId="0AACE45F" w14:textId="77777777" w:rsidR="003B0FA5" w:rsidRDefault="003B0FA5" w:rsidP="00787588">
            <w:pPr>
              <w:adjustRightInd w:val="0"/>
              <w:snapToGrid w:val="0"/>
              <w:spacing w:line="360" w:lineRule="auto"/>
              <w:ind w:leftChars="100" w:left="210"/>
              <w:rPr>
                <w:rStyle w:val="Strong"/>
                <w:rFonts w:eastAsia="SimSun" w:cs="Times New Roman"/>
                <w:b w:val="0"/>
                <w:bCs w:val="0"/>
                <w:i/>
                <w:iCs w:val="0"/>
                <w:color w:val="000000" w:themeColor="text1"/>
              </w:rPr>
            </w:pPr>
            <w:r>
              <w:rPr>
                <w:i/>
                <w:color w:val="000000" w:themeColor="text1"/>
                <w:sz w:val="24"/>
              </w:rPr>
              <w:t>Staphylococcus</w:t>
            </w:r>
            <w:r>
              <w:rPr>
                <w:rStyle w:val="Strong"/>
                <w:rFonts w:eastAsia="SimSun" w:cs="Times New Roman"/>
                <w:i/>
                <w:color w:val="000000" w:themeColor="text1"/>
              </w:rPr>
              <w:t xml:space="preserve"> equorum</w:t>
            </w:r>
          </w:p>
        </w:tc>
        <w:tc>
          <w:tcPr>
            <w:tcW w:w="1878" w:type="dxa"/>
          </w:tcPr>
          <w:p w14:paraId="25C1BEE5" w14:textId="77777777" w:rsidR="003B0FA5" w:rsidRDefault="003B0FA5" w:rsidP="00787588">
            <w:pPr>
              <w:adjustRightInd w:val="0"/>
              <w:snapToGrid w:val="0"/>
              <w:spacing w:line="360" w:lineRule="auto"/>
              <w:rPr>
                <w:color w:val="000000" w:themeColor="text1"/>
                <w:sz w:val="24"/>
              </w:rPr>
            </w:pPr>
            <w:r>
              <w:rPr>
                <w:color w:val="000000" w:themeColor="text1"/>
                <w:sz w:val="24"/>
              </w:rPr>
              <w:t>32,157</w:t>
            </w:r>
          </w:p>
        </w:tc>
        <w:tc>
          <w:tcPr>
            <w:tcW w:w="1701" w:type="dxa"/>
          </w:tcPr>
          <w:p w14:paraId="14C51B61"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68B816F3"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795569C0"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5E20732B" w14:textId="77777777" w:rsidTr="00787588">
        <w:tc>
          <w:tcPr>
            <w:tcW w:w="4184" w:type="dxa"/>
            <w:vAlign w:val="center"/>
          </w:tcPr>
          <w:p w14:paraId="55786CAA"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Corynebacterium camporealensis</w:t>
            </w:r>
          </w:p>
        </w:tc>
        <w:tc>
          <w:tcPr>
            <w:tcW w:w="1878" w:type="dxa"/>
          </w:tcPr>
          <w:p w14:paraId="07ED9153" w14:textId="77777777" w:rsidR="003B0FA5" w:rsidRDefault="003B0FA5" w:rsidP="00787588">
            <w:pPr>
              <w:adjustRightInd w:val="0"/>
              <w:snapToGrid w:val="0"/>
              <w:spacing w:line="360" w:lineRule="auto"/>
              <w:rPr>
                <w:color w:val="000000" w:themeColor="text1"/>
                <w:sz w:val="24"/>
              </w:rPr>
            </w:pPr>
            <w:r>
              <w:rPr>
                <w:color w:val="000000" w:themeColor="text1"/>
                <w:sz w:val="24"/>
              </w:rPr>
              <w:t>17,450</w:t>
            </w:r>
          </w:p>
        </w:tc>
        <w:tc>
          <w:tcPr>
            <w:tcW w:w="1701" w:type="dxa"/>
          </w:tcPr>
          <w:p w14:paraId="3FECCF48"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7AD8C47C"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68F6C640"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3EEB2AE3" w14:textId="77777777" w:rsidTr="00787588">
        <w:tc>
          <w:tcPr>
            <w:tcW w:w="4184" w:type="dxa"/>
            <w:vAlign w:val="center"/>
          </w:tcPr>
          <w:p w14:paraId="1DEF245F"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Corynebacterium stationis</w:t>
            </w:r>
          </w:p>
        </w:tc>
        <w:tc>
          <w:tcPr>
            <w:tcW w:w="1878" w:type="dxa"/>
          </w:tcPr>
          <w:p w14:paraId="7A530BA0" w14:textId="77777777" w:rsidR="003B0FA5" w:rsidRDefault="003B0FA5" w:rsidP="00787588">
            <w:pPr>
              <w:adjustRightInd w:val="0"/>
              <w:snapToGrid w:val="0"/>
              <w:spacing w:line="360" w:lineRule="auto"/>
              <w:rPr>
                <w:color w:val="000000" w:themeColor="text1"/>
                <w:sz w:val="24"/>
              </w:rPr>
            </w:pPr>
            <w:r>
              <w:rPr>
                <w:color w:val="000000" w:themeColor="text1"/>
                <w:sz w:val="24"/>
              </w:rPr>
              <w:t>8,671</w:t>
            </w:r>
          </w:p>
        </w:tc>
        <w:tc>
          <w:tcPr>
            <w:tcW w:w="1701" w:type="dxa"/>
          </w:tcPr>
          <w:p w14:paraId="5EF20564"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05C5A85F"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0AD8EC3A"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2D296B1B" w14:textId="77777777" w:rsidTr="00787588">
        <w:tc>
          <w:tcPr>
            <w:tcW w:w="4184" w:type="dxa"/>
            <w:vAlign w:val="center"/>
          </w:tcPr>
          <w:p w14:paraId="5ED91AAF"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Moraxella porci</w:t>
            </w:r>
          </w:p>
        </w:tc>
        <w:tc>
          <w:tcPr>
            <w:tcW w:w="1878" w:type="dxa"/>
          </w:tcPr>
          <w:p w14:paraId="49E18BB5" w14:textId="77777777" w:rsidR="003B0FA5" w:rsidRDefault="003B0FA5" w:rsidP="00787588">
            <w:pPr>
              <w:adjustRightInd w:val="0"/>
              <w:snapToGrid w:val="0"/>
              <w:spacing w:line="360" w:lineRule="auto"/>
              <w:rPr>
                <w:color w:val="000000" w:themeColor="text1"/>
                <w:sz w:val="24"/>
              </w:rPr>
            </w:pPr>
            <w:r>
              <w:rPr>
                <w:color w:val="000000" w:themeColor="text1"/>
                <w:sz w:val="24"/>
              </w:rPr>
              <w:t>6,727</w:t>
            </w:r>
          </w:p>
        </w:tc>
        <w:tc>
          <w:tcPr>
            <w:tcW w:w="1701" w:type="dxa"/>
          </w:tcPr>
          <w:p w14:paraId="6CB97A50"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22964DEB"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7B37F7C6"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609F82C0" w14:textId="77777777" w:rsidTr="00787588">
        <w:tc>
          <w:tcPr>
            <w:tcW w:w="4184" w:type="dxa"/>
            <w:vAlign w:val="center"/>
          </w:tcPr>
          <w:p w14:paraId="28FEAE2C"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Aerococcus suis</w:t>
            </w:r>
          </w:p>
        </w:tc>
        <w:tc>
          <w:tcPr>
            <w:tcW w:w="1878" w:type="dxa"/>
          </w:tcPr>
          <w:p w14:paraId="4D6C8CC6" w14:textId="77777777" w:rsidR="003B0FA5" w:rsidRDefault="003B0FA5" w:rsidP="00787588">
            <w:pPr>
              <w:adjustRightInd w:val="0"/>
              <w:snapToGrid w:val="0"/>
              <w:spacing w:line="360" w:lineRule="auto"/>
              <w:rPr>
                <w:color w:val="000000" w:themeColor="text1"/>
                <w:sz w:val="24"/>
              </w:rPr>
            </w:pPr>
            <w:r>
              <w:rPr>
                <w:color w:val="000000" w:themeColor="text1"/>
                <w:sz w:val="24"/>
              </w:rPr>
              <w:t>2,216</w:t>
            </w:r>
          </w:p>
        </w:tc>
        <w:tc>
          <w:tcPr>
            <w:tcW w:w="1701" w:type="dxa"/>
          </w:tcPr>
          <w:p w14:paraId="58616A02"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2C2CC604"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4CB54186"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7460E629" w14:textId="77777777" w:rsidTr="00787588">
        <w:tc>
          <w:tcPr>
            <w:tcW w:w="4184" w:type="dxa"/>
            <w:vAlign w:val="center"/>
          </w:tcPr>
          <w:p w14:paraId="6267EE1E"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Streptococcus suis</w:t>
            </w:r>
          </w:p>
        </w:tc>
        <w:tc>
          <w:tcPr>
            <w:tcW w:w="1878" w:type="dxa"/>
          </w:tcPr>
          <w:p w14:paraId="4826E418" w14:textId="77777777" w:rsidR="003B0FA5" w:rsidRDefault="003B0FA5" w:rsidP="00787588">
            <w:pPr>
              <w:adjustRightInd w:val="0"/>
              <w:snapToGrid w:val="0"/>
              <w:spacing w:line="360" w:lineRule="auto"/>
              <w:rPr>
                <w:color w:val="000000" w:themeColor="text1"/>
                <w:sz w:val="24"/>
              </w:rPr>
            </w:pPr>
            <w:r>
              <w:rPr>
                <w:color w:val="000000" w:themeColor="text1"/>
                <w:sz w:val="24"/>
              </w:rPr>
              <w:t>921</w:t>
            </w:r>
          </w:p>
        </w:tc>
        <w:tc>
          <w:tcPr>
            <w:tcW w:w="1701" w:type="dxa"/>
          </w:tcPr>
          <w:p w14:paraId="1709357A"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57554B1B"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7E2F3714"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50D14B58" w14:textId="77777777" w:rsidTr="00787588">
        <w:tc>
          <w:tcPr>
            <w:tcW w:w="4184" w:type="dxa"/>
            <w:tcBorders>
              <w:bottom w:val="single" w:sz="4" w:space="0" w:color="auto"/>
            </w:tcBorders>
            <w:vAlign w:val="center"/>
          </w:tcPr>
          <w:p w14:paraId="446AA250" w14:textId="77777777" w:rsidR="003B0FA5" w:rsidRDefault="003B0FA5" w:rsidP="00787588">
            <w:pPr>
              <w:adjustRightInd w:val="0"/>
              <w:snapToGrid w:val="0"/>
              <w:spacing w:line="360" w:lineRule="auto"/>
              <w:ind w:leftChars="100" w:left="210"/>
              <w:rPr>
                <w:i/>
                <w:color w:val="000000" w:themeColor="text1"/>
                <w:sz w:val="24"/>
              </w:rPr>
            </w:pPr>
            <w:r>
              <w:rPr>
                <w:i/>
                <w:color w:val="000000" w:themeColor="text1"/>
                <w:sz w:val="24"/>
              </w:rPr>
              <w:t>Actinobaculum suis</w:t>
            </w:r>
          </w:p>
        </w:tc>
        <w:tc>
          <w:tcPr>
            <w:tcW w:w="1878" w:type="dxa"/>
            <w:tcBorders>
              <w:bottom w:val="single" w:sz="4" w:space="0" w:color="auto"/>
            </w:tcBorders>
          </w:tcPr>
          <w:p w14:paraId="49E1B4CC" w14:textId="77777777" w:rsidR="003B0FA5" w:rsidRDefault="003B0FA5" w:rsidP="00787588">
            <w:pPr>
              <w:adjustRightInd w:val="0"/>
              <w:snapToGrid w:val="0"/>
              <w:spacing w:line="360" w:lineRule="auto"/>
              <w:rPr>
                <w:color w:val="000000" w:themeColor="text1"/>
                <w:sz w:val="24"/>
              </w:rPr>
            </w:pPr>
            <w:r>
              <w:rPr>
                <w:color w:val="000000" w:themeColor="text1"/>
                <w:sz w:val="24"/>
              </w:rPr>
              <w:t>605</w:t>
            </w:r>
          </w:p>
        </w:tc>
        <w:tc>
          <w:tcPr>
            <w:tcW w:w="1701" w:type="dxa"/>
            <w:tcBorders>
              <w:bottom w:val="single" w:sz="4" w:space="0" w:color="auto"/>
            </w:tcBorders>
          </w:tcPr>
          <w:p w14:paraId="72E1D8DD"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Borders>
              <w:bottom w:val="single" w:sz="4" w:space="0" w:color="auto"/>
            </w:tcBorders>
          </w:tcPr>
          <w:p w14:paraId="5D497F8F"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Borders>
              <w:bottom w:val="single" w:sz="4" w:space="0" w:color="auto"/>
            </w:tcBorders>
          </w:tcPr>
          <w:p w14:paraId="67AF72BB"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50C5DFD3" w14:textId="77777777" w:rsidTr="00787588">
        <w:tc>
          <w:tcPr>
            <w:tcW w:w="4184" w:type="dxa"/>
            <w:tcBorders>
              <w:top w:val="single" w:sz="4" w:space="0" w:color="auto"/>
              <w:bottom w:val="single" w:sz="4" w:space="0" w:color="auto"/>
            </w:tcBorders>
            <w:vAlign w:val="center"/>
          </w:tcPr>
          <w:p w14:paraId="08445FE4" w14:textId="77777777" w:rsidR="003B0FA5" w:rsidRDefault="003B0FA5" w:rsidP="00787588">
            <w:pPr>
              <w:widowControl/>
              <w:adjustRightInd w:val="0"/>
              <w:snapToGrid w:val="0"/>
              <w:spacing w:line="360" w:lineRule="auto"/>
              <w:textAlignment w:val="center"/>
              <w:rPr>
                <w:rStyle w:val="Strong"/>
                <w:rFonts w:eastAsia="SimSun" w:cs="Times New Roman"/>
                <w:b w:val="0"/>
                <w:bCs w:val="0"/>
                <w:color w:val="000000" w:themeColor="text1"/>
              </w:rPr>
            </w:pPr>
            <w:r>
              <w:rPr>
                <w:rStyle w:val="Strong"/>
                <w:rFonts w:eastAsia="SimSun" w:cs="Times New Roman"/>
                <w:color w:val="000000" w:themeColor="text1"/>
              </w:rPr>
              <w:t>Pathogens in meta-transcriptomics</w:t>
            </w:r>
          </w:p>
        </w:tc>
        <w:tc>
          <w:tcPr>
            <w:tcW w:w="1878" w:type="dxa"/>
            <w:tcBorders>
              <w:top w:val="single" w:sz="4" w:space="0" w:color="auto"/>
              <w:bottom w:val="single" w:sz="4" w:space="0" w:color="auto"/>
            </w:tcBorders>
          </w:tcPr>
          <w:p w14:paraId="421F570A" w14:textId="77777777" w:rsidR="003B0FA5" w:rsidRDefault="003B0FA5" w:rsidP="00787588">
            <w:pPr>
              <w:adjustRightInd w:val="0"/>
              <w:snapToGrid w:val="0"/>
              <w:spacing w:line="360" w:lineRule="auto"/>
              <w:rPr>
                <w:color w:val="000000" w:themeColor="text1"/>
                <w:sz w:val="24"/>
              </w:rPr>
            </w:pPr>
          </w:p>
        </w:tc>
        <w:tc>
          <w:tcPr>
            <w:tcW w:w="1701" w:type="dxa"/>
            <w:tcBorders>
              <w:top w:val="single" w:sz="4" w:space="0" w:color="auto"/>
              <w:bottom w:val="single" w:sz="4" w:space="0" w:color="auto"/>
            </w:tcBorders>
          </w:tcPr>
          <w:p w14:paraId="475AF0BA" w14:textId="77777777" w:rsidR="003B0FA5" w:rsidRDefault="003B0FA5" w:rsidP="00787588">
            <w:pPr>
              <w:adjustRightInd w:val="0"/>
              <w:snapToGrid w:val="0"/>
              <w:spacing w:line="360" w:lineRule="auto"/>
              <w:rPr>
                <w:color w:val="000000" w:themeColor="text1"/>
                <w:sz w:val="24"/>
              </w:rPr>
            </w:pPr>
          </w:p>
        </w:tc>
        <w:tc>
          <w:tcPr>
            <w:tcW w:w="1843" w:type="dxa"/>
            <w:tcBorders>
              <w:top w:val="single" w:sz="4" w:space="0" w:color="auto"/>
              <w:bottom w:val="single" w:sz="4" w:space="0" w:color="auto"/>
            </w:tcBorders>
          </w:tcPr>
          <w:p w14:paraId="06D1DE19" w14:textId="77777777" w:rsidR="003B0FA5" w:rsidRDefault="003B0FA5" w:rsidP="00787588">
            <w:pPr>
              <w:adjustRightInd w:val="0"/>
              <w:snapToGrid w:val="0"/>
              <w:spacing w:line="360" w:lineRule="auto"/>
              <w:rPr>
                <w:color w:val="000000" w:themeColor="text1"/>
                <w:sz w:val="24"/>
              </w:rPr>
            </w:pPr>
          </w:p>
        </w:tc>
        <w:tc>
          <w:tcPr>
            <w:tcW w:w="1310" w:type="dxa"/>
            <w:tcBorders>
              <w:top w:val="single" w:sz="4" w:space="0" w:color="auto"/>
              <w:bottom w:val="single" w:sz="4" w:space="0" w:color="auto"/>
            </w:tcBorders>
          </w:tcPr>
          <w:p w14:paraId="3C422658" w14:textId="77777777" w:rsidR="003B0FA5" w:rsidRDefault="003B0FA5" w:rsidP="00787588">
            <w:pPr>
              <w:adjustRightInd w:val="0"/>
              <w:snapToGrid w:val="0"/>
              <w:spacing w:line="360" w:lineRule="auto"/>
              <w:rPr>
                <w:color w:val="000000" w:themeColor="text1"/>
                <w:sz w:val="24"/>
              </w:rPr>
            </w:pPr>
          </w:p>
        </w:tc>
      </w:tr>
      <w:tr w:rsidR="003B0FA5" w14:paraId="40FDE5C0" w14:textId="77777777" w:rsidTr="00787588">
        <w:tc>
          <w:tcPr>
            <w:tcW w:w="4184" w:type="dxa"/>
            <w:tcBorders>
              <w:top w:val="single" w:sz="4" w:space="0" w:color="auto"/>
            </w:tcBorders>
            <w:vAlign w:val="center"/>
          </w:tcPr>
          <w:p w14:paraId="52288408" w14:textId="77777777" w:rsidR="003B0FA5" w:rsidRDefault="003B0FA5" w:rsidP="00787588">
            <w:pPr>
              <w:widowControl/>
              <w:adjustRightInd w:val="0"/>
              <w:snapToGrid w:val="0"/>
              <w:spacing w:line="360" w:lineRule="auto"/>
              <w:ind w:leftChars="100" w:left="210"/>
              <w:textAlignment w:val="center"/>
              <w:rPr>
                <w:rStyle w:val="Strong"/>
                <w:rFonts w:eastAsia="SimSun" w:cs="Times New Roman"/>
                <w:b w:val="0"/>
                <w:bCs w:val="0"/>
                <w:color w:val="000000" w:themeColor="text1"/>
              </w:rPr>
            </w:pPr>
            <w:r>
              <w:rPr>
                <w:rStyle w:val="Strong"/>
                <w:rFonts w:eastAsia="SimSun" w:cs="Times New Roman"/>
                <w:color w:val="000000" w:themeColor="text1"/>
              </w:rPr>
              <w:t>Suid gammaherpesvirus 5</w:t>
            </w:r>
          </w:p>
        </w:tc>
        <w:tc>
          <w:tcPr>
            <w:tcW w:w="1878" w:type="dxa"/>
            <w:tcBorders>
              <w:top w:val="single" w:sz="4" w:space="0" w:color="auto"/>
            </w:tcBorders>
          </w:tcPr>
          <w:p w14:paraId="775E13B3" w14:textId="77777777" w:rsidR="003B0FA5" w:rsidRDefault="003B0FA5" w:rsidP="00787588">
            <w:pPr>
              <w:adjustRightInd w:val="0"/>
              <w:snapToGrid w:val="0"/>
              <w:spacing w:line="360" w:lineRule="auto"/>
              <w:rPr>
                <w:color w:val="000000" w:themeColor="text1"/>
                <w:sz w:val="24"/>
              </w:rPr>
            </w:pPr>
            <w:r>
              <w:rPr>
                <w:color w:val="000000" w:themeColor="text1"/>
                <w:sz w:val="24"/>
              </w:rPr>
              <w:t>42</w:t>
            </w:r>
          </w:p>
        </w:tc>
        <w:tc>
          <w:tcPr>
            <w:tcW w:w="1701" w:type="dxa"/>
            <w:tcBorders>
              <w:top w:val="single" w:sz="4" w:space="0" w:color="auto"/>
            </w:tcBorders>
          </w:tcPr>
          <w:p w14:paraId="6F26B056"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Borders>
              <w:top w:val="single" w:sz="4" w:space="0" w:color="auto"/>
            </w:tcBorders>
          </w:tcPr>
          <w:p w14:paraId="3A47CC41"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Borders>
              <w:top w:val="single" w:sz="4" w:space="0" w:color="auto"/>
            </w:tcBorders>
          </w:tcPr>
          <w:p w14:paraId="6F739A93"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27903F07" w14:textId="77777777" w:rsidTr="00787588">
        <w:tc>
          <w:tcPr>
            <w:tcW w:w="4184" w:type="dxa"/>
            <w:vAlign w:val="center"/>
          </w:tcPr>
          <w:p w14:paraId="6763C366" w14:textId="77777777" w:rsidR="003B0FA5" w:rsidRDefault="003B0FA5" w:rsidP="00787588">
            <w:pPr>
              <w:widowControl/>
              <w:adjustRightInd w:val="0"/>
              <w:snapToGrid w:val="0"/>
              <w:spacing w:line="360" w:lineRule="auto"/>
              <w:ind w:leftChars="100" w:left="210"/>
              <w:textAlignment w:val="center"/>
              <w:rPr>
                <w:rStyle w:val="Strong"/>
                <w:rFonts w:eastAsia="SimSun" w:cs="Times New Roman"/>
                <w:b w:val="0"/>
                <w:bCs w:val="0"/>
                <w:i/>
                <w:iCs w:val="0"/>
                <w:color w:val="000000" w:themeColor="text1"/>
              </w:rPr>
            </w:pPr>
            <w:r>
              <w:rPr>
                <w:rStyle w:val="Strong"/>
                <w:rFonts w:eastAsia="SimSun" w:cs="Times New Roman"/>
                <w:i/>
                <w:color w:val="000000" w:themeColor="text1"/>
              </w:rPr>
              <w:t>Streptococcus suis</w:t>
            </w:r>
          </w:p>
        </w:tc>
        <w:tc>
          <w:tcPr>
            <w:tcW w:w="1878" w:type="dxa"/>
          </w:tcPr>
          <w:p w14:paraId="794C1949" w14:textId="77777777" w:rsidR="003B0FA5" w:rsidRDefault="003B0FA5" w:rsidP="00787588">
            <w:pPr>
              <w:adjustRightInd w:val="0"/>
              <w:snapToGrid w:val="0"/>
              <w:spacing w:line="360" w:lineRule="auto"/>
              <w:rPr>
                <w:color w:val="000000" w:themeColor="text1"/>
                <w:sz w:val="24"/>
              </w:rPr>
            </w:pPr>
            <w:r>
              <w:rPr>
                <w:color w:val="000000" w:themeColor="text1"/>
                <w:sz w:val="24"/>
              </w:rPr>
              <w:t>4</w:t>
            </w:r>
          </w:p>
        </w:tc>
        <w:tc>
          <w:tcPr>
            <w:tcW w:w="1701" w:type="dxa"/>
          </w:tcPr>
          <w:p w14:paraId="777301AC"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121422F1"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298D29FB"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r w:rsidR="003B0FA5" w14:paraId="5A70690E" w14:textId="77777777" w:rsidTr="00787588">
        <w:tc>
          <w:tcPr>
            <w:tcW w:w="4184" w:type="dxa"/>
            <w:vAlign w:val="center"/>
          </w:tcPr>
          <w:p w14:paraId="63CEB5E6" w14:textId="77777777" w:rsidR="003B0FA5" w:rsidRDefault="003B0FA5" w:rsidP="00787588">
            <w:pPr>
              <w:widowControl/>
              <w:adjustRightInd w:val="0"/>
              <w:snapToGrid w:val="0"/>
              <w:spacing w:line="360" w:lineRule="auto"/>
              <w:ind w:leftChars="100" w:left="210"/>
              <w:textAlignment w:val="center"/>
              <w:rPr>
                <w:rStyle w:val="Strong"/>
                <w:rFonts w:eastAsia="SimSun" w:cs="Times New Roman"/>
                <w:b w:val="0"/>
                <w:bCs w:val="0"/>
                <w:color w:val="000000" w:themeColor="text1"/>
              </w:rPr>
            </w:pPr>
            <w:r>
              <w:rPr>
                <w:rStyle w:val="Strong"/>
                <w:rFonts w:eastAsia="SimSun" w:cs="Times New Roman"/>
                <w:color w:val="000000" w:themeColor="text1"/>
              </w:rPr>
              <w:t>Porcine endogenous retrovirus C (PERV-C)</w:t>
            </w:r>
          </w:p>
        </w:tc>
        <w:tc>
          <w:tcPr>
            <w:tcW w:w="1878" w:type="dxa"/>
          </w:tcPr>
          <w:p w14:paraId="0C2527E7"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701" w:type="dxa"/>
          </w:tcPr>
          <w:p w14:paraId="08787940"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10D045CC"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310" w:type="dxa"/>
          </w:tcPr>
          <w:p w14:paraId="211269C5" w14:textId="77777777" w:rsidR="003B0FA5" w:rsidRDefault="003B0FA5" w:rsidP="00787588">
            <w:pPr>
              <w:adjustRightInd w:val="0"/>
              <w:snapToGrid w:val="0"/>
              <w:spacing w:line="360" w:lineRule="auto"/>
              <w:rPr>
                <w:color w:val="000000" w:themeColor="text1"/>
                <w:sz w:val="24"/>
              </w:rPr>
            </w:pPr>
            <w:r>
              <w:rPr>
                <w:color w:val="000000" w:themeColor="text1"/>
                <w:sz w:val="24"/>
              </w:rPr>
              <w:t>16</w:t>
            </w:r>
          </w:p>
        </w:tc>
      </w:tr>
      <w:tr w:rsidR="003B0FA5" w14:paraId="1B8E4A3E" w14:textId="77777777" w:rsidTr="00787588">
        <w:tc>
          <w:tcPr>
            <w:tcW w:w="4184" w:type="dxa"/>
            <w:vAlign w:val="center"/>
          </w:tcPr>
          <w:p w14:paraId="257B2AA9" w14:textId="77777777" w:rsidR="003B0FA5" w:rsidRDefault="003B0FA5" w:rsidP="00787588">
            <w:pPr>
              <w:widowControl/>
              <w:adjustRightInd w:val="0"/>
              <w:snapToGrid w:val="0"/>
              <w:spacing w:line="360" w:lineRule="auto"/>
              <w:ind w:leftChars="100" w:left="210"/>
              <w:textAlignment w:val="center"/>
              <w:rPr>
                <w:rStyle w:val="Strong"/>
                <w:rFonts w:eastAsia="SimSun" w:cs="Times New Roman"/>
                <w:b w:val="0"/>
                <w:bCs w:val="0"/>
                <w:color w:val="000000" w:themeColor="text1"/>
              </w:rPr>
            </w:pPr>
            <w:r>
              <w:rPr>
                <w:rStyle w:val="Strong"/>
                <w:rFonts w:eastAsia="SimSun" w:cs="Times New Roman"/>
                <w:color w:val="000000" w:themeColor="text1"/>
              </w:rPr>
              <w:t>Porcine circovirus 1</w:t>
            </w:r>
          </w:p>
        </w:tc>
        <w:tc>
          <w:tcPr>
            <w:tcW w:w="1878" w:type="dxa"/>
          </w:tcPr>
          <w:p w14:paraId="01205071"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701" w:type="dxa"/>
          </w:tcPr>
          <w:p w14:paraId="4FBAB79F"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c>
          <w:tcPr>
            <w:tcW w:w="1843" w:type="dxa"/>
          </w:tcPr>
          <w:p w14:paraId="49232DEC" w14:textId="77777777" w:rsidR="003B0FA5" w:rsidRDefault="003B0FA5" w:rsidP="00787588">
            <w:pPr>
              <w:adjustRightInd w:val="0"/>
              <w:snapToGrid w:val="0"/>
              <w:spacing w:line="360" w:lineRule="auto"/>
              <w:rPr>
                <w:color w:val="000000" w:themeColor="text1"/>
                <w:sz w:val="24"/>
              </w:rPr>
            </w:pPr>
            <w:r>
              <w:rPr>
                <w:color w:val="000000" w:themeColor="text1"/>
                <w:sz w:val="24"/>
              </w:rPr>
              <w:t>3</w:t>
            </w:r>
          </w:p>
        </w:tc>
        <w:tc>
          <w:tcPr>
            <w:tcW w:w="1310" w:type="dxa"/>
          </w:tcPr>
          <w:p w14:paraId="65A58FE6" w14:textId="77777777" w:rsidR="003B0FA5" w:rsidRDefault="003B0FA5" w:rsidP="00787588">
            <w:pPr>
              <w:adjustRightInd w:val="0"/>
              <w:snapToGrid w:val="0"/>
              <w:spacing w:line="360" w:lineRule="auto"/>
              <w:rPr>
                <w:color w:val="000000" w:themeColor="text1"/>
                <w:sz w:val="24"/>
              </w:rPr>
            </w:pPr>
            <w:r>
              <w:rPr>
                <w:color w:val="000000" w:themeColor="text1"/>
                <w:sz w:val="24"/>
              </w:rPr>
              <w:t>Negative</w:t>
            </w:r>
          </w:p>
        </w:tc>
      </w:tr>
    </w:tbl>
    <w:p w14:paraId="3CC2DE47"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1AD614A6"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21E2E964"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192066F0"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0B19D537"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79155227"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p>
    <w:p w14:paraId="41FDA4B1" w14:textId="77777777" w:rsidR="003B0FA5" w:rsidRDefault="003B0FA5" w:rsidP="003B0FA5">
      <w:pPr>
        <w:adjustRightInd w:val="0"/>
        <w:snapToGrid w:val="0"/>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references</w:t>
      </w:r>
    </w:p>
    <w:p w14:paraId="3AA40453"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1.</w:t>
      </w:r>
      <w:r>
        <w:rPr>
          <w:rFonts w:ascii="Times New Roman" w:hAnsi="Times New Roman" w:cs="Times New Roman"/>
          <w:color w:val="000000" w:themeColor="text1"/>
          <w:sz w:val="24"/>
        </w:rPr>
        <w:tab/>
        <w:t xml:space="preserve">Moazami, N,et al. Pig-to-human heart xenotransplantation in two recently deceased human recipients. </w:t>
      </w:r>
      <w:r>
        <w:rPr>
          <w:rFonts w:ascii="Times New Roman" w:hAnsi="Times New Roman" w:cs="Times New Roman"/>
          <w:i/>
          <w:iCs/>
          <w:color w:val="000000" w:themeColor="text1"/>
          <w:sz w:val="24"/>
        </w:rPr>
        <w:t>Nat Med</w:t>
      </w:r>
      <w:r>
        <w:rPr>
          <w:rFonts w:ascii="Times New Roman" w:hAnsi="Times New Roman" w:cs="Times New Roman"/>
          <w:color w:val="000000" w:themeColor="text1"/>
          <w:sz w:val="24"/>
        </w:rPr>
        <w:t>.</w:t>
      </w:r>
      <w:r>
        <w:rPr>
          <w:rFonts w:ascii="Times New Roman" w:hAnsi="Times New Roman" w:cs="Times New Roman"/>
          <w:b/>
          <w:bCs/>
          <w:color w:val="000000" w:themeColor="text1"/>
          <w:sz w:val="24"/>
        </w:rPr>
        <w:t>29</w:t>
      </w:r>
      <w:r>
        <w:rPr>
          <w:rFonts w:ascii="Times New Roman" w:hAnsi="Times New Roman" w:cs="Times New Roman"/>
          <w:color w:val="000000" w:themeColor="text1"/>
          <w:sz w:val="24"/>
        </w:rPr>
        <w:t>:1989-1997(2023).</w:t>
      </w:r>
    </w:p>
    <w:p w14:paraId="4146BED1"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2.</w:t>
      </w:r>
      <w:r>
        <w:rPr>
          <w:rFonts w:ascii="Times New Roman" w:hAnsi="Times New Roman" w:cs="Times New Roman"/>
          <w:color w:val="000000" w:themeColor="text1"/>
          <w:sz w:val="24"/>
        </w:rPr>
        <w:tab/>
        <w:t xml:space="preserve">Montgomery, R.A.,et al. Results of Two Cases of Pig-to-Human Kidney Xenotransplantation. </w:t>
      </w:r>
      <w:r>
        <w:rPr>
          <w:rFonts w:ascii="Times New Roman" w:hAnsi="Times New Roman" w:cs="Times New Roman"/>
          <w:i/>
          <w:iCs/>
          <w:color w:val="000000" w:themeColor="text1"/>
          <w:sz w:val="24"/>
        </w:rPr>
        <w:t>N Engl J Med</w:t>
      </w:r>
      <w:r>
        <w:rPr>
          <w:rFonts w:ascii="Times New Roman" w:hAnsi="Times New Roman" w:cs="Times New Roman"/>
          <w:color w:val="000000" w:themeColor="text1"/>
          <w:sz w:val="24"/>
        </w:rPr>
        <w:t>.</w:t>
      </w:r>
      <w:r>
        <w:rPr>
          <w:rFonts w:ascii="Times New Roman" w:hAnsi="Times New Roman" w:cs="Times New Roman"/>
          <w:b/>
          <w:bCs/>
          <w:color w:val="000000" w:themeColor="text1"/>
          <w:sz w:val="24"/>
        </w:rPr>
        <w:t>386</w:t>
      </w:r>
      <w:r>
        <w:rPr>
          <w:rFonts w:ascii="Times New Roman" w:hAnsi="Times New Roman" w:cs="Times New Roman"/>
          <w:color w:val="000000" w:themeColor="text1"/>
          <w:sz w:val="24"/>
        </w:rPr>
        <w:t>:1889-1898(2022).</w:t>
      </w:r>
    </w:p>
    <w:p w14:paraId="52132986" w14:textId="77777777" w:rsidR="003B0FA5" w:rsidRDefault="003B0FA5" w:rsidP="003B0FA5">
      <w:pPr>
        <w:adjustRightInd w:val="0"/>
        <w:snapToGrid w:val="0"/>
        <w:spacing w:line="360" w:lineRule="auto"/>
        <w:rPr>
          <w:rFonts w:ascii="Times New Roman" w:hAnsi="Times New Roman" w:cs="Times New Roman"/>
          <w:color w:val="000000" w:themeColor="text1"/>
          <w:sz w:val="24"/>
        </w:rPr>
      </w:pPr>
    </w:p>
    <w:p w14:paraId="6BF2203A" w14:textId="77777777" w:rsidR="00F553FF" w:rsidRDefault="00F553FF"/>
    <w:sectPr w:rsidR="00F553FF" w:rsidSect="003B0FA5">
      <w:footerReference w:type="default" r:id="rId7"/>
      <w:footerReference w:type="first" r:id="rId8"/>
      <w:pgSz w:w="11906" w:h="16838"/>
      <w:pgMar w:top="1440" w:right="1800" w:bottom="1440" w:left="1800" w:header="851" w:footer="992" w:gutter="0"/>
      <w:pgNumType w:start="1"/>
      <w:cols w:space="425"/>
      <w:titlePg/>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汉仪润圆-65简">
    <w:altName w:val="Microsoft YaHei"/>
    <w:charset w:val="86"/>
    <w:family w:val="auto"/>
    <w:pitch w:val="default"/>
    <w:sig w:usb0="A00002BF" w:usb1="1ACF7CFA" w:usb2="00000016" w:usb3="00000000" w:csb0="0004009F" w:csb1="DFD70000"/>
  </w:font>
  <w:font w:name="SimSun">
    <w:altName w:val="宋体"/>
    <w:panose1 w:val="02010600030101010101"/>
    <w:charset w:val="86"/>
    <w:family w:val="auto"/>
    <w:pitch w:val="variable"/>
    <w:sig w:usb0="00000203" w:usb1="288F0000" w:usb2="00000016" w:usb3="00000000" w:csb0="00040001" w:csb1="00000000"/>
  </w:font>
  <w:font w:name="汉仪晓波花月圆简">
    <w:altName w:val="宋体"/>
    <w:charset w:val="86"/>
    <w:family w:val="roman"/>
    <w:pitch w:val="default"/>
    <w:sig w:usb0="00000000" w:usb1="00000000" w:usb2="00000016"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72457"/>
    </w:sdtPr>
    <w:sdtContent>
      <w:p w14:paraId="07227105" w14:textId="77777777" w:rsidR="00000000" w:rsidRDefault="00000000">
        <w:pPr>
          <w:pStyle w:val="Footer"/>
          <w:ind w:left="1680" w:right="1680"/>
        </w:pPr>
        <w:r>
          <w:fldChar w:fldCharType="begin"/>
        </w:r>
        <w:r>
          <w:instrText>PAGE   \* MERGEFORMAT</w:instrText>
        </w:r>
        <w:r>
          <w:fldChar w:fldCharType="separate"/>
        </w:r>
        <w:r>
          <w:rPr>
            <w:lang w:val="zh-CN"/>
          </w:rPr>
          <w:t>2</w:t>
        </w:r>
        <w:r>
          <w:fldChar w:fldCharType="end"/>
        </w:r>
      </w:p>
    </w:sdtContent>
  </w:sdt>
  <w:p w14:paraId="4F5692E0" w14:textId="77777777" w:rsidR="00000000" w:rsidRDefault="00000000">
    <w:pPr>
      <w:pStyle w:val="Footer"/>
      <w:rPr>
        <w:rFonts w:ascii="Cambria" w:hAnsi="Cambr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A23BA6" w14:textId="77777777" w:rsidR="00000000" w:rsidRDefault="00000000">
    <w:pPr>
      <w:pStyle w:val="Footer"/>
      <w:rPr>
        <w:rFonts w:ascii="Times New Roman" w:hAnsi="Times New Roman" w:cs="Times New Roman"/>
      </w:rPr>
    </w:pPr>
    <w:r>
      <w:rPr>
        <w:rFonts w:ascii="Times New Roman" w:hAnsi="Times New Roman" w:cs="Times New Roman"/>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FA5"/>
    <w:rsid w:val="003B0FA5"/>
    <w:rsid w:val="003C2EF4"/>
    <w:rsid w:val="00B402A1"/>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CB2F1"/>
  <w15:chartTrackingRefBased/>
  <w15:docId w15:val="{832E7B23-63C4-434E-89E1-944128E61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FA5"/>
    <w:pPr>
      <w:widowControl w:val="0"/>
      <w:spacing w:after="0" w:line="240" w:lineRule="auto"/>
      <w:jc w:val="both"/>
    </w:pPr>
    <w:rPr>
      <w:rFonts w:eastAsiaTheme="minorEastAsia"/>
      <w:sz w:val="21"/>
      <w:szCs w:val="24"/>
      <w:lang w:eastAsia="zh-CN"/>
      <w14:ligatures w14:val="none"/>
    </w:rPr>
  </w:style>
  <w:style w:type="paragraph" w:styleId="Heading1">
    <w:name w:val="heading 1"/>
    <w:basedOn w:val="Normal"/>
    <w:next w:val="Normal"/>
    <w:link w:val="Heading1Char"/>
    <w:uiPriority w:val="9"/>
    <w:qFormat/>
    <w:rsid w:val="003B0FA5"/>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B0FA5"/>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B0FA5"/>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B0FA5"/>
    <w:pPr>
      <w:keepNext/>
      <w:keepLines/>
      <w:widowControl/>
      <w:spacing w:before="80" w:after="40" w:line="259" w:lineRule="auto"/>
      <w:jc w:val="left"/>
      <w:outlineLvl w:val="3"/>
    </w:pPr>
    <w:rPr>
      <w:rFonts w:eastAsiaTheme="majorEastAsia"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3B0FA5"/>
    <w:pPr>
      <w:keepNext/>
      <w:keepLines/>
      <w:widowControl/>
      <w:spacing w:before="80" w:after="40" w:line="259" w:lineRule="auto"/>
      <w:jc w:val="left"/>
      <w:outlineLvl w:val="4"/>
    </w:pPr>
    <w:rPr>
      <w:rFonts w:eastAsiaTheme="majorEastAsia"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3B0FA5"/>
    <w:pPr>
      <w:keepNext/>
      <w:keepLines/>
      <w:widowControl/>
      <w:spacing w:before="40" w:line="259" w:lineRule="auto"/>
      <w:jc w:val="left"/>
      <w:outlineLvl w:val="5"/>
    </w:pPr>
    <w:rPr>
      <w:rFonts w:eastAsiaTheme="majorEastAsia"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3B0FA5"/>
    <w:pPr>
      <w:keepNext/>
      <w:keepLines/>
      <w:widowControl/>
      <w:spacing w:before="40" w:line="259" w:lineRule="auto"/>
      <w:jc w:val="left"/>
      <w:outlineLvl w:val="6"/>
    </w:pPr>
    <w:rPr>
      <w:rFonts w:eastAsiaTheme="majorEastAsia"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3B0FA5"/>
    <w:pPr>
      <w:keepNext/>
      <w:keepLines/>
      <w:widowControl/>
      <w:spacing w:line="259" w:lineRule="auto"/>
      <w:jc w:val="left"/>
      <w:outlineLvl w:val="7"/>
    </w:pPr>
    <w:rPr>
      <w:rFonts w:eastAsiaTheme="majorEastAsia"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3B0FA5"/>
    <w:pPr>
      <w:keepNext/>
      <w:keepLines/>
      <w:widowControl/>
      <w:spacing w:line="259" w:lineRule="auto"/>
      <w:jc w:val="left"/>
      <w:outlineLvl w:val="8"/>
    </w:pPr>
    <w:rPr>
      <w:rFonts w:eastAsiaTheme="majorEastAsia"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0F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0F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0F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0F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0F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0F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0F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0F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0FA5"/>
    <w:rPr>
      <w:rFonts w:eastAsiaTheme="majorEastAsia" w:cstheme="majorBidi"/>
      <w:color w:val="272727" w:themeColor="text1" w:themeTint="D8"/>
    </w:rPr>
  </w:style>
  <w:style w:type="paragraph" w:styleId="Title">
    <w:name w:val="Title"/>
    <w:basedOn w:val="Normal"/>
    <w:next w:val="Normal"/>
    <w:link w:val="TitleChar"/>
    <w:uiPriority w:val="10"/>
    <w:qFormat/>
    <w:rsid w:val="003B0FA5"/>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B0F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0FA5"/>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B0F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0FA5"/>
    <w:pPr>
      <w:widowControl/>
      <w:spacing w:before="160" w:after="160" w:line="259" w:lineRule="auto"/>
      <w:jc w:val="center"/>
    </w:pPr>
    <w:rPr>
      <w:rFonts w:eastAsiaTheme="minorHAns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3B0FA5"/>
    <w:rPr>
      <w:i/>
      <w:iCs/>
      <w:color w:val="404040" w:themeColor="text1" w:themeTint="BF"/>
    </w:rPr>
  </w:style>
  <w:style w:type="paragraph" w:styleId="ListParagraph">
    <w:name w:val="List Paragraph"/>
    <w:basedOn w:val="Normal"/>
    <w:uiPriority w:val="34"/>
    <w:qFormat/>
    <w:rsid w:val="003B0FA5"/>
    <w:pPr>
      <w:widowControl/>
      <w:spacing w:after="160" w:line="259" w:lineRule="auto"/>
      <w:ind w:left="720"/>
      <w:contextualSpacing/>
      <w:jc w:val="left"/>
    </w:pPr>
    <w:rPr>
      <w:rFonts w:eastAsiaTheme="minorHAnsi"/>
      <w:sz w:val="22"/>
      <w:szCs w:val="22"/>
      <w:lang w:eastAsia="en-US"/>
      <w14:ligatures w14:val="standardContextual"/>
    </w:rPr>
  </w:style>
  <w:style w:type="character" w:styleId="IntenseEmphasis">
    <w:name w:val="Intense Emphasis"/>
    <w:basedOn w:val="DefaultParagraphFont"/>
    <w:uiPriority w:val="21"/>
    <w:qFormat/>
    <w:rsid w:val="003B0FA5"/>
    <w:rPr>
      <w:i/>
      <w:iCs/>
      <w:color w:val="0F4761" w:themeColor="accent1" w:themeShade="BF"/>
    </w:rPr>
  </w:style>
  <w:style w:type="paragraph" w:styleId="IntenseQuote">
    <w:name w:val="Intense Quote"/>
    <w:basedOn w:val="Normal"/>
    <w:next w:val="Normal"/>
    <w:link w:val="IntenseQuoteChar"/>
    <w:uiPriority w:val="30"/>
    <w:qFormat/>
    <w:rsid w:val="003B0FA5"/>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3B0FA5"/>
    <w:rPr>
      <w:i/>
      <w:iCs/>
      <w:color w:val="0F4761" w:themeColor="accent1" w:themeShade="BF"/>
    </w:rPr>
  </w:style>
  <w:style w:type="character" w:styleId="IntenseReference">
    <w:name w:val="Intense Reference"/>
    <w:basedOn w:val="DefaultParagraphFont"/>
    <w:uiPriority w:val="32"/>
    <w:qFormat/>
    <w:rsid w:val="003B0FA5"/>
    <w:rPr>
      <w:b/>
      <w:bCs/>
      <w:smallCaps/>
      <w:color w:val="0F4761" w:themeColor="accent1" w:themeShade="BF"/>
      <w:spacing w:val="5"/>
    </w:rPr>
  </w:style>
  <w:style w:type="paragraph" w:styleId="Footer">
    <w:name w:val="footer"/>
    <w:basedOn w:val="Normal"/>
    <w:link w:val="FooterChar"/>
    <w:uiPriority w:val="99"/>
    <w:qFormat/>
    <w:rsid w:val="003B0FA5"/>
    <w:pPr>
      <w:tabs>
        <w:tab w:val="center" w:pos="4153"/>
        <w:tab w:val="right" w:pos="8306"/>
      </w:tabs>
      <w:adjustRightInd w:val="0"/>
      <w:snapToGrid w:val="0"/>
      <w:spacing w:line="312" w:lineRule="auto"/>
      <w:jc w:val="center"/>
    </w:pPr>
    <w:rPr>
      <w:rFonts w:ascii="汉仪润圆-65简" w:eastAsia="汉仪润圆-65简" w:hAnsi="汉仪润圆-65简"/>
      <w:sz w:val="18"/>
      <w:szCs w:val="18"/>
    </w:rPr>
  </w:style>
  <w:style w:type="character" w:customStyle="1" w:styleId="FooterChar">
    <w:name w:val="Footer Char"/>
    <w:basedOn w:val="DefaultParagraphFont"/>
    <w:link w:val="Footer"/>
    <w:uiPriority w:val="99"/>
    <w:qFormat/>
    <w:rsid w:val="003B0FA5"/>
    <w:rPr>
      <w:rFonts w:ascii="汉仪润圆-65简" w:eastAsia="汉仪润圆-65简" w:hAnsi="汉仪润圆-65简"/>
      <w:sz w:val="18"/>
      <w:szCs w:val="18"/>
      <w:lang w:eastAsia="zh-CN"/>
      <w14:ligatures w14:val="none"/>
    </w:rPr>
  </w:style>
  <w:style w:type="table" w:styleId="TableGrid">
    <w:name w:val="Table Grid"/>
    <w:basedOn w:val="TableNormal"/>
    <w:qFormat/>
    <w:rsid w:val="003B0FA5"/>
    <w:pPr>
      <w:widowControl w:val="0"/>
      <w:spacing w:after="0" w:line="240" w:lineRule="auto"/>
      <w:jc w:val="both"/>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sid w:val="003B0FA5"/>
    <w:rPr>
      <w:rFonts w:ascii="汉仪润圆-65简" w:eastAsia="汉仪润圆-65简" w:hAnsi="汉仪润圆-65简" w:cs="汉仪晓波花月圆简"/>
      <w:b/>
      <w:bCs/>
      <w:iCs/>
      <w:color w:val="auto"/>
      <w:sz w:val="24"/>
      <w:szCs w:val="28"/>
      <w:u w:val="none" w:color="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1223</Words>
  <Characters>6974</Characters>
  <Application>Microsoft Office Word</Application>
  <DocSecurity>0</DocSecurity>
  <Lines>58</Lines>
  <Paragraphs>16</Paragraphs>
  <ScaleCrop>false</ScaleCrop>
  <Company>Springer Nature</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2024-11-11T04:00:00Z</dcterms:created>
  <dcterms:modified xsi:type="dcterms:W3CDTF">2024-11-11T04:01:00Z</dcterms:modified>
</cp:coreProperties>
</file>