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12652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  <w:bookmarkStart w:id="0" w:name="OLE_LINK10"/>
      <w:r>
        <w:rPr>
          <w:rFonts w:ascii="Arial" w:hAnsi="Arial" w:cs="Arial"/>
          <w:b/>
          <w:bCs/>
          <w:sz w:val="24"/>
          <w:szCs w:val="24"/>
        </w:rPr>
        <w:t>Supplementary Information for</w:t>
      </w:r>
    </w:p>
    <w:p w14:paraId="730E0AD2">
      <w:pPr>
        <w:widowControl/>
        <w:adjustRightInd w:val="0"/>
        <w:snapToGrid w:val="0"/>
        <w:spacing w:after="0" w:line="400" w:lineRule="exact"/>
        <w:rPr>
          <w:rFonts w:ascii="Arial" w:hAnsi="Arial" w:cs="Arial"/>
          <w:sz w:val="28"/>
          <w:szCs w:val="28"/>
          <w:highlight w:val="yellow"/>
        </w:rPr>
      </w:pPr>
      <w:bookmarkStart w:id="1" w:name="_Hlk153198655"/>
      <w:bookmarkStart w:id="2" w:name="OLE_LINK14"/>
      <w:bookmarkStart w:id="3" w:name="OLE_LINK54"/>
      <w:bookmarkStart w:id="4" w:name="OLE_LINK50"/>
      <w:bookmarkStart w:id="5" w:name="OLE_LINK74"/>
      <w:r>
        <w:rPr>
          <w:rFonts w:ascii="Arial" w:hAnsi="Arial" w:eastAsia="宋体" w:cs="Arial"/>
          <w:kern w:val="0"/>
          <w:sz w:val="28"/>
          <w:szCs w:val="28"/>
          <w:lang w:bidi="ar"/>
        </w:rPr>
        <w:t>Precise amplification-free detection of highly structured RNA with an enhanced SCas12a assay</w:t>
      </w:r>
      <w:bookmarkEnd w:id="1"/>
      <w:bookmarkEnd w:id="2"/>
    </w:p>
    <w:bookmarkEnd w:id="3"/>
    <w:bookmarkEnd w:id="4"/>
    <w:bookmarkEnd w:id="5"/>
    <w:p w14:paraId="6A82A4E8">
      <w:pPr>
        <w:widowControl/>
        <w:adjustRightInd w:val="0"/>
        <w:snapToGrid w:val="0"/>
        <w:spacing w:after="0" w:line="400" w:lineRule="exact"/>
        <w:rPr>
          <w:rFonts w:ascii="Arial" w:hAnsi="Arial" w:eastAsia="宋体" w:cs="Arial"/>
          <w:kern w:val="0"/>
          <w:sz w:val="20"/>
          <w:szCs w:val="20"/>
          <w:lang w:bidi="ar"/>
        </w:rPr>
      </w:pPr>
      <w:r>
        <w:rPr>
          <w:rFonts w:ascii="Arial" w:hAnsi="Arial" w:eastAsia="宋体" w:cs="Arial"/>
          <w:kern w:val="0"/>
          <w:sz w:val="20"/>
          <w:szCs w:val="20"/>
          <w:lang w:bidi="ar"/>
        </w:rPr>
        <w:t>Junqi Zhang</w:t>
      </w: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1,5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 xml:space="preserve">, </w:t>
      </w:r>
      <w:bookmarkStart w:id="6" w:name="OLE_LINK1"/>
      <w:r>
        <w:rPr>
          <w:rFonts w:ascii="Arial" w:hAnsi="Arial" w:eastAsia="宋体" w:cs="Arial"/>
          <w:kern w:val="0"/>
          <w:sz w:val="20"/>
          <w:szCs w:val="20"/>
          <w:lang w:bidi="ar"/>
        </w:rPr>
        <w:t>Qingyuan Jiang</w:t>
      </w:r>
      <w:bookmarkEnd w:id="6"/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1,5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, Wenwen Deng</w:t>
      </w: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1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, Zhuqi Jin</w:t>
      </w: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1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, Xinping Wang</w:t>
      </w: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1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, Ruyi He</w:t>
      </w: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2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, Wenhao Yin</w:t>
      </w: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1,4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, Jie Qiao</w:t>
      </w: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2, 3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*</w:t>
      </w: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 xml:space="preserve"> 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&amp; Yi Liu</w:t>
      </w: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1, 4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*</w:t>
      </w:r>
    </w:p>
    <w:p w14:paraId="796BE948">
      <w:pPr>
        <w:widowControl/>
        <w:adjustRightInd w:val="0"/>
        <w:snapToGrid w:val="0"/>
        <w:spacing w:after="0" w:line="400" w:lineRule="exact"/>
        <w:rPr>
          <w:rFonts w:ascii="Arial" w:hAnsi="Arial" w:eastAsia="宋体" w:cs="Arial"/>
          <w:kern w:val="0"/>
          <w:sz w:val="20"/>
          <w:szCs w:val="20"/>
          <w:lang w:bidi="ar"/>
        </w:rPr>
      </w:pPr>
    </w:p>
    <w:p w14:paraId="5A34D7F2">
      <w:pPr>
        <w:widowControl/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 xml:space="preserve">1 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>State Key Laboratory of Biocatalysis and Enzyme Engineering, School of Life Sciences, Hubei University, Hubei 430042 (China)</w:t>
      </w:r>
    </w:p>
    <w:p w14:paraId="52510BFB">
      <w:pPr>
        <w:widowControl/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 xml:space="preserve">2 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 xml:space="preserve">Pilot Base of Food Microbial Resources Utilization of Hubei Province, School of Life Science and Technology, </w:t>
      </w:r>
      <w:bookmarkStart w:id="7" w:name="OLE_LINK71"/>
      <w:r>
        <w:rPr>
          <w:rFonts w:ascii="Arial" w:hAnsi="Arial" w:eastAsia="宋体" w:cs="Arial"/>
          <w:kern w:val="0"/>
          <w:sz w:val="20"/>
          <w:szCs w:val="20"/>
          <w:lang w:bidi="ar"/>
        </w:rPr>
        <w:t>Wuhan Polytechnic University</w:t>
      </w:r>
      <w:bookmarkEnd w:id="7"/>
      <w:r>
        <w:rPr>
          <w:rFonts w:ascii="Arial" w:hAnsi="Arial" w:eastAsia="宋体" w:cs="Arial"/>
          <w:kern w:val="0"/>
          <w:sz w:val="20"/>
          <w:szCs w:val="20"/>
          <w:lang w:bidi="ar"/>
        </w:rPr>
        <w:t>, Hubei 430023 (China)</w:t>
      </w:r>
    </w:p>
    <w:p w14:paraId="2DFDC1EE">
      <w:pPr>
        <w:widowControl/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3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 xml:space="preserve"> State Key Laboratory of Esophageal Cancer Prevention &amp; Treatment, Department of Oral and Maxillofacial Surgery, </w:t>
      </w:r>
      <w:bookmarkStart w:id="8" w:name="OLE_LINK90"/>
      <w:r>
        <w:rPr>
          <w:rFonts w:ascii="Arial" w:hAnsi="Arial" w:eastAsia="宋体" w:cs="Arial"/>
          <w:kern w:val="0"/>
          <w:sz w:val="20"/>
          <w:szCs w:val="20"/>
          <w:lang w:bidi="ar"/>
        </w:rPr>
        <w:t>The First Affiliated Hospital of Zhengzhou University, Zhengzhou University</w:t>
      </w:r>
      <w:bookmarkEnd w:id="8"/>
      <w:r>
        <w:rPr>
          <w:rFonts w:ascii="Arial" w:hAnsi="Arial" w:eastAsia="宋体" w:cs="Arial"/>
          <w:kern w:val="0"/>
          <w:sz w:val="20"/>
          <w:szCs w:val="20"/>
          <w:lang w:bidi="ar"/>
        </w:rPr>
        <w:t>, Zhengzhou 450001, China</w:t>
      </w:r>
    </w:p>
    <w:p w14:paraId="602C9AD8">
      <w:pPr>
        <w:widowControl/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4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 xml:space="preserve"> </w:t>
      </w:r>
      <w:bookmarkStart w:id="9" w:name="OLE_LINK6"/>
      <w:r>
        <w:rPr>
          <w:rFonts w:ascii="Arial" w:hAnsi="Arial" w:eastAsia="宋体" w:cs="Arial"/>
          <w:kern w:val="0"/>
          <w:sz w:val="20"/>
          <w:szCs w:val="20"/>
          <w:lang w:bidi="ar"/>
        </w:rPr>
        <w:t>BravoVax Co., Ltd</w:t>
      </w:r>
      <w:bookmarkEnd w:id="9"/>
      <w:r>
        <w:rPr>
          <w:rFonts w:ascii="Arial" w:hAnsi="Arial" w:eastAsia="宋体" w:cs="Arial"/>
          <w:kern w:val="0"/>
          <w:sz w:val="20"/>
          <w:szCs w:val="20"/>
          <w:lang w:bidi="ar"/>
        </w:rPr>
        <w:t>., Wuhan, Hubei 430075 (China)</w:t>
      </w:r>
    </w:p>
    <w:p w14:paraId="7ED869DA">
      <w:pPr>
        <w:widowControl/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eastAsia="宋体" w:cs="Arial"/>
          <w:kern w:val="0"/>
          <w:sz w:val="20"/>
          <w:szCs w:val="20"/>
          <w:vertAlign w:val="superscript"/>
          <w:lang w:bidi="ar"/>
        </w:rPr>
        <w:t>5</w:t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 xml:space="preserve"> These authors contributed equally: Junqi Zhang, Qiangyuan Jiang</w:t>
      </w:r>
    </w:p>
    <w:p w14:paraId="707245D5">
      <w:pPr>
        <w:widowControl/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eastAsia="宋体" w:cs="Arial"/>
          <w:sz w:val="20"/>
          <w:szCs w:val="20"/>
          <w:lang w:bidi="ar"/>
        </w:rPr>
        <w:t xml:space="preserve">e-mail: </w:t>
      </w:r>
      <w:r>
        <w:fldChar w:fldCharType="begin"/>
      </w:r>
      <w:r>
        <w:instrText xml:space="preserve"> HYPERLINK "mailto:jieqiao@whpu.edu.cn," </w:instrText>
      </w:r>
      <w:r>
        <w:fldChar w:fldCharType="separate"/>
      </w:r>
      <w:r>
        <w:rPr>
          <w:rStyle w:val="8"/>
          <w:rFonts w:ascii="Arial" w:hAnsi="Arial" w:cs="Arial"/>
          <w:color w:val="auto"/>
          <w:sz w:val="20"/>
          <w:szCs w:val="20"/>
          <w:u w:val="none"/>
        </w:rPr>
        <w:t>jieqiao@whpu.edu.cn,</w:t>
      </w:r>
      <w:r>
        <w:rPr>
          <w:rStyle w:val="8"/>
          <w:rFonts w:ascii="Arial" w:hAnsi="Arial" w:cs="Arial"/>
          <w:color w:val="auto"/>
          <w:sz w:val="20"/>
          <w:szCs w:val="20"/>
          <w:u w:val="none"/>
        </w:rPr>
        <w:fldChar w:fldCharType="end"/>
      </w:r>
      <w:r>
        <w:rPr>
          <w:rFonts w:ascii="Arial" w:hAnsi="Arial" w:eastAsia="宋体" w:cs="Arial"/>
          <w:kern w:val="0"/>
          <w:sz w:val="20"/>
          <w:szCs w:val="20"/>
          <w:lang w:bidi="ar"/>
        </w:rPr>
        <w:t xml:space="preserve"> yiliu0825@hubu.edu.cn</w:t>
      </w:r>
    </w:p>
    <w:p w14:paraId="2E319A33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2B8341D3">
      <w:pPr>
        <w:adjustRightInd w:val="0"/>
        <w:snapToGrid w:val="0"/>
        <w:spacing w:after="0" w:line="40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This PDF file includes:</w:t>
      </w:r>
    </w:p>
    <w:p w14:paraId="0B32AE59">
      <w:pPr>
        <w:adjustRightInd w:val="0"/>
        <w:snapToGrid w:val="0"/>
        <w:spacing w:after="0" w:line="400" w:lineRule="exact"/>
        <w:rPr>
          <w:rFonts w:ascii="Arial" w:hAnsi="Arial" w:cs="Arial"/>
          <w:sz w:val="24"/>
          <w:szCs w:val="24"/>
        </w:rPr>
      </w:pPr>
      <w:r>
        <w:rPr>
          <w:rFonts w:hint="eastAsia"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able S1</w:t>
      </w:r>
      <w:r>
        <w:rPr>
          <w:rFonts w:hint="eastAsia" w:ascii="Arial" w:hAnsi="Arial" w:cs="Arial"/>
          <w:sz w:val="24"/>
          <w:szCs w:val="24"/>
        </w:rPr>
        <w:t>-S3</w:t>
      </w:r>
    </w:p>
    <w:p w14:paraId="03705765">
      <w:pPr>
        <w:adjustRightInd w:val="0"/>
        <w:snapToGrid w:val="0"/>
        <w:spacing w:after="0" w:line="400" w:lineRule="exact"/>
        <w:rPr>
          <w:rFonts w:hint="eastAsia" w:ascii="Arial" w:hAnsi="Arial" w:cs="Arial" w:eastAsiaTheme="minorEastAsia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</w:rPr>
        <w:t>Fig</w:t>
      </w:r>
      <w:r>
        <w:rPr>
          <w:rFonts w:hint="eastAsia"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S1 to S</w:t>
      </w:r>
      <w:r>
        <w:rPr>
          <w:rFonts w:hint="eastAsia" w:ascii="Arial" w:hAnsi="Arial" w:cs="Arial"/>
          <w:sz w:val="24"/>
          <w:szCs w:val="24"/>
          <w:lang w:val="en-US" w:eastAsia="zh-CN"/>
        </w:rPr>
        <w:t>5</w:t>
      </w:r>
      <w:bookmarkStart w:id="13" w:name="_GoBack"/>
      <w:bookmarkEnd w:id="13"/>
    </w:p>
    <w:p w14:paraId="0570743B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</w:p>
    <w:p w14:paraId="51D2FD82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73F47E88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371D0B32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6B73D011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55A75624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0D51FFA3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092CCA40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06CFB03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5DC8B47B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4"/>
          <w:szCs w:val="24"/>
        </w:rPr>
      </w:pPr>
    </w:p>
    <w:p w14:paraId="20A4703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E0248E0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226FF400">
      <w:pPr>
        <w:adjustRightInd w:val="0"/>
        <w:snapToGrid w:val="0"/>
        <w:spacing w:after="0" w:line="400" w:lineRule="exact"/>
        <w:jc w:val="center"/>
        <w:rPr>
          <w:rFonts w:ascii="Arial" w:hAnsi="Arial" w:cs="Arial"/>
          <w:b/>
          <w:bCs/>
          <w:sz w:val="20"/>
          <w:szCs w:val="20"/>
        </w:rPr>
      </w:pPr>
      <w:bookmarkStart w:id="10" w:name="OLE_LINK3"/>
    </w:p>
    <w:p w14:paraId="7B5F17E0">
      <w:pPr>
        <w:adjustRightInd w:val="0"/>
        <w:snapToGrid w:val="0"/>
        <w:spacing w:after="0" w:line="400" w:lineRule="exact"/>
        <w:jc w:val="center"/>
        <w:rPr>
          <w:rFonts w:ascii="Arial" w:hAnsi="Arial" w:cs="Arial"/>
          <w:b/>
          <w:bCs/>
          <w:sz w:val="20"/>
          <w:szCs w:val="20"/>
        </w:rPr>
      </w:pPr>
    </w:p>
    <w:bookmarkEnd w:id="10"/>
    <w:p w14:paraId="7047364F">
      <w:pPr>
        <w:rPr>
          <w:rFonts w:hint="eastAsia"/>
        </w:rPr>
      </w:pPr>
    </w:p>
    <w:p w14:paraId="20BA5D9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Table S1: </w:t>
      </w:r>
      <w:r>
        <w:rPr>
          <w:rFonts w:ascii="Arial" w:hAnsi="Arial" w:cs="Arial"/>
          <w:sz w:val="20"/>
          <w:szCs w:val="20"/>
        </w:rPr>
        <w:t xml:space="preserve">List of </w:t>
      </w:r>
      <w:r>
        <w:rPr>
          <w:rFonts w:hint="eastAsia" w:ascii="Arial" w:hAnsi="Arial" w:cs="Arial"/>
          <w:sz w:val="20"/>
          <w:szCs w:val="20"/>
        </w:rPr>
        <w:t xml:space="preserve">the split </w:t>
      </w:r>
      <w:r>
        <w:rPr>
          <w:rFonts w:ascii="Arial" w:hAnsi="Arial" w:cs="Arial"/>
          <w:sz w:val="20"/>
          <w:szCs w:val="20"/>
        </w:rPr>
        <w:t>crRNA (5’→3’)</w:t>
      </w:r>
      <w:r>
        <w:rPr>
          <w:rFonts w:hint="eastAsia"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 in this study .</w:t>
      </w:r>
    </w:p>
    <w:p w14:paraId="67263F9C">
      <w:pPr>
        <w:rPr>
          <w:rFonts w:ascii="Arial" w:hAnsi="Arial" w:cs="Arial"/>
          <w:sz w:val="20"/>
          <w:szCs w:val="20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7647"/>
      </w:tblGrid>
      <w:tr w14:paraId="369C8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7E9922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8600" w:type="dxa"/>
            <w:noWrap/>
          </w:tcPr>
          <w:p w14:paraId="71424E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Sequence</w:t>
            </w:r>
          </w:p>
        </w:tc>
      </w:tr>
      <w:tr w14:paraId="5390E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2D9D6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S0</w:t>
            </w:r>
          </w:p>
        </w:tc>
        <w:tc>
          <w:tcPr>
            <w:tcW w:w="8600" w:type="dxa"/>
            <w:noWrap/>
          </w:tcPr>
          <w:p w14:paraId="6FEC99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AAUUUCUACUAAGUGUAGAU </w:t>
            </w:r>
          </w:p>
        </w:tc>
      </w:tr>
      <w:tr w14:paraId="13B5B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66C922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S3</w:t>
            </w:r>
          </w:p>
        </w:tc>
        <w:tc>
          <w:tcPr>
            <w:tcW w:w="8600" w:type="dxa"/>
            <w:noWrap/>
          </w:tcPr>
          <w:p w14:paraId="1C857A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</w:t>
            </w:r>
          </w:p>
        </w:tc>
      </w:tr>
      <w:tr w14:paraId="648B4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2E62CD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S4</w:t>
            </w:r>
          </w:p>
        </w:tc>
        <w:tc>
          <w:tcPr>
            <w:tcW w:w="8600" w:type="dxa"/>
            <w:noWrap/>
          </w:tcPr>
          <w:p w14:paraId="1F9BCD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GAGU</w:t>
            </w:r>
          </w:p>
        </w:tc>
      </w:tr>
      <w:tr w14:paraId="4E5F1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7197E1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S5</w:t>
            </w:r>
          </w:p>
        </w:tc>
        <w:tc>
          <w:tcPr>
            <w:tcW w:w="8600" w:type="dxa"/>
            <w:noWrap/>
          </w:tcPr>
          <w:p w14:paraId="2BB467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GAGUC</w:t>
            </w:r>
          </w:p>
        </w:tc>
      </w:tr>
      <w:tr w14:paraId="15E81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50D5B9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</w:t>
            </w:r>
          </w:p>
        </w:tc>
        <w:tc>
          <w:tcPr>
            <w:tcW w:w="8600" w:type="dxa"/>
            <w:noWrap/>
          </w:tcPr>
          <w:p w14:paraId="156673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GAGUCC</w:t>
            </w:r>
          </w:p>
        </w:tc>
      </w:tr>
      <w:tr w14:paraId="7D855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704095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S7</w:t>
            </w:r>
          </w:p>
        </w:tc>
        <w:tc>
          <w:tcPr>
            <w:tcW w:w="8600" w:type="dxa"/>
            <w:noWrap/>
          </w:tcPr>
          <w:p w14:paraId="71F3C71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GAGUCCC</w:t>
            </w:r>
          </w:p>
        </w:tc>
      </w:tr>
      <w:tr w14:paraId="14BD6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0071FA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S8</w:t>
            </w:r>
          </w:p>
        </w:tc>
        <w:tc>
          <w:tcPr>
            <w:tcW w:w="8600" w:type="dxa"/>
            <w:noWrap/>
          </w:tcPr>
          <w:p w14:paraId="13D162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GAGUCCCG</w:t>
            </w:r>
          </w:p>
        </w:tc>
      </w:tr>
      <w:tr w14:paraId="1C878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2842E1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S9</w:t>
            </w:r>
          </w:p>
        </w:tc>
        <w:tc>
          <w:tcPr>
            <w:tcW w:w="8600" w:type="dxa"/>
            <w:noWrap/>
          </w:tcPr>
          <w:p w14:paraId="2F3953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GAGUCCCGC</w:t>
            </w:r>
          </w:p>
        </w:tc>
      </w:tr>
      <w:tr w14:paraId="62380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31BFB3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</w:t>
            </w:r>
          </w:p>
        </w:tc>
        <w:tc>
          <w:tcPr>
            <w:tcW w:w="8600" w:type="dxa"/>
            <w:noWrap/>
          </w:tcPr>
          <w:p w14:paraId="197E42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GAGUCCCGCC</w:t>
            </w:r>
          </w:p>
        </w:tc>
      </w:tr>
      <w:tr w14:paraId="666DA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27A82F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S11</w:t>
            </w:r>
          </w:p>
        </w:tc>
        <w:tc>
          <w:tcPr>
            <w:tcW w:w="8600" w:type="dxa"/>
            <w:noWrap/>
          </w:tcPr>
          <w:p w14:paraId="4BC322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GAGUCCCGCCU</w:t>
            </w:r>
          </w:p>
        </w:tc>
      </w:tr>
      <w:tr w14:paraId="63785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0" w:type="dxa"/>
            <w:noWrap/>
          </w:tcPr>
          <w:p w14:paraId="6F306B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S12</w:t>
            </w:r>
          </w:p>
        </w:tc>
        <w:tc>
          <w:tcPr>
            <w:tcW w:w="8600" w:type="dxa"/>
            <w:noWrap/>
          </w:tcPr>
          <w:p w14:paraId="703683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AAUUUCUACUAAGUGUAGAU GAGUCCCGCCUC</w:t>
            </w:r>
          </w:p>
        </w:tc>
      </w:tr>
    </w:tbl>
    <w:p w14:paraId="402B405E">
      <w:pPr>
        <w:rPr>
          <w:rFonts w:ascii="Arial" w:hAnsi="Arial" w:cs="Arial"/>
          <w:sz w:val="20"/>
          <w:szCs w:val="20"/>
        </w:rPr>
      </w:pPr>
    </w:p>
    <w:p w14:paraId="3227A538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85B39D4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Table S2: </w:t>
      </w:r>
      <w:r>
        <w:rPr>
          <w:rFonts w:ascii="Arial" w:hAnsi="Arial" w:cs="Arial"/>
          <w:sz w:val="20"/>
          <w:szCs w:val="20"/>
        </w:rPr>
        <w:t xml:space="preserve">List of </w:t>
      </w:r>
      <w:r>
        <w:rPr>
          <w:rFonts w:hint="eastAsia" w:ascii="Arial" w:hAnsi="Arial" w:cs="Arial"/>
          <w:sz w:val="20"/>
          <w:szCs w:val="20"/>
        </w:rPr>
        <w:t>the DNA a</w:t>
      </w:r>
      <w:r>
        <w:rPr>
          <w:rFonts w:ascii="Arial" w:hAnsi="Arial" w:cs="Arial"/>
          <w:sz w:val="20"/>
          <w:szCs w:val="20"/>
        </w:rPr>
        <w:t>ctivators (5’→3’)</w:t>
      </w:r>
      <w:r>
        <w:rPr>
          <w:rFonts w:hint="eastAsia"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 in this study 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7"/>
        <w:gridCol w:w="3637"/>
        <w:gridCol w:w="3708"/>
      </w:tblGrid>
      <w:tr w14:paraId="0C492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noWrap/>
          </w:tcPr>
          <w:p w14:paraId="7C32CF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Universal primer</w:t>
            </w:r>
          </w:p>
        </w:tc>
        <w:tc>
          <w:tcPr>
            <w:tcW w:w="3637" w:type="dxa"/>
            <w:noWrap/>
          </w:tcPr>
          <w:p w14:paraId="2D0FA6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</w:t>
            </w:r>
          </w:p>
        </w:tc>
        <w:tc>
          <w:tcPr>
            <w:tcW w:w="3708" w:type="dxa"/>
            <w:noWrap/>
          </w:tcPr>
          <w:p w14:paraId="554A1A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CGACGCTCTCCCTTATTTAGAGTCC</w:t>
            </w:r>
          </w:p>
        </w:tc>
      </w:tr>
      <w:tr w14:paraId="7E8BD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restart"/>
            <w:noWrap/>
          </w:tcPr>
          <w:p w14:paraId="368808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HIV</w:t>
            </w:r>
          </w:p>
        </w:tc>
        <w:tc>
          <w:tcPr>
            <w:tcW w:w="3637" w:type="dxa"/>
            <w:noWrap/>
          </w:tcPr>
          <w:p w14:paraId="3F6B913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S6-F1</w:t>
            </w:r>
          </w:p>
        </w:tc>
        <w:tc>
          <w:tcPr>
            <w:tcW w:w="3708" w:type="dxa"/>
            <w:noWrap/>
          </w:tcPr>
          <w:p w14:paraId="0E096F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CAATAGCAATTGGTACAAGC</w:t>
            </w:r>
          </w:p>
        </w:tc>
      </w:tr>
      <w:tr w14:paraId="0EC97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5558A2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51BD11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S6-F2</w:t>
            </w:r>
          </w:p>
        </w:tc>
        <w:tc>
          <w:tcPr>
            <w:tcW w:w="3708" w:type="dxa"/>
            <w:noWrap/>
          </w:tcPr>
          <w:p w14:paraId="2CA89E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ATGAAAGCAACACTTTTTAC</w:t>
            </w:r>
          </w:p>
        </w:tc>
      </w:tr>
      <w:tr w14:paraId="1A12A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restart"/>
            <w:noWrap/>
          </w:tcPr>
          <w:p w14:paraId="0B1BC6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HCV</w:t>
            </w:r>
          </w:p>
        </w:tc>
        <w:tc>
          <w:tcPr>
            <w:tcW w:w="3637" w:type="dxa"/>
            <w:noWrap/>
          </w:tcPr>
          <w:p w14:paraId="2A56CA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S6-F1</w:t>
            </w:r>
          </w:p>
        </w:tc>
        <w:tc>
          <w:tcPr>
            <w:tcW w:w="3708" w:type="dxa"/>
            <w:noWrap/>
          </w:tcPr>
          <w:p w14:paraId="42AFCC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CAGTACCACAAGGCGGACTC</w:t>
            </w:r>
          </w:p>
        </w:tc>
      </w:tr>
      <w:tr w14:paraId="0FA7F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4971BB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060BDA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S6-F2</w:t>
            </w:r>
          </w:p>
        </w:tc>
        <w:tc>
          <w:tcPr>
            <w:tcW w:w="3708" w:type="dxa"/>
            <w:noWrap/>
          </w:tcPr>
          <w:p w14:paraId="4043E9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GCACTCGCAAGCACGGACTC</w:t>
            </w:r>
          </w:p>
        </w:tc>
      </w:tr>
      <w:tr w14:paraId="3AE38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26CD7B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567C0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S6-F3</w:t>
            </w:r>
          </w:p>
        </w:tc>
        <w:tc>
          <w:tcPr>
            <w:tcW w:w="3708" w:type="dxa"/>
            <w:noWrap/>
          </w:tcPr>
          <w:p w14:paraId="031D4A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CGGTCTACGAGACCTGGACTC</w:t>
            </w:r>
          </w:p>
        </w:tc>
      </w:tr>
      <w:tr w14:paraId="09E68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73519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7E28CB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S6-F4</w:t>
            </w:r>
          </w:p>
        </w:tc>
        <w:tc>
          <w:tcPr>
            <w:tcW w:w="3708" w:type="dxa"/>
            <w:noWrap/>
          </w:tcPr>
          <w:p w14:paraId="6C05E8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TGCTCATGATGCACGGACTC</w:t>
            </w:r>
          </w:p>
        </w:tc>
      </w:tr>
      <w:tr w14:paraId="3AA1C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10C7BB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7D4417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S6-F1</w:t>
            </w:r>
            <w:r>
              <w:rPr>
                <w:rFonts w:hint="eastAsia"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hint="eastAsia"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symmetric)</w:t>
            </w:r>
          </w:p>
        </w:tc>
        <w:tc>
          <w:tcPr>
            <w:tcW w:w="3708" w:type="dxa"/>
            <w:noWrap/>
          </w:tcPr>
          <w:p w14:paraId="5A4790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AGGCAGTACCACAAGGACTC</w:t>
            </w:r>
          </w:p>
        </w:tc>
      </w:tr>
      <w:tr w14:paraId="25C81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13C3C9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612227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S6-F2</w:t>
            </w:r>
            <w:r>
              <w:rPr>
                <w:rFonts w:hint="eastAsia"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hint="eastAsia"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symmetric)</w:t>
            </w:r>
          </w:p>
        </w:tc>
        <w:tc>
          <w:tcPr>
            <w:tcW w:w="3708" w:type="dxa"/>
            <w:noWrap/>
          </w:tcPr>
          <w:p w14:paraId="6613A9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GGGGCACTCGCAAGGGACTC</w:t>
            </w:r>
          </w:p>
        </w:tc>
      </w:tr>
      <w:tr w14:paraId="6AF52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66FDD1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0AB361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S6-F3</w:t>
            </w:r>
            <w:r>
              <w:rPr>
                <w:rFonts w:hint="eastAsia"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hint="eastAsia"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symmetric)</w:t>
            </w:r>
          </w:p>
        </w:tc>
        <w:tc>
          <w:tcPr>
            <w:tcW w:w="3708" w:type="dxa"/>
            <w:noWrap/>
          </w:tcPr>
          <w:p w14:paraId="0B544F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ACGGTCTACGAGACGGACTC</w:t>
            </w:r>
          </w:p>
        </w:tc>
      </w:tr>
      <w:tr w14:paraId="00BC2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435FD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68E2A4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S6-F4</w:t>
            </w:r>
            <w:r>
              <w:rPr>
                <w:rFonts w:hint="eastAsia"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hint="eastAsia"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symmetric)</w:t>
            </w:r>
          </w:p>
        </w:tc>
        <w:tc>
          <w:tcPr>
            <w:tcW w:w="3708" w:type="dxa"/>
            <w:noWrap/>
          </w:tcPr>
          <w:p w14:paraId="7FA481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TTGTGCTCATGATGCGGACTC</w:t>
            </w:r>
          </w:p>
        </w:tc>
      </w:tr>
      <w:tr w14:paraId="40A89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restart"/>
            <w:noWrap/>
          </w:tcPr>
          <w:p w14:paraId="181A8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P53</w:t>
            </w:r>
          </w:p>
        </w:tc>
        <w:tc>
          <w:tcPr>
            <w:tcW w:w="3637" w:type="dxa"/>
            <w:noWrap/>
          </w:tcPr>
          <w:p w14:paraId="3B59D4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S6-F1</w:t>
            </w:r>
          </w:p>
        </w:tc>
        <w:tc>
          <w:tcPr>
            <w:tcW w:w="3708" w:type="dxa"/>
            <w:noWrap/>
          </w:tcPr>
          <w:p w14:paraId="2706A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TTCTGGGAAGGGACGGACTC</w:t>
            </w:r>
          </w:p>
        </w:tc>
      </w:tr>
      <w:tr w14:paraId="72715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62DF61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5EC4C3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S6-F2</w:t>
            </w:r>
          </w:p>
        </w:tc>
        <w:tc>
          <w:tcPr>
            <w:tcW w:w="3708" w:type="dxa"/>
            <w:noWrap/>
          </w:tcPr>
          <w:p w14:paraId="629F6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AACCGTAGCTGCCCGGACTC</w:t>
            </w:r>
          </w:p>
        </w:tc>
      </w:tr>
      <w:tr w14:paraId="2390E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595504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6672FF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S6-F3</w:t>
            </w:r>
          </w:p>
        </w:tc>
        <w:tc>
          <w:tcPr>
            <w:tcW w:w="3708" w:type="dxa"/>
            <w:noWrap/>
          </w:tcPr>
          <w:p w14:paraId="0547B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GTGCAAGTCACAGAGGACTC</w:t>
            </w:r>
          </w:p>
        </w:tc>
      </w:tr>
      <w:tr w14:paraId="3F6DB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020F7B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7FEE55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S6-F4</w:t>
            </w:r>
          </w:p>
        </w:tc>
        <w:tc>
          <w:tcPr>
            <w:tcW w:w="3708" w:type="dxa"/>
            <w:noWrap/>
          </w:tcPr>
          <w:p w14:paraId="1E6CDE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AGATGACAGGGGCCGGACTC</w:t>
            </w:r>
          </w:p>
        </w:tc>
      </w:tr>
      <w:tr w14:paraId="41A12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2ED665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579298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S6-F5</w:t>
            </w:r>
          </w:p>
        </w:tc>
        <w:tc>
          <w:tcPr>
            <w:tcW w:w="3708" w:type="dxa"/>
            <w:noWrap/>
          </w:tcPr>
          <w:p w14:paraId="3773F8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GACGGAAACCGTAGGGACTC</w:t>
            </w:r>
          </w:p>
        </w:tc>
      </w:tr>
      <w:tr w14:paraId="43E04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1B76DA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37AAAA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S6-F6</w:t>
            </w:r>
          </w:p>
        </w:tc>
        <w:tc>
          <w:tcPr>
            <w:tcW w:w="3708" w:type="dxa"/>
            <w:noWrap/>
          </w:tcPr>
          <w:p w14:paraId="6977EC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ACGTGCAAGTCACAGGACTC</w:t>
            </w:r>
          </w:p>
        </w:tc>
      </w:tr>
      <w:tr w14:paraId="74A80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3BE62C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1C296B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S6.1-F1</w:t>
            </w:r>
          </w:p>
        </w:tc>
        <w:tc>
          <w:tcPr>
            <w:tcW w:w="3708" w:type="dxa"/>
            <w:noWrap/>
          </w:tcPr>
          <w:p w14:paraId="371CA8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TTCTGGGAAGGGACGGACTCTAAATAAGGGAGAGCGTCG</w:t>
            </w:r>
          </w:p>
        </w:tc>
      </w:tr>
      <w:tr w14:paraId="6EB73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736DB5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2D8788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S6.1-F2</w:t>
            </w:r>
          </w:p>
        </w:tc>
        <w:tc>
          <w:tcPr>
            <w:tcW w:w="3708" w:type="dxa"/>
            <w:noWrap/>
          </w:tcPr>
          <w:p w14:paraId="201D3E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GGGCAGCTACGGTTGGACTCTAAATAAGGGAGAGCGTCG</w:t>
            </w:r>
          </w:p>
        </w:tc>
      </w:tr>
      <w:tr w14:paraId="6DF3C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076E86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159861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S6.1-F3</w:t>
            </w:r>
          </w:p>
        </w:tc>
        <w:tc>
          <w:tcPr>
            <w:tcW w:w="3708" w:type="dxa"/>
            <w:noWrap/>
          </w:tcPr>
          <w:p w14:paraId="55FC1F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GTGCAAGTCACAGAGGACTCTAAATAAGGGAGAGCGTCG</w:t>
            </w:r>
          </w:p>
        </w:tc>
      </w:tr>
      <w:tr w14:paraId="1C73B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76B73F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47B663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S6.1-F4</w:t>
            </w:r>
          </w:p>
        </w:tc>
        <w:tc>
          <w:tcPr>
            <w:tcW w:w="3708" w:type="dxa"/>
            <w:noWrap/>
          </w:tcPr>
          <w:p w14:paraId="032DA8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AGATGACAGGGGCCGGACTCTAAATAAGGGAGAGCGTCG</w:t>
            </w:r>
          </w:p>
        </w:tc>
      </w:tr>
      <w:tr w14:paraId="076EF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1FC66F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0F7E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S6.1-F5</w:t>
            </w:r>
          </w:p>
        </w:tc>
        <w:tc>
          <w:tcPr>
            <w:tcW w:w="3708" w:type="dxa"/>
            <w:noWrap/>
          </w:tcPr>
          <w:p w14:paraId="168565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GACGGAAACCGTAGGGACTCTAAATAAGGGAGAGCGTCG</w:t>
            </w:r>
          </w:p>
        </w:tc>
      </w:tr>
      <w:tr w14:paraId="716F9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08E5F8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1B1283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S6.1-F6</w:t>
            </w:r>
          </w:p>
        </w:tc>
        <w:tc>
          <w:tcPr>
            <w:tcW w:w="3708" w:type="dxa"/>
            <w:noWrap/>
          </w:tcPr>
          <w:p w14:paraId="151C3D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ACGTGCAAGTCACAGGACTCTAAATAAGGGAGAGCGTCG</w:t>
            </w:r>
          </w:p>
        </w:tc>
      </w:tr>
      <w:tr w14:paraId="1C6CF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0CCCBD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1FC5D9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S6.2-F1</w:t>
            </w:r>
          </w:p>
        </w:tc>
        <w:tc>
          <w:tcPr>
            <w:tcW w:w="3708" w:type="dxa"/>
            <w:noWrap/>
          </w:tcPr>
          <w:p w14:paraId="21D549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GTGGTGGAATTCTGCAGATTTAGAGTCCGTCCCTTCCCAGAA</w:t>
            </w:r>
          </w:p>
        </w:tc>
      </w:tr>
      <w:tr w14:paraId="6269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7E7700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3A3FB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S6.2-F2</w:t>
            </w:r>
          </w:p>
        </w:tc>
        <w:tc>
          <w:tcPr>
            <w:tcW w:w="3708" w:type="dxa"/>
            <w:noWrap/>
          </w:tcPr>
          <w:p w14:paraId="6F5403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GTGGTGGAATTCTGCAGATTTAGAGTCCGGGCAGCTACGGTT</w:t>
            </w:r>
          </w:p>
        </w:tc>
      </w:tr>
      <w:tr w14:paraId="4F786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7FD03B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3BBCB5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S6.2-F3</w:t>
            </w:r>
          </w:p>
        </w:tc>
        <w:tc>
          <w:tcPr>
            <w:tcW w:w="3708" w:type="dxa"/>
          </w:tcPr>
          <w:p w14:paraId="5D0C30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GTGCAAGTCACAGAGGACTCTAAATCTGCAGAATTCCACCAC</w:t>
            </w:r>
          </w:p>
        </w:tc>
      </w:tr>
      <w:tr w14:paraId="22946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restart"/>
            <w:noWrap/>
          </w:tcPr>
          <w:p w14:paraId="236D1F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miRNA21</w:t>
            </w:r>
          </w:p>
        </w:tc>
        <w:tc>
          <w:tcPr>
            <w:tcW w:w="3637" w:type="dxa"/>
            <w:noWrap/>
          </w:tcPr>
          <w:p w14:paraId="40E14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</w:t>
            </w:r>
          </w:p>
        </w:tc>
        <w:tc>
          <w:tcPr>
            <w:tcW w:w="3708" w:type="dxa"/>
            <w:noWrap/>
          </w:tcPr>
          <w:p w14:paraId="0421C9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AGTCTGATAAGCTAGGACTC</w:t>
            </w:r>
          </w:p>
        </w:tc>
      </w:tr>
      <w:tr w14:paraId="60C75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2CD21A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7C1945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</w:t>
            </w:r>
          </w:p>
        </w:tc>
        <w:tc>
          <w:tcPr>
            <w:tcW w:w="3708" w:type="dxa"/>
            <w:noWrap/>
          </w:tcPr>
          <w:p w14:paraId="023013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AGTCTGATAAGCTAGGACTCTAAATAAGGGAGAGCGTCG</w:t>
            </w:r>
          </w:p>
        </w:tc>
      </w:tr>
      <w:tr w14:paraId="41C52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restart"/>
            <w:noWrap/>
          </w:tcPr>
          <w:p w14:paraId="1CA41C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hint="eastAsia" w:ascii="Arial" w:hAnsi="Arial" w:cs="Arial"/>
                <w:sz w:val="20"/>
                <w:szCs w:val="20"/>
              </w:rPr>
              <w:t>SARS-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hint="eastAsia" w:ascii="Arial" w:hAnsi="Arial" w:cs="Arial"/>
                <w:sz w:val="20"/>
                <w:szCs w:val="20"/>
              </w:rPr>
              <w:t>oV-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37" w:type="dxa"/>
            <w:noWrap/>
          </w:tcPr>
          <w:p w14:paraId="4B9E8B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S6.1-F1</w:t>
            </w:r>
          </w:p>
        </w:tc>
        <w:tc>
          <w:tcPr>
            <w:tcW w:w="3708" w:type="dxa"/>
            <w:noWrap/>
          </w:tcPr>
          <w:p w14:paraId="0556A2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CGGGGTGCATTTCGGGACTCTAAATAAGGGAGAGCGTCG</w:t>
            </w:r>
          </w:p>
        </w:tc>
      </w:tr>
      <w:tr w14:paraId="00294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70EA4A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427DADB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S6.1-F10</w:t>
            </w:r>
          </w:p>
        </w:tc>
        <w:tc>
          <w:tcPr>
            <w:tcW w:w="3708" w:type="dxa"/>
            <w:noWrap/>
          </w:tcPr>
          <w:p w14:paraId="4D8648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GCCATTCTAGCAGGGGACTCTAAATAAGGGAGAGCGTCG</w:t>
            </w:r>
          </w:p>
        </w:tc>
      </w:tr>
      <w:tr w14:paraId="77C0A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5C4017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6B829B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S6.1-F12</w:t>
            </w:r>
          </w:p>
        </w:tc>
        <w:tc>
          <w:tcPr>
            <w:tcW w:w="3708" w:type="dxa"/>
            <w:noWrap/>
          </w:tcPr>
          <w:p w14:paraId="3804A7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TTACCAGACATTTTGGACTCTAAATAAGGGAGAGCGTCG</w:t>
            </w:r>
          </w:p>
        </w:tc>
      </w:tr>
      <w:tr w14:paraId="6E5E9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0EAAE2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4E276B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S6.1-L-F4</w:t>
            </w:r>
          </w:p>
        </w:tc>
        <w:tc>
          <w:tcPr>
            <w:tcW w:w="3708" w:type="dxa"/>
            <w:noWrap/>
          </w:tcPr>
          <w:p w14:paraId="51EBF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CAAGACGCAGTATTGGACTCTAAATAAGGGAGAGCGTCG</w:t>
            </w:r>
          </w:p>
        </w:tc>
      </w:tr>
      <w:tr w14:paraId="15F47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248B9F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503D583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S6.1-L-F5</w:t>
            </w:r>
          </w:p>
        </w:tc>
        <w:tc>
          <w:tcPr>
            <w:tcW w:w="3708" w:type="dxa"/>
            <w:noWrap/>
          </w:tcPr>
          <w:p w14:paraId="489E50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TGCCATGTTGAGTGGGACTCTAAATAAGGGAGAGCGTCG</w:t>
            </w:r>
          </w:p>
        </w:tc>
      </w:tr>
      <w:tr w14:paraId="7F0E6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18A7F5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051182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S6.1-L-F6</w:t>
            </w:r>
          </w:p>
        </w:tc>
        <w:tc>
          <w:tcPr>
            <w:tcW w:w="3708" w:type="dxa"/>
            <w:noWrap/>
          </w:tcPr>
          <w:p w14:paraId="49C940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GTCCTCGAGGGAATGGACTCTAAATAAGGGAGAGCGTCG</w:t>
            </w:r>
          </w:p>
        </w:tc>
      </w:tr>
      <w:tr w14:paraId="68F1D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01A07B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76265A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S6.1-L-F14</w:t>
            </w:r>
          </w:p>
        </w:tc>
        <w:tc>
          <w:tcPr>
            <w:tcW w:w="3708" w:type="dxa"/>
            <w:noWrap/>
          </w:tcPr>
          <w:p w14:paraId="437BBD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CCAGACATTTTGCTGGACTCTAAATAAGGGAGAGCGTCG</w:t>
            </w:r>
          </w:p>
        </w:tc>
      </w:tr>
      <w:tr w14:paraId="60B33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7FA088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61AEB0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S6.1-L-F16</w:t>
            </w:r>
          </w:p>
        </w:tc>
        <w:tc>
          <w:tcPr>
            <w:tcW w:w="3708" w:type="dxa"/>
            <w:noWrap/>
          </w:tcPr>
          <w:p w14:paraId="45813D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TAGTTCCTGGTCCCGGACTCTAAATAAGGGAGAGCGTCG</w:t>
            </w:r>
          </w:p>
        </w:tc>
      </w:tr>
      <w:tr w14:paraId="0C6E8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77" w:type="dxa"/>
            <w:vMerge w:val="continue"/>
          </w:tcPr>
          <w:p w14:paraId="2A6297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noWrap/>
          </w:tcPr>
          <w:p w14:paraId="7CBE41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S6.1-L-F17</w:t>
            </w:r>
          </w:p>
        </w:tc>
        <w:tc>
          <w:tcPr>
            <w:tcW w:w="3708" w:type="dxa"/>
            <w:noWrap/>
          </w:tcPr>
          <w:p w14:paraId="668352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AGTTCCTTGTCTGAGGACTCTAAATAAGGGAGAGCGTCG</w:t>
            </w:r>
          </w:p>
        </w:tc>
      </w:tr>
    </w:tbl>
    <w:p w14:paraId="316756F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Table S3: </w:t>
      </w:r>
      <w:r>
        <w:rPr>
          <w:rFonts w:ascii="Arial" w:hAnsi="Arial" w:cs="Arial"/>
          <w:sz w:val="20"/>
          <w:szCs w:val="20"/>
        </w:rPr>
        <w:t xml:space="preserve">List of </w:t>
      </w:r>
      <w:r>
        <w:rPr>
          <w:rFonts w:hint="eastAsia" w:ascii="Arial" w:hAnsi="Arial" w:cs="Arial"/>
          <w:sz w:val="20"/>
          <w:szCs w:val="20"/>
        </w:rPr>
        <w:t xml:space="preserve">the detected </w:t>
      </w:r>
      <w:r>
        <w:rPr>
          <w:rFonts w:ascii="Arial" w:hAnsi="Arial" w:cs="Arial"/>
          <w:sz w:val="20"/>
          <w:szCs w:val="20"/>
        </w:rPr>
        <w:t xml:space="preserve">RNA </w:t>
      </w:r>
      <w:r>
        <w:rPr>
          <w:rFonts w:hint="eastAsia" w:ascii="Arial" w:hAnsi="Arial" w:cs="Arial"/>
          <w:sz w:val="20"/>
          <w:szCs w:val="20"/>
        </w:rPr>
        <w:t xml:space="preserve">targets </w:t>
      </w:r>
      <w:r>
        <w:rPr>
          <w:rFonts w:ascii="Arial" w:hAnsi="Arial" w:cs="Arial"/>
          <w:sz w:val="20"/>
          <w:szCs w:val="20"/>
        </w:rPr>
        <w:t>(5’→3’)</w:t>
      </w:r>
      <w:r>
        <w:rPr>
          <w:rFonts w:hint="eastAsia"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hint="eastAsia" w:ascii="Arial" w:hAnsi="Arial" w:cs="Arial"/>
          <w:sz w:val="20"/>
          <w:szCs w:val="20"/>
        </w:rPr>
        <w:t xml:space="preserve">used </w:t>
      </w:r>
      <w:r>
        <w:rPr>
          <w:rFonts w:ascii="Arial" w:hAnsi="Arial" w:cs="Arial"/>
          <w:sz w:val="20"/>
          <w:szCs w:val="20"/>
        </w:rPr>
        <w:t>in this study</w:t>
      </w:r>
      <w:r>
        <w:rPr>
          <w:rFonts w:hint="eastAsia" w:ascii="Arial" w:hAnsi="Arial" w:cs="Arial"/>
          <w:sz w:val="20"/>
          <w:szCs w:val="20"/>
        </w:rPr>
        <w:t>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962"/>
      </w:tblGrid>
      <w:tr w14:paraId="3529B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6487" w:type="dxa"/>
            <w:noWrap/>
          </w:tcPr>
          <w:p w14:paraId="1220AF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HIV</w:t>
            </w:r>
          </w:p>
        </w:tc>
        <w:tc>
          <w:tcPr>
            <w:tcW w:w="2035" w:type="dxa"/>
            <w:noWrap/>
          </w:tcPr>
          <w:p w14:paraId="496020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GCUUGUACCAAUUGCUAUUGUAAAAAGUGUUGCUUUCAUUGCCAAGUUUGUUUCAUAACA</w:t>
            </w:r>
          </w:p>
        </w:tc>
      </w:tr>
      <w:tr w14:paraId="6BE54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487" w:type="dxa"/>
            <w:noWrap/>
          </w:tcPr>
          <w:p w14:paraId="695344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HCV</w:t>
            </w:r>
          </w:p>
        </w:tc>
        <w:tc>
          <w:tcPr>
            <w:tcW w:w="2035" w:type="dxa"/>
          </w:tcPr>
          <w:p w14:paraId="403FBF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GCCUUGUGGUACUGCCUGAUAGGGUGCUUGCGAGUGCCCCGGGAGGUCUCGUAGACCGUGCAUCAUGAGCACAAAUCCUAAACCUC</w:t>
            </w:r>
          </w:p>
        </w:tc>
      </w:tr>
      <w:tr w14:paraId="0350C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6487" w:type="dxa"/>
            <w:noWrap/>
          </w:tcPr>
          <w:p w14:paraId="47940F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P53</w:t>
            </w:r>
          </w:p>
        </w:tc>
        <w:tc>
          <w:tcPr>
            <w:tcW w:w="2035" w:type="dxa"/>
          </w:tcPr>
          <w:p w14:paraId="6A2A8C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CCCCUCCUGGCCCCUGUCAUCUUCUGUCCCUUCCCAGAAAACCUACCAGGGCAGCUACGGUUUCCGUCUGGGCUUCUUGCAUUCUGGGACAGCCAAGUCUGUGACUUGCACGUACUCCCCUGCCCUCAACAAGAUGUUUUGCCAACUGGC</w:t>
            </w:r>
          </w:p>
        </w:tc>
      </w:tr>
      <w:tr w14:paraId="61622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8" w:hRule="atLeast"/>
        </w:trPr>
        <w:tc>
          <w:tcPr>
            <w:tcW w:w="6487" w:type="dxa"/>
            <w:noWrap/>
          </w:tcPr>
          <w:p w14:paraId="36621E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SARS-CoV-2-N gene block </w:t>
            </w:r>
          </w:p>
        </w:tc>
        <w:tc>
          <w:tcPr>
            <w:tcW w:w="2035" w:type="dxa"/>
          </w:tcPr>
          <w:p w14:paraId="54B2E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CUGAUAAUGGACCCCAAAAUCAGCGAAAUGCACCCCGCAUUACGUUUGGUGGACCCUCAGAUUCAACUGGCAGUAACCAGAAUGGAGAACGCAGUGGGGCGCGAUCAAAACAACGUCGGCCCCAAGGUUUACCCAAUAAUACUGCGUCUUGGUUCACCGCUCUCACUCAACAUGGCAAGGAAGACCUUAAAUUCCCUCGAGGACAAGGCGUUCCAAUUAACACCAAUAGCAGUCCAGAUGACCAAAUUGGCUACUACCGAAGAGCUACCAGACGAAUUCGUGGUGGUGACGGUAAAAUGAAAGAUCUCAGUCCAAGAUGGUAUUUCUACUACCUAGGAACUGGGCCAGAAGCUGGACUUCCCUAUGGUGCUAACAAAGACGGCAUCAUAUGGGUUGCAACUGAGGGAGCCUUGAAUACACCAAAAGAUCACAUUGGCACCCGCAAUCCUGCUAACAAUGCUGCAAUCGUGCUACAACUUCCUCAAGGAACAACAUUGCCAAAAGGCUUCUACGCAGAAGGGAGCAGAGGCGGCAGUCAAGCCUCUUCUCGUUCCUCAUCACGUAGUCGCAACAGUUCAAGAAAUUCAACUCCAGGCAGCAGUAGGGGAACUUCUCCUGCUAGAAUGGCUGGCAAUGGCGGUGAUGCUGCUCUUGCUUUGCUGCUGCUUGACAGAUUGAACCAGCUUGAGAGCAAAAUGUCUGGUAAAGGCCAACAACAACAAGGCCAAACUGUCACUAAGAAAUCUGCUGCUGAGGCUUCUAAGAAGCCUCGGCAAAAACGUACUGCCACUAAAGCAUACAAUGUAACACAAGCUUUCGGCAGACGUGGUCCAGAACAAACCCAAGGAAAUUUUGGGGACCAGGAACUAAUCAGACAAGGAACUGAUUACAAACAUUGGCCGCAAAUUGCACAAUUUGCCCCCAGCGCUUCAGCGUUCUUCGGAAUGUCGCGCAUUGGCAUGGAAG</w:t>
            </w:r>
          </w:p>
        </w:tc>
      </w:tr>
      <w:tr w14:paraId="1F791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6487" w:type="dxa"/>
            <w:noWrap/>
          </w:tcPr>
          <w:p w14:paraId="48DC93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miRNA21</w:t>
            </w:r>
          </w:p>
        </w:tc>
        <w:tc>
          <w:tcPr>
            <w:tcW w:w="2035" w:type="dxa"/>
            <w:noWrap/>
          </w:tcPr>
          <w:p w14:paraId="251E49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UAGCUUAUCAGACUGAUGUUGA</w:t>
            </w:r>
          </w:p>
        </w:tc>
      </w:tr>
    </w:tbl>
    <w:p w14:paraId="33ABA7A2">
      <w:pPr>
        <w:rPr>
          <w:rFonts w:hint="eastAsia"/>
        </w:rPr>
      </w:pPr>
    </w:p>
    <w:p w14:paraId="3DD50119">
      <w:pPr>
        <w:suppressAutoHyphens/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0AF8568E">
      <w:pPr>
        <w:suppressAutoHyphens/>
        <w:wordWrap w:val="0"/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540CD201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69E05ABD">
      <w:pPr>
        <w:suppressAutoHyphens/>
        <w:wordWrap w:val="0"/>
        <w:adjustRightInd w:val="0"/>
        <w:snapToGrid w:val="0"/>
        <w:spacing w:after="0" w:line="400" w:lineRule="exact"/>
        <w:jc w:val="left"/>
        <w:rPr>
          <w:rFonts w:ascii="Arial" w:hAnsi="Arial" w:cs="Arial"/>
          <w:sz w:val="20"/>
          <w:szCs w:val="20"/>
        </w:rPr>
      </w:pPr>
    </w:p>
    <w:p w14:paraId="56387ED9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403F17A2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529666C3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6CBCA700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18E68753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1DD49F0B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663EFD5D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1B45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14:paraId="65B7DBE9">
            <w:pPr>
              <w:adjustRightInd w:val="0"/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hint="eastAsia" w:ascii="Arial" w:hAnsi="Arial" w:cs="Arial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0</wp:posOffset>
                  </wp:positionV>
                  <wp:extent cx="2607310" cy="2944495"/>
                  <wp:effectExtent l="0" t="0" r="2540" b="8255"/>
                  <wp:wrapTight wrapText="bothSides">
                    <wp:wrapPolygon>
                      <wp:start x="0" y="0"/>
                      <wp:lineTo x="0" y="21521"/>
                      <wp:lineTo x="21542" y="21521"/>
                      <wp:lineTo x="21542" y="0"/>
                      <wp:lineTo x="0" y="0"/>
                    </wp:wrapPolygon>
                  </wp:wrapTight>
                  <wp:docPr id="7" name="图片 7" descr="Supplementary Figure 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Supplementary Figure S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10" cy="294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B0522B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 xml:space="preserve">S1. 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Investigation of the </w:t>
      </w:r>
      <w:r>
        <w:rPr>
          <w:rFonts w:ascii="Arial" w:hAnsi="Arial" w:cs="Arial"/>
          <w:b/>
          <w:bCs/>
          <w:sz w:val="20"/>
          <w:szCs w:val="20"/>
        </w:rPr>
        <w:t xml:space="preserve">sequence dependence for 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S6 </w:t>
      </w:r>
      <w:r>
        <w:rPr>
          <w:rFonts w:ascii="Arial" w:hAnsi="Arial" w:cs="Arial"/>
          <w:b/>
          <w:bCs/>
          <w:sz w:val="20"/>
          <w:szCs w:val="20"/>
        </w:rPr>
        <w:t xml:space="preserve">scaffold RNAs with </w:t>
      </w:r>
      <w:r>
        <w:rPr>
          <w:rFonts w:hint="eastAsia" w:ascii="Arial" w:hAnsi="Arial" w:cs="Arial"/>
          <w:b/>
          <w:bCs/>
          <w:sz w:val="20"/>
          <w:szCs w:val="20"/>
        </w:rPr>
        <w:t>varying G-C%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hint="eastAsia" w:ascii="Arial" w:hAnsi="Arial" w:cs="Arial"/>
          <w:sz w:val="20"/>
          <w:szCs w:val="20"/>
        </w:rPr>
        <w:t>The data demonstrate no apparent sequence-dependent effect; therefore, a S6 scaffold with 40% G-C content was selected.</w:t>
      </w:r>
    </w:p>
    <w:p w14:paraId="1C4164B7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5747BA0F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21B87083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643F14F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54A8B78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9F8426E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A4C9674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EE3C668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247E7EA8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48CA834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7411FD1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A7583B7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AB016FD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2446A80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36D18E2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3F67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6B9681C">
            <w:pPr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0</wp:posOffset>
                  </wp:positionV>
                  <wp:extent cx="5263515" cy="2736850"/>
                  <wp:effectExtent l="0" t="0" r="0" b="0"/>
                  <wp:wrapTight wrapText="bothSides">
                    <wp:wrapPolygon>
                      <wp:start x="156" y="677"/>
                      <wp:lineTo x="156" y="19846"/>
                      <wp:lineTo x="1212" y="20071"/>
                      <wp:lineTo x="1094" y="20748"/>
                      <wp:lineTo x="3557" y="20974"/>
                      <wp:lineTo x="3870" y="20974"/>
                      <wp:lineTo x="14893" y="20823"/>
                      <wp:lineTo x="21459" y="20523"/>
                      <wp:lineTo x="21498" y="1128"/>
                      <wp:lineTo x="8248" y="677"/>
                      <wp:lineTo x="156" y="677"/>
                    </wp:wrapPolygon>
                  </wp:wrapTight>
                  <wp:docPr id="8" name="图片 8" descr="Supplementary Figure 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Supplementary Figure S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936E1D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hint="eastAsia"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Detection of the same regions in a 1000-nt SARS-Cov-2 fragment by SCas12aV2 assay and SHERLOCK. </w:t>
      </w:r>
      <w:r>
        <w:rPr>
          <w:rFonts w:hint="eastAsia" w:ascii="Arial" w:hAnsi="Arial" w:cs="Arial"/>
          <w:sz w:val="20"/>
          <w:szCs w:val="20"/>
        </w:rPr>
        <w:t>The findings demonstrate that the SCas12aV2 assay effectively detects highly structured RNA targets, which are not detectable by the Cas13a-based SHERLOCK method.</w:t>
      </w:r>
    </w:p>
    <w:p w14:paraId="772E7E2D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3C5392B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1FCB13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699BDE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BC96590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98ABEC8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2ADD973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66C92C10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58591F5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FE73B5C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AB8E641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54226B3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0DA6F7C">
      <w:pPr>
        <w:adjustRightInd w:val="0"/>
        <w:snapToGrid w:val="0"/>
        <w:spacing w:after="0" w:line="400" w:lineRule="exact"/>
        <w:rPr>
          <w:rFonts w:ascii="Arial" w:hAnsi="Arial" w:cs="Arial"/>
          <w:b/>
          <w:sz w:val="20"/>
          <w:szCs w:val="20"/>
        </w:rPr>
      </w:pPr>
    </w:p>
    <w:p w14:paraId="56D8C0AC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CED7658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2944396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255DEC0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48429CD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2BF9F191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D76A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9C85A7D">
            <w:pPr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</w:rPr>
              <w:drawing>
                <wp:inline distT="0" distB="0" distL="114300" distR="114300">
                  <wp:extent cx="5266690" cy="1672590"/>
                  <wp:effectExtent l="0" t="0" r="635" b="0"/>
                  <wp:docPr id="3" name="图片 3" descr="Supplementary Figure 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Supplementary Figure S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A95BD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hint="eastAsia"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hint="eastAsia"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Determination of the limit of detection of </w:t>
      </w:r>
      <w:r>
        <w:rPr>
          <w:rFonts w:hint="eastAsia" w:ascii="Arial" w:hAnsi="Arial" w:cs="Arial"/>
          <w:b/>
          <w:bCs/>
          <w:sz w:val="20"/>
          <w:szCs w:val="20"/>
        </w:rPr>
        <w:t>the SCas12aV2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assay </w:t>
      </w:r>
      <w:r>
        <w:rPr>
          <w:rFonts w:ascii="Arial" w:hAnsi="Arial" w:cs="Arial"/>
          <w:b/>
          <w:bCs/>
          <w:sz w:val="20"/>
          <w:szCs w:val="20"/>
        </w:rPr>
        <w:t>for RNA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detection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hint="eastAsia" w:ascii="Arial" w:hAnsi="Arial" w:cs="Arial"/>
          <w:b/>
          <w:bCs/>
          <w:sz w:val="20"/>
          <w:szCs w:val="20"/>
        </w:rPr>
        <w:t>a-c</w:t>
      </w:r>
      <w:r>
        <w:rPr>
          <w:rFonts w:ascii="Arial" w:hAnsi="Arial" w:cs="Arial"/>
          <w:sz w:val="20"/>
          <w:szCs w:val="20"/>
        </w:rPr>
        <w:t xml:space="preserve"> Limit of detection of th</w:t>
      </w:r>
      <w:r>
        <w:rPr>
          <w:rFonts w:hint="eastAsia"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hint="eastAsia"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hint="eastAsia" w:ascii="Arial" w:hAnsi="Arial" w:cs="Arial"/>
          <w:sz w:val="20"/>
          <w:szCs w:val="20"/>
        </w:rPr>
        <w:t xml:space="preserve">TP53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hint="eastAsia"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was determined by a fluorescence assay. The plot illustrates the background-subtracted fluorescence intensity at t = </w:t>
      </w:r>
      <w:r>
        <w:rPr>
          <w:rFonts w:hint="eastAsia"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0 minutes for varying concentrations of the target.</w:t>
      </w:r>
      <w:bookmarkStart w:id="11" w:name="OLE_LINK84"/>
      <w:r>
        <w:rPr>
          <w:rFonts w:ascii="Arial" w:hAnsi="Arial" w:cs="Arial"/>
          <w:sz w:val="20"/>
          <w:szCs w:val="20"/>
        </w:rPr>
        <w:t xml:space="preserve"> </w:t>
      </w:r>
      <w:bookmarkStart w:id="12" w:name="OLE_LINK48"/>
      <w:r>
        <w:rPr>
          <w:rFonts w:ascii="Arial" w:hAnsi="Arial" w:cs="Arial"/>
          <w:sz w:val="20"/>
          <w:szCs w:val="20"/>
        </w:rPr>
        <w:t xml:space="preserve">All the experiments were conducted in triplicate </w:t>
      </w:r>
      <w:r>
        <w:rPr>
          <w:rFonts w:hint="eastAsia" w:ascii="Arial" w:hAnsi="Arial" w:cs="Arial"/>
          <w:sz w:val="20"/>
          <w:szCs w:val="20"/>
        </w:rPr>
        <w:t xml:space="preserve">and error </w:t>
      </w:r>
      <w:r>
        <w:rPr>
          <w:rFonts w:ascii="Arial" w:hAnsi="Arial" w:cs="Arial"/>
          <w:sz w:val="20"/>
          <w:szCs w:val="20"/>
        </w:rPr>
        <w:t>bars represent mean value +/− SD (n =3), and statistical analysis was conducted using a two-tailed t-test. Statistical significance was determined as follows: ns (not significant) for p &gt; 0.05, * for p ≤ 0.05, ** for p ≤ 0.01, *** for p ≤ 0.001, and **** for p ≤ 0.0001.</w:t>
      </w:r>
      <w:bookmarkEnd w:id="11"/>
      <w:bookmarkEnd w:id="12"/>
    </w:p>
    <w:p w14:paraId="20844B3A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45C066A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AA5817C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75C7464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CC08BD3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5B8C38F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B861961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84672A7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C3F84E0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0D561C6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FBD019B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EA92E05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21CEF9AA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893E9CC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F046857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45901FD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457F665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4B61009E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1444D02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5F6E72E3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635A6B21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1A4398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EFCFC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77824AE">
            <w:pPr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0</wp:posOffset>
                  </wp:positionV>
                  <wp:extent cx="4336415" cy="3317875"/>
                  <wp:effectExtent l="0" t="0" r="26035" b="25400"/>
                  <wp:wrapTight wrapText="bothSides">
                    <wp:wrapPolygon>
                      <wp:start x="0" y="0"/>
                      <wp:lineTo x="0" y="21517"/>
                      <wp:lineTo x="21540" y="21517"/>
                      <wp:lineTo x="21540" y="0"/>
                      <wp:lineTo x="0" y="0"/>
                    </wp:wrapPolygon>
                  </wp:wrapTight>
                  <wp:docPr id="5" name="图片 5" descr="Supplementary Figure 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Supplementary Figure S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415" cy="331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B89A21">
      <w:pPr>
        <w:adjustRightInd w:val="0"/>
        <w:snapToGri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4CADEFE">
      <w:pPr>
        <w:widowControl/>
        <w:adjustRightInd w:val="0"/>
        <w:snapToGrid w:val="0"/>
        <w:spacing w:after="0" w:line="400" w:lineRule="exact"/>
        <w:contextualSpacing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Fig. S</w:t>
      </w:r>
      <w:r>
        <w:rPr>
          <w:rFonts w:hint="eastAsia"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The linear relationship between fluorescence and 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TP53 F1 target </w:t>
      </w:r>
      <w:r>
        <w:rPr>
          <w:rFonts w:ascii="Arial" w:hAnsi="Arial" w:cs="Arial"/>
          <w:b/>
          <w:bCs/>
          <w:sz w:val="20"/>
          <w:szCs w:val="20"/>
        </w:rPr>
        <w:t xml:space="preserve">concentration. </w:t>
      </w:r>
      <w:r>
        <w:rPr>
          <w:rFonts w:ascii="Arial" w:hAnsi="Arial" w:cs="Arial"/>
          <w:sz w:val="20"/>
          <w:szCs w:val="20"/>
        </w:rPr>
        <w:t>Error bars represent the standard derivation of three repetitive experiments. Source data are provided as a Source Data ﬁle.</w:t>
      </w:r>
    </w:p>
    <w:p w14:paraId="12DB8BAB">
      <w:pPr>
        <w:adjustRightInd w:val="0"/>
        <w:snapToGrid w:val="0"/>
        <w:spacing w:after="0" w:line="400" w:lineRule="exact"/>
        <w:contextualSpacing/>
        <w:rPr>
          <w:rFonts w:ascii="Arial" w:hAnsi="Arial" w:cs="Arial"/>
          <w:sz w:val="20"/>
          <w:szCs w:val="20"/>
        </w:rPr>
      </w:pPr>
    </w:p>
    <w:p w14:paraId="7B7D6EEF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3DFDA0E5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E00FCEF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899FB44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5B0955C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2B51263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2B4EDD5F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4B30D8A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F225D64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4D633F27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21A37E0C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668EDAED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AE53E0F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A04DC84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0DC5E9EC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A7ABBB0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9182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EBA9E4B">
            <w:pPr>
              <w:tabs>
                <w:tab w:val="left" w:pos="746"/>
              </w:tabs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</w:rPr>
              <w:tab/>
            </w:r>
            <w:r>
              <w:rPr>
                <w:rFonts w:hint="eastAsia" w:ascii="Arial" w:hAnsi="Arial" w:cs="Arial"/>
                <w:b/>
                <w:bCs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145415</wp:posOffset>
                  </wp:positionV>
                  <wp:extent cx="5271135" cy="3354705"/>
                  <wp:effectExtent l="0" t="0" r="5715" b="0"/>
                  <wp:wrapTight wrapText="bothSides">
                    <wp:wrapPolygon>
                      <wp:start x="0" y="0"/>
                      <wp:lineTo x="0" y="19257"/>
                      <wp:lineTo x="7533" y="19625"/>
                      <wp:lineTo x="7455" y="20055"/>
                      <wp:lineTo x="7455" y="20484"/>
                      <wp:lineTo x="7533" y="20852"/>
                      <wp:lineTo x="8197" y="21281"/>
                      <wp:lineTo x="8509" y="21404"/>
                      <wp:lineTo x="9250" y="21404"/>
                      <wp:lineTo x="9602" y="21281"/>
                      <wp:lineTo x="10343" y="20790"/>
                      <wp:lineTo x="10382" y="19932"/>
                      <wp:lineTo x="10304" y="19625"/>
                      <wp:lineTo x="21545" y="19257"/>
                      <wp:lineTo x="21545" y="0"/>
                      <wp:lineTo x="0" y="0"/>
                    </wp:wrapPolygon>
                  </wp:wrapTight>
                  <wp:docPr id="6" name="图片 6" descr="Supplementary Figure S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Supplementary Figure S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35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AEECF5">
      <w:pPr>
        <w:adjustRightInd w:val="0"/>
        <w:snapToGri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4F7A031">
      <w:pPr>
        <w:widowControl/>
        <w:adjustRightInd w:val="0"/>
        <w:snapToGrid w:val="0"/>
        <w:spacing w:after="0" w:line="400" w:lineRule="exact"/>
        <w:contextualSpacing/>
        <w:rPr>
          <w:rFonts w:ascii="Arial" w:hAnsi="Arial" w:eastAsia="宋体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Fig. S</w:t>
      </w:r>
      <w:r>
        <w:rPr>
          <w:rFonts w:hint="eastAsia"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Determination of the limit of detection of 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the </w:t>
      </w:r>
      <w:r>
        <w:rPr>
          <w:rFonts w:ascii="Arial" w:hAnsi="Arial" w:cs="Arial"/>
          <w:b/>
          <w:bCs/>
          <w:sz w:val="20"/>
          <w:szCs w:val="20"/>
        </w:rPr>
        <w:t xml:space="preserve">SCas12a fluorescence assay using </w:t>
      </w:r>
      <w:r>
        <w:rPr>
          <w:rFonts w:hint="eastAsia" w:ascii="Arial" w:hAnsi="Arial" w:cs="Arial"/>
          <w:b/>
          <w:bCs/>
          <w:sz w:val="20"/>
          <w:szCs w:val="20"/>
        </w:rPr>
        <w:t>pooled S6.1 activators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hint="eastAsia"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 plot illustrates the background-subtracted fluorescence intensity at t</w:t>
      </w:r>
      <w:r>
        <w:rPr>
          <w:rFonts w:hint="eastAsia"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= </w:t>
      </w:r>
      <w:r>
        <w:rPr>
          <w:rFonts w:hint="eastAsia"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0 minutes for varying concentrations of the target. </w:t>
      </w:r>
      <w:r>
        <w:rPr>
          <w:rFonts w:hint="eastAsia" w:ascii="Arial" w:hAnsi="Arial" w:cs="Arial"/>
          <w:sz w:val="20"/>
          <w:szCs w:val="20"/>
        </w:rPr>
        <w:t xml:space="preserve">Four distinct regions of a SARS-Cov-2 fragment were chosen as the targets and their corresponding S6.1 activators were employed. </w:t>
      </w:r>
      <w:r>
        <w:rPr>
          <w:rFonts w:ascii="Arial" w:hAnsi="Arial" w:cs="Arial"/>
          <w:sz w:val="20"/>
          <w:szCs w:val="20"/>
        </w:rPr>
        <w:t>Error bars indicate the mean value ± standard deviation (n=3), and statistical analysis was conducted using a two-tailed t-test. Statistical significance was determined as follows: ns (not significant) for p &gt; 0.05, * for p ≤ 0.05, ** for p ≤ 0.01, *** for p ≤ 0.001, and **** for p ≤ 0.0001.</w:t>
      </w:r>
      <w:r>
        <w:rPr>
          <w:rFonts w:hint="eastAsia" w:ascii="Arial" w:hAnsi="Arial" w:cs="Arial"/>
          <w:sz w:val="20"/>
          <w:szCs w:val="20"/>
        </w:rPr>
        <w:t xml:space="preserve"> Source data are provided as a Source Data ﬁle.</w:t>
      </w:r>
    </w:p>
    <w:p w14:paraId="23E79287">
      <w:pPr>
        <w:adjustRightInd w:val="0"/>
        <w:snapToGrid w:val="0"/>
        <w:spacing w:after="0" w:line="400" w:lineRule="exact"/>
        <w:contextualSpacing/>
        <w:rPr>
          <w:rFonts w:ascii="Arial" w:hAnsi="Arial" w:cs="Arial"/>
          <w:sz w:val="20"/>
          <w:szCs w:val="20"/>
        </w:rPr>
      </w:pPr>
    </w:p>
    <w:p w14:paraId="3577C206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5283FB68">
      <w:pPr>
        <w:adjustRightInd w:val="0"/>
        <w:snapToGrid w:val="0"/>
        <w:spacing w:after="0" w:line="400" w:lineRule="exact"/>
        <w:rPr>
          <w:rFonts w:ascii="Arial" w:hAnsi="Arial" w:cs="Arial"/>
          <w:sz w:val="20"/>
          <w:szCs w:val="20"/>
        </w:rPr>
      </w:pPr>
    </w:p>
    <w:p w14:paraId="45EFE782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16421BA7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4DF45459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785B941F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2E32A1B6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3E5054D6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5FD52C9D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p w14:paraId="4154D2AE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bookmarkEnd w:id="0"/>
    <w:p w14:paraId="0CB9DEBB">
      <w:pPr>
        <w:adjustRightInd w:val="0"/>
        <w:snapToGrid w:val="0"/>
        <w:spacing w:after="0" w:line="400" w:lineRule="exact"/>
        <w:rPr>
          <w:rFonts w:ascii="Arial" w:hAnsi="Arial" w:cs="Arial"/>
          <w:b/>
          <w:bCs/>
          <w:sz w:val="20"/>
          <w:szCs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xNjE0NjBhZDY2MDgxODg1ZmJjYjAwYWI3MjcxYmYifQ=="/>
  </w:docVars>
  <w:rsids>
    <w:rsidRoot w:val="006B61A6"/>
    <w:rsid w:val="00012D84"/>
    <w:rsid w:val="00041817"/>
    <w:rsid w:val="00043A66"/>
    <w:rsid w:val="00044780"/>
    <w:rsid w:val="00063994"/>
    <w:rsid w:val="000707BB"/>
    <w:rsid w:val="0012414B"/>
    <w:rsid w:val="0016712D"/>
    <w:rsid w:val="001844E1"/>
    <w:rsid w:val="001E6C59"/>
    <w:rsid w:val="002D5A66"/>
    <w:rsid w:val="0036663B"/>
    <w:rsid w:val="00394F89"/>
    <w:rsid w:val="003A0C8A"/>
    <w:rsid w:val="003A215A"/>
    <w:rsid w:val="003E136F"/>
    <w:rsid w:val="00450464"/>
    <w:rsid w:val="004E2005"/>
    <w:rsid w:val="00521C38"/>
    <w:rsid w:val="00586FEC"/>
    <w:rsid w:val="00664CBE"/>
    <w:rsid w:val="006B61A6"/>
    <w:rsid w:val="006C3C90"/>
    <w:rsid w:val="00772297"/>
    <w:rsid w:val="007A0BB7"/>
    <w:rsid w:val="007B3D71"/>
    <w:rsid w:val="00863698"/>
    <w:rsid w:val="00875FBA"/>
    <w:rsid w:val="00896503"/>
    <w:rsid w:val="008A7409"/>
    <w:rsid w:val="008E3F2C"/>
    <w:rsid w:val="00937745"/>
    <w:rsid w:val="009601E2"/>
    <w:rsid w:val="009E6759"/>
    <w:rsid w:val="00A60A81"/>
    <w:rsid w:val="00AA6795"/>
    <w:rsid w:val="00B46956"/>
    <w:rsid w:val="00B616C0"/>
    <w:rsid w:val="00B65AEB"/>
    <w:rsid w:val="00BC03EE"/>
    <w:rsid w:val="00C42056"/>
    <w:rsid w:val="00C73186"/>
    <w:rsid w:val="00C92331"/>
    <w:rsid w:val="00CD6D50"/>
    <w:rsid w:val="00CE34DA"/>
    <w:rsid w:val="00CE628D"/>
    <w:rsid w:val="00D035B6"/>
    <w:rsid w:val="00D03E37"/>
    <w:rsid w:val="00D41F59"/>
    <w:rsid w:val="00DA4085"/>
    <w:rsid w:val="00DC516B"/>
    <w:rsid w:val="00DF702A"/>
    <w:rsid w:val="00E8774C"/>
    <w:rsid w:val="00ED490E"/>
    <w:rsid w:val="00F32FCA"/>
    <w:rsid w:val="00FA1304"/>
    <w:rsid w:val="00FD1983"/>
    <w:rsid w:val="00FD7710"/>
    <w:rsid w:val="02B402D9"/>
    <w:rsid w:val="036C6D99"/>
    <w:rsid w:val="04A40A52"/>
    <w:rsid w:val="058232B4"/>
    <w:rsid w:val="05EF21A1"/>
    <w:rsid w:val="0721282E"/>
    <w:rsid w:val="07C136C9"/>
    <w:rsid w:val="07E4139F"/>
    <w:rsid w:val="0811001F"/>
    <w:rsid w:val="08C82BE7"/>
    <w:rsid w:val="09EB0C44"/>
    <w:rsid w:val="0B15311A"/>
    <w:rsid w:val="0C9B3C30"/>
    <w:rsid w:val="0DA90E87"/>
    <w:rsid w:val="0FAB71FC"/>
    <w:rsid w:val="103C5FE2"/>
    <w:rsid w:val="11263F89"/>
    <w:rsid w:val="13C80B59"/>
    <w:rsid w:val="14327E28"/>
    <w:rsid w:val="148B578A"/>
    <w:rsid w:val="14C021B2"/>
    <w:rsid w:val="168310E2"/>
    <w:rsid w:val="1AAC7D23"/>
    <w:rsid w:val="1D461309"/>
    <w:rsid w:val="1D5442BA"/>
    <w:rsid w:val="1FE43FA1"/>
    <w:rsid w:val="20181E1B"/>
    <w:rsid w:val="21165730"/>
    <w:rsid w:val="22966913"/>
    <w:rsid w:val="22D24889"/>
    <w:rsid w:val="22D84291"/>
    <w:rsid w:val="23E31F76"/>
    <w:rsid w:val="25203B92"/>
    <w:rsid w:val="287A36F4"/>
    <w:rsid w:val="28A11F3F"/>
    <w:rsid w:val="2A007C29"/>
    <w:rsid w:val="2FE64344"/>
    <w:rsid w:val="302B57D4"/>
    <w:rsid w:val="313308E4"/>
    <w:rsid w:val="318531A6"/>
    <w:rsid w:val="34222D3E"/>
    <w:rsid w:val="35922BAF"/>
    <w:rsid w:val="359F3E3C"/>
    <w:rsid w:val="36C12635"/>
    <w:rsid w:val="36D1377F"/>
    <w:rsid w:val="37704640"/>
    <w:rsid w:val="3A5650D4"/>
    <w:rsid w:val="3A5E7E93"/>
    <w:rsid w:val="3C074E47"/>
    <w:rsid w:val="3C56419A"/>
    <w:rsid w:val="3C6127A9"/>
    <w:rsid w:val="3CA54836"/>
    <w:rsid w:val="3E38205E"/>
    <w:rsid w:val="3F88308D"/>
    <w:rsid w:val="3FD148EA"/>
    <w:rsid w:val="41570E57"/>
    <w:rsid w:val="440E29C6"/>
    <w:rsid w:val="444A3D79"/>
    <w:rsid w:val="445826E4"/>
    <w:rsid w:val="445B4E7C"/>
    <w:rsid w:val="44B84EA0"/>
    <w:rsid w:val="455530C7"/>
    <w:rsid w:val="461131F2"/>
    <w:rsid w:val="469519CD"/>
    <w:rsid w:val="49156DF5"/>
    <w:rsid w:val="498B5309"/>
    <w:rsid w:val="49D46CB0"/>
    <w:rsid w:val="4C5C2F8D"/>
    <w:rsid w:val="4DC606E5"/>
    <w:rsid w:val="4EBF78A0"/>
    <w:rsid w:val="501716A5"/>
    <w:rsid w:val="50F43794"/>
    <w:rsid w:val="53185E60"/>
    <w:rsid w:val="542E3360"/>
    <w:rsid w:val="56274D2B"/>
    <w:rsid w:val="57BB19B1"/>
    <w:rsid w:val="592F31F7"/>
    <w:rsid w:val="59E051FD"/>
    <w:rsid w:val="5A6E21F4"/>
    <w:rsid w:val="5B515EFD"/>
    <w:rsid w:val="5B7008D2"/>
    <w:rsid w:val="5B7B51DE"/>
    <w:rsid w:val="5BD5525B"/>
    <w:rsid w:val="5DEA39B6"/>
    <w:rsid w:val="5EDA046D"/>
    <w:rsid w:val="5F6B3FB9"/>
    <w:rsid w:val="60DD0B2B"/>
    <w:rsid w:val="622540F5"/>
    <w:rsid w:val="63974B7F"/>
    <w:rsid w:val="652E506F"/>
    <w:rsid w:val="67BC1DD1"/>
    <w:rsid w:val="68027BC3"/>
    <w:rsid w:val="68100E01"/>
    <w:rsid w:val="6A93776C"/>
    <w:rsid w:val="6AB75FD9"/>
    <w:rsid w:val="6C2A3B74"/>
    <w:rsid w:val="6C2D7B91"/>
    <w:rsid w:val="6C9E4F92"/>
    <w:rsid w:val="6CEC4A5C"/>
    <w:rsid w:val="6D05280E"/>
    <w:rsid w:val="6F190B3E"/>
    <w:rsid w:val="6F191ACB"/>
    <w:rsid w:val="6F6C0FFB"/>
    <w:rsid w:val="6FEE1FCA"/>
    <w:rsid w:val="707762D7"/>
    <w:rsid w:val="70A818F8"/>
    <w:rsid w:val="7161762A"/>
    <w:rsid w:val="73CD63C4"/>
    <w:rsid w:val="73E21E46"/>
    <w:rsid w:val="79993CFD"/>
    <w:rsid w:val="7B2A7C2F"/>
    <w:rsid w:val="7C7669AE"/>
    <w:rsid w:val="7D780043"/>
    <w:rsid w:val="7E06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3">
    <w:name w:val="header"/>
    <w:basedOn w:val="1"/>
    <w:link w:val="9"/>
    <w:autoRedefine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5">
    <w:name w:val="Table Grid"/>
    <w:basedOn w:val="4"/>
    <w:autoRedefine/>
    <w:qFormat/>
    <w:uiPriority w:val="99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3"/>
    <w:autoRedefine/>
    <w:qFormat/>
    <w:uiPriority w:val="99"/>
  </w:style>
  <w:style w:type="character" w:customStyle="1" w:styleId="10">
    <w:name w:val="页脚 字符"/>
    <w:basedOn w:val="6"/>
    <w:link w:val="2"/>
    <w:autoRedefine/>
    <w:qFormat/>
    <w:uiPriority w:val="99"/>
  </w:style>
  <w:style w:type="paragraph" w:customStyle="1" w:styleId="11">
    <w:name w:val="Authors"/>
    <w:basedOn w:val="1"/>
    <w:autoRedefine/>
    <w:qFormat/>
    <w:uiPriority w:val="0"/>
    <w:pPr>
      <w:widowControl/>
      <w:spacing w:before="120" w:after="120" w:line="320" w:lineRule="exact"/>
      <w:jc w:val="left"/>
    </w:pPr>
    <w:rPr>
      <w:rFonts w:ascii="Arial" w:hAnsi="Arial" w:eastAsia="MS Mincho" w:cs="Times New Roman"/>
      <w:kern w:val="0"/>
      <w:szCs w:val="24"/>
      <w:lang w:val="en-GB" w:eastAsia="ja-JP"/>
      <w14:ligatures w14:val="none"/>
    </w:rPr>
  </w:style>
  <w:style w:type="paragraph" w:styleId="12">
    <w:name w:val="List Paragraph"/>
    <w:basedOn w:val="1"/>
    <w:autoRedefine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629</Words>
  <Characters>5809</Characters>
  <Lines>47</Lines>
  <Paragraphs>13</Paragraphs>
  <TotalTime>37</TotalTime>
  <ScaleCrop>false</ScaleCrop>
  <LinksUpToDate>false</LinksUpToDate>
  <CharactersWithSpaces>6320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2023-12-09T12:35:00Z</dcterms:created>
  <dc:creator>yi liu</dc:creator>
  <cp:lastModifiedBy>刘奕</cp:lastModifiedBy>
  <dcterms:modified xsi:type="dcterms:W3CDTF">2024-09-25T16:31:33Z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A6C3AB5836D84969A5BFA5BE782759A5_12</vt:lpwstr>
  </property>
</Properties>
</file>