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2DDF9" w14:textId="3859B17E" w:rsidR="001123FF" w:rsidRDefault="007D2F77" w:rsidP="007D2F77">
      <w:pPr>
        <w:jc w:val="both"/>
        <w:rPr>
          <w:rFonts w:ascii="Palatino Linotype" w:hAnsi="Palatino Linotype" w:cstheme="majorBidi"/>
          <w:lang w:bidi="fa-IR"/>
        </w:rPr>
      </w:pPr>
      <w:r w:rsidRPr="007D2F77">
        <w:rPr>
          <w:noProof/>
          <w:lang w:bidi="fa-IR"/>
        </w:rPr>
        <w:drawing>
          <wp:inline distT="0" distB="0" distL="0" distR="0" wp14:anchorId="2BE21712" wp14:editId="4F81F811">
            <wp:extent cx="5943600" cy="363791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3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EA5180" w14:textId="4FE4E862" w:rsidR="001123FF" w:rsidRPr="00BB1B34" w:rsidRDefault="001123FF" w:rsidP="001123FF">
      <w:pPr>
        <w:jc w:val="both"/>
        <w:rPr>
          <w:rFonts w:ascii="Palatino Linotype" w:hAnsi="Palatino Linotype" w:cstheme="majorBidi"/>
          <w:lang w:bidi="fa-IR"/>
        </w:rPr>
      </w:pPr>
      <w:r w:rsidRPr="001123FF">
        <w:rPr>
          <w:rFonts w:ascii="Palatino Linotype" w:hAnsi="Palatino Linotype" w:cstheme="majorBidi"/>
          <w:b/>
          <w:bCs/>
          <w:lang w:bidi="fa-IR"/>
        </w:rPr>
        <w:t>Supplementary Figure S</w:t>
      </w:r>
      <w:r w:rsidR="009E5B04">
        <w:rPr>
          <w:rFonts w:ascii="Palatino Linotype" w:hAnsi="Palatino Linotype" w:cstheme="majorBidi"/>
          <w:b/>
          <w:bCs/>
          <w:lang w:bidi="fa-IR"/>
        </w:rPr>
        <w:t>2</w:t>
      </w:r>
      <w:r w:rsidRPr="001123FF">
        <w:rPr>
          <w:rFonts w:ascii="Palatino Linotype" w:hAnsi="Palatino Linotype" w:cstheme="majorBidi"/>
          <w:b/>
          <w:bCs/>
          <w:lang w:bidi="fa-IR"/>
        </w:rPr>
        <w:t>.</w:t>
      </w:r>
      <w:r w:rsidRPr="00BB1B34">
        <w:rPr>
          <w:rFonts w:ascii="Palatino Linotype" w:hAnsi="Palatino Linotype" w:cstheme="majorBidi"/>
          <w:b/>
          <w:bCs/>
          <w:lang w:bidi="fa-IR"/>
        </w:rPr>
        <w:t xml:space="preserve"> </w:t>
      </w:r>
      <w:r w:rsidRPr="00184F71">
        <w:rPr>
          <w:rFonts w:ascii="Palatino Linotype" w:hAnsi="Palatino Linotype" w:cstheme="majorBidi"/>
          <w:b/>
          <w:bCs/>
          <w:lang w:bidi="fa-IR"/>
        </w:rPr>
        <w:t>Identification of genes and profile of amino acids</w:t>
      </w:r>
      <w:r w:rsidRPr="00184F71">
        <w:rPr>
          <w:rFonts w:ascii="Palatino Linotype" w:hAnsi="Palatino Linotype" w:cstheme="majorBidi"/>
          <w:lang w:bidi="fa-IR"/>
        </w:rPr>
        <w:t xml:space="preserve">. </w:t>
      </w:r>
      <w:r w:rsidRPr="00184F71">
        <w:rPr>
          <w:rFonts w:ascii="Palatino Linotype" w:hAnsi="Palatino Linotype" w:cstheme="majorBidi"/>
          <w:b/>
          <w:bCs/>
          <w:lang w:bidi="fa-IR"/>
        </w:rPr>
        <w:t xml:space="preserve">Data-driven results related to literature review (A). </w:t>
      </w:r>
      <w:r w:rsidRPr="00184F71">
        <w:rPr>
          <w:rFonts w:ascii="Palatino Linotype" w:hAnsi="Palatino Linotype" w:cstheme="majorBidi"/>
          <w:lang w:bidi="fa-IR"/>
        </w:rPr>
        <w:t>Based on a literature review about GBM, the most commonly identified genes include six items: isocitrate dehydrogenase (</w:t>
      </w:r>
      <w:r w:rsidRPr="00BB1B34">
        <w:rPr>
          <w:rFonts w:ascii="Palatino Linotype" w:hAnsi="Palatino Linotype" w:cstheme="majorBidi"/>
          <w:lang w:bidi="fa-IR"/>
        </w:rPr>
        <w:t>NADP (</w:t>
      </w:r>
      <w:r w:rsidRPr="00184F71">
        <w:rPr>
          <w:rFonts w:ascii="Palatino Linotype" w:hAnsi="Palatino Linotype" w:cstheme="majorBidi"/>
          <w:lang w:bidi="fa-IR"/>
        </w:rPr>
        <w:t>+)) 1 (IDH1), isocitrate dehydrogenase (</w:t>
      </w:r>
      <w:r w:rsidRPr="00BB1B34">
        <w:rPr>
          <w:rFonts w:ascii="Palatino Linotype" w:hAnsi="Palatino Linotype" w:cstheme="majorBidi"/>
          <w:lang w:bidi="fa-IR"/>
        </w:rPr>
        <w:t>NADP (</w:t>
      </w:r>
      <w:r w:rsidRPr="00184F71">
        <w:rPr>
          <w:rFonts w:ascii="Palatino Linotype" w:hAnsi="Palatino Linotype" w:cstheme="majorBidi"/>
          <w:lang w:bidi="fa-IR"/>
        </w:rPr>
        <w:t xml:space="preserve">+)) 2 (IDH2), telomerase reverse transcriptase (TERT), B-Raf proto-oncogene, serine/threonine kinase (BRAF), epidermal growth factor receptor (EGFR), and O-6-methylguanine-DNA methyltransferase (MGMT). </w:t>
      </w:r>
      <w:r w:rsidRPr="00184F71">
        <w:rPr>
          <w:rFonts w:ascii="Palatino Linotype" w:hAnsi="Palatino Linotype" w:cstheme="majorBidi"/>
          <w:b/>
          <w:bCs/>
          <w:lang w:bidi="fa-IR"/>
        </w:rPr>
        <w:t xml:space="preserve">Network reconstruction-related data (B). </w:t>
      </w:r>
      <w:r w:rsidRPr="00184F71">
        <w:rPr>
          <w:rFonts w:ascii="Palatino Linotype" w:hAnsi="Palatino Linotype" w:cstheme="majorBidi"/>
          <w:lang w:bidi="fa-IR"/>
        </w:rPr>
        <w:t>The final gene list for network reconstruction was obtained from the combination of five KEGG signaling pathway families (cholesterol-related signaling pathway, cytoskeleton remodeling, fatty acid metabolism, metabolism, and autophagy) and 5 keywords (metabolism, autophagy, secretory autophagy, cytoskeleton remodeling, and top 20 ranked EMT-related genes) used for the literature review on glioblastoma</w:t>
      </w:r>
      <w:r w:rsidRPr="00184F71">
        <w:rPr>
          <w:rFonts w:ascii="Palatino Linotype" w:hAnsi="Palatino Linotype" w:cstheme="majorBidi"/>
          <w:b/>
          <w:bCs/>
          <w:lang w:bidi="fa-IR"/>
        </w:rPr>
        <w:t>.</w:t>
      </w:r>
      <w:r w:rsidRPr="00184F71">
        <w:rPr>
          <w:rFonts w:ascii="Palatino Linotype" w:hAnsi="Palatino Linotype" w:cstheme="majorBidi"/>
          <w:lang w:bidi="fa-IR"/>
        </w:rPr>
        <w:t xml:space="preserve"> </w:t>
      </w:r>
      <w:r w:rsidRPr="00184F71">
        <w:rPr>
          <w:rFonts w:ascii="Palatino Linotype" w:hAnsi="Palatino Linotype" w:cstheme="majorBidi"/>
          <w:b/>
          <w:bCs/>
          <w:lang w:bidi="fa-IR"/>
        </w:rPr>
        <w:t xml:space="preserve">Protein-protein interaction network reconstruction (C). </w:t>
      </w:r>
      <w:r w:rsidRPr="00184F71">
        <w:rPr>
          <w:rFonts w:ascii="Palatino Linotype" w:hAnsi="Palatino Linotype" w:cstheme="majorBidi"/>
          <w:lang w:bidi="fa-IR"/>
        </w:rPr>
        <w:t xml:space="preserve">In the next step, 1943 genes were used to reconstruct the protein-protein interaction network. Considering the results of topological criteria, ONcoDB (mRNA Expression), and Human Protein Atlas, 6 genes - ubiquitin C (UBC), fibronectin 1 (FN1), epidermal growth factor receptor (EGFR), catenin beta 1 (CTNNB1), Jun proto-oncogene, AP-1 transcription factor subunit (JUN), mitogen-activated protein kinase 1 (MAPK1) were identified. </w:t>
      </w:r>
      <w:r w:rsidRPr="00184F71">
        <w:rPr>
          <w:rFonts w:ascii="Palatino Linotype" w:hAnsi="Palatino Linotype" w:cstheme="majorBidi"/>
          <w:b/>
          <w:bCs/>
          <w:lang w:bidi="fa-IR"/>
        </w:rPr>
        <w:t>Amino acid profiles (D)</w:t>
      </w:r>
      <w:r w:rsidRPr="00184F71">
        <w:rPr>
          <w:rFonts w:ascii="Palatino Linotype" w:hAnsi="Palatino Linotype" w:cstheme="majorBidi"/>
          <w:lang w:bidi="fa-IR"/>
        </w:rPr>
        <w:t>. Comparative analyzing amino acids between patients with recurrent and metastatic GBM and reference value using tandem mass spectrometry (MS/MS). The amino acids that exhibited variations compared to the reference value were acquired to study metabolite-gene interaction.</w:t>
      </w:r>
    </w:p>
    <w:p w14:paraId="4FDE9D31" w14:textId="77777777" w:rsidR="000B68E9" w:rsidRDefault="000B68E9"/>
    <w:sectPr w:rsidR="000B68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CyMDM0NbA0NjI1NLFQ0lEKTi0uzszPAykwqgUANUN3oCwAAAA="/>
  </w:docVars>
  <w:rsids>
    <w:rsidRoot w:val="001123FF"/>
    <w:rsid w:val="000B68E9"/>
    <w:rsid w:val="001123FF"/>
    <w:rsid w:val="007D2F77"/>
    <w:rsid w:val="009E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A11E2A"/>
  <w15:chartTrackingRefBased/>
  <w15:docId w15:val="{FF5E4B63-2838-44A8-AD3A-DADFB3126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3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222</Words>
  <Characters>1517</Characters>
  <Application>Microsoft Office Word</Application>
  <DocSecurity>0</DocSecurity>
  <Lines>20</Lines>
  <Paragraphs>1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barzegar</dc:creator>
  <cp:keywords/>
  <dc:description/>
  <cp:lastModifiedBy>amir barzegar</cp:lastModifiedBy>
  <cp:revision>3</cp:revision>
  <dcterms:created xsi:type="dcterms:W3CDTF">2024-09-08T16:22:00Z</dcterms:created>
  <dcterms:modified xsi:type="dcterms:W3CDTF">2024-09-17T12:19:00Z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deadface-f3b6-47a9-8342-6816f868d8ee</vt:lpwstr>
  </property>
</Properties>
</file>