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F32D2" w14:textId="77777777" w:rsidR="004B2342" w:rsidRDefault="00C609A2" w:rsidP="00516A70">
      <w:pPr>
        <w:autoSpaceDE w:val="0"/>
        <w:autoSpaceDN w:val="0"/>
        <w:adjustRightInd w:val="0"/>
        <w:spacing w:line="360" w:lineRule="auto"/>
        <w:jc w:val="center"/>
        <w:rPr>
          <w:rFonts w:ascii="Times New Roman" w:hAnsi="Times New Roman" w:cs="Times New Roman"/>
          <w:b/>
          <w:lang w:eastAsia="zh-CN"/>
        </w:rPr>
      </w:pPr>
      <w:bookmarkStart w:id="0" w:name="_Hlk174546185"/>
      <w:bookmarkEnd w:id="0"/>
      <w:r w:rsidRPr="00B610BE">
        <w:rPr>
          <w:rFonts w:ascii="Times New Roman" w:eastAsia="Times New Roman" w:hAnsi="Times New Roman" w:cs="Times New Roman"/>
          <w:b/>
        </w:rPr>
        <w:t>Supplementary Information 1 (SI1) for</w:t>
      </w:r>
      <w:r w:rsidR="00E66F57">
        <w:rPr>
          <w:rFonts w:ascii="Times New Roman" w:hAnsi="Times New Roman" w:cs="Times New Roman" w:hint="eastAsia"/>
          <w:b/>
          <w:lang w:eastAsia="zh-CN"/>
        </w:rPr>
        <w:t xml:space="preserve"> </w:t>
      </w:r>
    </w:p>
    <w:p w14:paraId="4EDAE4D7" w14:textId="1BDE6BED" w:rsidR="00C609A2" w:rsidRDefault="00E66F57" w:rsidP="00516A70">
      <w:pPr>
        <w:autoSpaceDE w:val="0"/>
        <w:autoSpaceDN w:val="0"/>
        <w:adjustRightInd w:val="0"/>
        <w:spacing w:line="360" w:lineRule="auto"/>
        <w:jc w:val="center"/>
        <w:rPr>
          <w:rFonts w:ascii="Times New Roman" w:hAnsi="Times New Roman" w:cs="Times New Roman"/>
          <w:bCs/>
          <w:lang w:eastAsia="zh-CN"/>
        </w:rPr>
      </w:pPr>
      <w:r w:rsidRPr="004B2342">
        <w:rPr>
          <w:rFonts w:ascii="Times New Roman" w:hAnsi="Times New Roman" w:cs="Times New Roman"/>
          <w:bCs/>
          <w:lang w:eastAsia="zh-CN"/>
        </w:rPr>
        <w:t>Multi-environment Microbial Risk Assessment Based on Metagenomic Absolute Quantification with Cellular Internal Standard</w:t>
      </w:r>
    </w:p>
    <w:p w14:paraId="161BBF92" w14:textId="77777777" w:rsidR="003A54B0" w:rsidRDefault="003A54B0" w:rsidP="00516A70">
      <w:pPr>
        <w:autoSpaceDE w:val="0"/>
        <w:autoSpaceDN w:val="0"/>
        <w:adjustRightInd w:val="0"/>
        <w:spacing w:line="360" w:lineRule="auto"/>
        <w:jc w:val="center"/>
        <w:rPr>
          <w:rFonts w:ascii="Times New Roman" w:hAnsi="Times New Roman" w:cs="Times New Roman"/>
          <w:bCs/>
          <w:lang w:eastAsia="zh-CN"/>
        </w:rPr>
      </w:pPr>
    </w:p>
    <w:p w14:paraId="71323799" w14:textId="77777777" w:rsidR="003A54B0" w:rsidRPr="004B2342" w:rsidRDefault="003A54B0" w:rsidP="00516A70">
      <w:pPr>
        <w:autoSpaceDE w:val="0"/>
        <w:autoSpaceDN w:val="0"/>
        <w:adjustRightInd w:val="0"/>
        <w:spacing w:line="360" w:lineRule="auto"/>
        <w:jc w:val="center"/>
        <w:rPr>
          <w:rFonts w:ascii="Times New Roman" w:hAnsi="Times New Roman" w:cs="Times New Roman"/>
          <w:bCs/>
          <w:lang w:eastAsia="zh-CN"/>
        </w:rPr>
      </w:pPr>
    </w:p>
    <w:p w14:paraId="0B4492DD" w14:textId="225E027F" w:rsidR="00E66F57" w:rsidRPr="00082579" w:rsidRDefault="00472FFA" w:rsidP="00516A70">
      <w:pPr>
        <w:autoSpaceDE w:val="0"/>
        <w:autoSpaceDN w:val="0"/>
        <w:adjustRightInd w:val="0"/>
        <w:spacing w:line="360" w:lineRule="auto"/>
        <w:rPr>
          <w:rFonts w:ascii="Times New Roman" w:hAnsi="Times New Roman" w:cs="Times New Roman"/>
          <w:b/>
          <w:lang w:eastAsia="zh-CN"/>
        </w:rPr>
      </w:pPr>
      <w:r w:rsidRPr="00082579">
        <w:rPr>
          <w:rFonts w:ascii="Times New Roman" w:hAnsi="Times New Roman" w:cs="Times New Roman" w:hint="eastAsia"/>
          <w:b/>
          <w:lang w:eastAsia="zh-CN"/>
        </w:rPr>
        <w:t>S</w:t>
      </w:r>
      <w:r w:rsidR="005B4C36">
        <w:rPr>
          <w:rFonts w:ascii="Times New Roman" w:hAnsi="Times New Roman" w:cs="Times New Roman" w:hint="eastAsia"/>
          <w:b/>
          <w:lang w:eastAsia="zh-CN"/>
        </w:rPr>
        <w:t>1</w:t>
      </w:r>
      <w:r w:rsidRPr="00082579">
        <w:rPr>
          <w:rFonts w:ascii="Times New Roman" w:hAnsi="Times New Roman" w:cs="Times New Roman" w:hint="eastAsia"/>
          <w:b/>
          <w:lang w:eastAsia="zh-CN"/>
        </w:rPr>
        <w:t xml:space="preserve"> </w:t>
      </w:r>
      <w:r w:rsidR="00804B66" w:rsidRPr="00082579">
        <w:rPr>
          <w:rFonts w:ascii="Times New Roman" w:hAnsi="Times New Roman" w:cs="Times New Roman"/>
          <w:b/>
          <w:lang w:eastAsia="zh-CN"/>
        </w:rPr>
        <w:t xml:space="preserve">Absolute quantification </w:t>
      </w:r>
      <w:r w:rsidR="00A3025A" w:rsidRPr="00082579">
        <w:rPr>
          <w:rFonts w:ascii="Times New Roman" w:hAnsi="Times New Roman" w:cs="Times New Roman"/>
          <w:b/>
          <w:lang w:eastAsia="zh-CN"/>
        </w:rPr>
        <w:t xml:space="preserve">calculation </w:t>
      </w:r>
      <w:r w:rsidR="00804B66" w:rsidRPr="00082579">
        <w:rPr>
          <w:rFonts w:ascii="Times New Roman" w:hAnsi="Times New Roman" w:cs="Times New Roman"/>
          <w:b/>
          <w:lang w:eastAsia="zh-CN"/>
        </w:rPr>
        <w:t xml:space="preserve">methodology </w:t>
      </w:r>
    </w:p>
    <w:p w14:paraId="0F57B953" w14:textId="77777777" w:rsidR="003A54B0" w:rsidRDefault="003A54B0" w:rsidP="00516A70">
      <w:pPr>
        <w:autoSpaceDE w:val="0"/>
        <w:autoSpaceDN w:val="0"/>
        <w:adjustRightInd w:val="0"/>
        <w:spacing w:line="360" w:lineRule="auto"/>
        <w:rPr>
          <w:rFonts w:ascii="Times New Roman" w:hAnsi="Times New Roman" w:cs="Times New Roman"/>
          <w:bCs/>
          <w:lang w:eastAsia="zh-CN"/>
        </w:rPr>
      </w:pPr>
    </w:p>
    <w:p w14:paraId="38FC5F67" w14:textId="6FD667C4" w:rsidR="00082579" w:rsidRPr="00E66F57" w:rsidRDefault="00000000" w:rsidP="00516A70">
      <w:pPr>
        <w:autoSpaceDE w:val="0"/>
        <w:autoSpaceDN w:val="0"/>
        <w:adjustRightInd w:val="0"/>
        <w:spacing w:line="360" w:lineRule="auto"/>
        <w:rPr>
          <w:rFonts w:ascii="Times New Roman" w:hAnsi="Times New Roman" w:cs="Times New Roman"/>
          <w:bCs/>
          <w:lang w:eastAsia="zh-CN"/>
        </w:rPr>
      </w:pPr>
      <m:oMathPara>
        <m:oMath>
          <m:f>
            <m:fPr>
              <m:ctrlPr>
                <w:rPr>
                  <w:rFonts w:ascii="Cambria Math" w:hAnsi="Cambria Math" w:cs="Times New Roman"/>
                  <w:bCs/>
                  <w:i/>
                  <w:lang w:eastAsia="zh-CN"/>
                </w:rPr>
              </m:ctrlPr>
            </m:fPr>
            <m:num>
              <m:r>
                <w:rPr>
                  <w:rFonts w:ascii="Cambria Math" w:hAnsi="Cambria Math" w:cs="Times New Roman"/>
                  <w:lang w:eastAsia="zh-CN"/>
                </w:rPr>
                <m:t>bacteria genome copy number</m:t>
              </m:r>
            </m:num>
            <m:den>
              <m:r>
                <w:rPr>
                  <w:rFonts w:ascii="Cambria Math" w:hAnsi="Cambria Math" w:cs="Times New Roman"/>
                  <w:lang w:eastAsia="zh-CN"/>
                </w:rPr>
                <m:t>spike-in genome copy number</m:t>
              </m:r>
            </m:den>
          </m:f>
          <m:r>
            <w:rPr>
              <w:rFonts w:ascii="Cambria Math" w:hAnsi="Cambria Math" w:cs="Times New Roman"/>
              <w:lang w:eastAsia="zh-CN"/>
            </w:rPr>
            <m:t>×spike-in cell number=  bacteria cell number</m:t>
          </m:r>
        </m:oMath>
      </m:oMathPara>
    </w:p>
    <w:p w14:paraId="6DC669D1" w14:textId="77777777" w:rsidR="003A54B0" w:rsidRDefault="003A54B0" w:rsidP="00516A70">
      <w:pPr>
        <w:spacing w:line="360" w:lineRule="auto"/>
        <w:jc w:val="both"/>
        <w:rPr>
          <w:rFonts w:ascii="Times New Roman" w:hAnsi="Times New Roman" w:cs="Times New Roman"/>
          <w:lang w:eastAsia="zh-CN"/>
        </w:rPr>
      </w:pPr>
    </w:p>
    <w:p w14:paraId="1EBB8F83" w14:textId="19C3209A" w:rsidR="00DF1639" w:rsidRDefault="003A39F0" w:rsidP="00516A70">
      <w:pPr>
        <w:spacing w:line="360" w:lineRule="auto"/>
        <w:jc w:val="both"/>
        <w:rPr>
          <w:rFonts w:ascii="Times New Roman" w:hAnsi="Times New Roman" w:cs="Times New Roman"/>
          <w:lang w:eastAsia="zh-CN"/>
        </w:rPr>
      </w:pPr>
      <w:r w:rsidRPr="003A39F0">
        <w:rPr>
          <w:rFonts w:ascii="Times New Roman" w:hAnsi="Times New Roman" w:cs="Times New Roman"/>
          <w:lang w:eastAsia="zh-CN"/>
        </w:rPr>
        <w:t>The breakthroughs in absolute quantification presented in this article include:</w:t>
      </w:r>
    </w:p>
    <w:p w14:paraId="3786C3C2" w14:textId="222D668A" w:rsidR="003A39F0" w:rsidRDefault="00DD1AFD" w:rsidP="00516A70">
      <w:pPr>
        <w:spacing w:line="360" w:lineRule="auto"/>
        <w:jc w:val="both"/>
        <w:rPr>
          <w:rFonts w:ascii="Times New Roman" w:hAnsi="Times New Roman" w:cs="Times New Roman"/>
          <w:lang w:eastAsia="zh-CN"/>
        </w:rPr>
      </w:pPr>
      <w:r w:rsidRPr="00DD1AFD">
        <w:rPr>
          <w:rFonts w:ascii="Times New Roman" w:hAnsi="Times New Roman" w:cs="Times New Roman"/>
          <w:lang w:eastAsia="zh-CN"/>
        </w:rPr>
        <w:t>(1) Designing experiments to verify the representativeness of the selected two types of spike-ins for Gram-positive and Gram-negative bacteria.</w:t>
      </w:r>
    </w:p>
    <w:p w14:paraId="0715D155" w14:textId="77777777" w:rsidR="003A54B0" w:rsidRDefault="003A54B0" w:rsidP="00516A70">
      <w:pPr>
        <w:spacing w:line="360" w:lineRule="auto"/>
        <w:jc w:val="both"/>
        <w:rPr>
          <w:rFonts w:ascii="Times New Roman" w:hAnsi="Times New Roman" w:cs="Times New Roman"/>
          <w:lang w:eastAsia="zh-CN"/>
        </w:rPr>
      </w:pPr>
    </w:p>
    <w:p w14:paraId="373A5FC9" w14:textId="336D6704" w:rsidR="0091192F" w:rsidRDefault="0091192F" w:rsidP="00516A70">
      <w:pPr>
        <w:spacing w:line="360" w:lineRule="auto"/>
        <w:jc w:val="both"/>
        <w:rPr>
          <w:rFonts w:ascii="Times New Roman" w:hAnsi="Times New Roman" w:cs="Times New Roman"/>
          <w:lang w:eastAsia="zh-CN"/>
        </w:rPr>
      </w:pPr>
      <w:r w:rsidRPr="0091192F">
        <w:rPr>
          <w:rFonts w:ascii="Times New Roman" w:hAnsi="Times New Roman" w:cs="Times New Roman"/>
          <w:lang w:eastAsia="zh-CN"/>
        </w:rPr>
        <w:t xml:space="preserve">(2) Beyond their </w:t>
      </w:r>
      <w:r>
        <w:rPr>
          <w:rFonts w:ascii="Times New Roman" w:hAnsi="Times New Roman" w:cs="Times New Roman" w:hint="eastAsia"/>
          <w:lang w:eastAsia="zh-CN"/>
        </w:rPr>
        <w:t>quantification</w:t>
      </w:r>
      <w:r w:rsidRPr="0091192F">
        <w:rPr>
          <w:rFonts w:ascii="Times New Roman" w:hAnsi="Times New Roman" w:cs="Times New Roman"/>
          <w:lang w:eastAsia="zh-CN"/>
        </w:rPr>
        <w:t xml:space="preserve"> role, it also demonstrates that spike-ins can correct biases in community composition that arise due to differences in cell structure throughout the DNA extraction to sequencing process, thus providing a new role for absolute quantification.</w:t>
      </w:r>
    </w:p>
    <w:p w14:paraId="567CE5AD" w14:textId="77777777" w:rsidR="003A54B0" w:rsidRDefault="003A54B0" w:rsidP="00516A70">
      <w:pPr>
        <w:spacing w:line="360" w:lineRule="auto"/>
        <w:jc w:val="both"/>
        <w:rPr>
          <w:rFonts w:ascii="Times New Roman" w:hAnsi="Times New Roman" w:cs="Times New Roman"/>
          <w:lang w:eastAsia="zh-CN"/>
        </w:rPr>
      </w:pPr>
    </w:p>
    <w:p w14:paraId="6E854359" w14:textId="6B0C6B4A" w:rsidR="005733BF" w:rsidRDefault="006A2BD5" w:rsidP="00516A70">
      <w:pPr>
        <w:spacing w:line="360" w:lineRule="auto"/>
        <w:jc w:val="both"/>
        <w:rPr>
          <w:rFonts w:ascii="Times New Roman" w:hAnsi="Times New Roman" w:cs="Times New Roman"/>
          <w:lang w:eastAsia="zh-CN"/>
        </w:rPr>
      </w:pPr>
      <w:r w:rsidRPr="006A2BD5">
        <w:rPr>
          <w:rFonts w:ascii="Times New Roman" w:hAnsi="Times New Roman" w:cs="Times New Roman"/>
          <w:lang w:eastAsia="zh-CN"/>
        </w:rPr>
        <w:t xml:space="preserve">(3) Simplifying the use of marker genes as spike-ins by directly using the whole genomes of rare environmental bacteria as internal standards. Since these two types of spike-ins are rare in the environment and easily distinguished from other species, their species can be directly removed for subsequent analysis without needing to remove all bacteria of the same genus </w:t>
      </w:r>
      <w:r>
        <w:rPr>
          <w:rFonts w:ascii="Times New Roman" w:hAnsi="Times New Roman" w:cs="Times New Roman" w:hint="eastAsia"/>
          <w:lang w:eastAsia="zh-CN"/>
        </w:rPr>
        <w:t>with</w:t>
      </w:r>
      <w:r w:rsidRPr="006A2BD5">
        <w:rPr>
          <w:rFonts w:ascii="Times New Roman" w:hAnsi="Times New Roman" w:cs="Times New Roman"/>
          <w:lang w:eastAsia="zh-CN"/>
        </w:rPr>
        <w:t xml:space="preserve"> the marker</w:t>
      </w:r>
      <w:r w:rsidR="00CA69D5">
        <w:rPr>
          <w:rFonts w:ascii="Times New Roman" w:hAnsi="Times New Roman" w:cs="Times New Roman" w:hint="eastAsia"/>
          <w:lang w:eastAsia="zh-CN"/>
        </w:rPr>
        <w:t xml:space="preserve"> </w:t>
      </w:r>
      <w:r w:rsidRPr="006A2BD5">
        <w:rPr>
          <w:rFonts w:ascii="Times New Roman" w:hAnsi="Times New Roman" w:cs="Times New Roman"/>
          <w:lang w:eastAsia="zh-CN"/>
        </w:rPr>
        <w:t>gene</w:t>
      </w:r>
      <w:r>
        <w:rPr>
          <w:rFonts w:ascii="Times New Roman" w:hAnsi="Times New Roman" w:cs="Times New Roman" w:hint="eastAsia"/>
          <w:lang w:eastAsia="zh-CN"/>
        </w:rPr>
        <w:t xml:space="preserve"> spike-ins</w:t>
      </w:r>
      <w:r w:rsidRPr="006A2BD5">
        <w:rPr>
          <w:rFonts w:ascii="Times New Roman" w:hAnsi="Times New Roman" w:cs="Times New Roman"/>
          <w:lang w:eastAsia="zh-CN"/>
        </w:rPr>
        <w:t xml:space="preserve">, reducing the impact on sample AQ results and avoiding neglect of pathogens and ARGs related to the major </w:t>
      </w:r>
      <w:r w:rsidRPr="006A2BD5">
        <w:rPr>
          <w:rFonts w:ascii="Times New Roman" w:hAnsi="Times New Roman" w:cs="Times New Roman"/>
          <w:lang w:eastAsia="zh-CN"/>
        </w:rPr>
        <w:lastRenderedPageBreak/>
        <w:t>genera Pseudomonas and Bacillus.</w:t>
      </w:r>
    </w:p>
    <w:p w14:paraId="31CD6C18" w14:textId="77777777" w:rsidR="003A54B0" w:rsidRDefault="003A54B0" w:rsidP="00516A70">
      <w:pPr>
        <w:spacing w:line="360" w:lineRule="auto"/>
        <w:jc w:val="both"/>
        <w:rPr>
          <w:rFonts w:ascii="Times New Roman" w:hAnsi="Times New Roman" w:cs="Times New Roman"/>
          <w:lang w:eastAsia="zh-CN"/>
        </w:rPr>
      </w:pPr>
    </w:p>
    <w:p w14:paraId="0F946495" w14:textId="1083F7FD" w:rsidR="00517881" w:rsidRDefault="00CA69D5" w:rsidP="00516A70">
      <w:pPr>
        <w:spacing w:line="360" w:lineRule="auto"/>
        <w:jc w:val="both"/>
        <w:rPr>
          <w:rFonts w:ascii="Times New Roman" w:hAnsi="Times New Roman" w:cs="Times New Roman"/>
          <w:lang w:eastAsia="zh-CN"/>
        </w:rPr>
      </w:pPr>
      <w:r w:rsidRPr="00CA69D5">
        <w:rPr>
          <w:rFonts w:ascii="Times New Roman" w:hAnsi="Times New Roman" w:cs="Times New Roman"/>
          <w:lang w:eastAsia="zh-CN"/>
        </w:rPr>
        <w:t xml:space="preserve">(4) In the ZymoBIOMICS® Gut Microbiome Standard mock, the addition of both marker gene spike-ins and whole genome spike-ins shows that using </w:t>
      </w:r>
      <w:r>
        <w:rPr>
          <w:rFonts w:ascii="Times New Roman" w:hAnsi="Times New Roman" w:cs="Times New Roman" w:hint="eastAsia"/>
          <w:lang w:eastAsia="zh-CN"/>
        </w:rPr>
        <w:t xml:space="preserve">whole </w:t>
      </w:r>
      <w:r w:rsidRPr="00CA69D5">
        <w:rPr>
          <w:rFonts w:ascii="Times New Roman" w:hAnsi="Times New Roman" w:cs="Times New Roman"/>
          <w:lang w:eastAsia="zh-CN"/>
        </w:rPr>
        <w:t>genome as spike-ins is significantly more accurate than the marker gene internal standard method.</w:t>
      </w:r>
    </w:p>
    <w:p w14:paraId="3583D2DA" w14:textId="77777777" w:rsidR="003A54B0" w:rsidRDefault="003A54B0" w:rsidP="00516A70">
      <w:pPr>
        <w:spacing w:line="360" w:lineRule="auto"/>
        <w:jc w:val="both"/>
        <w:rPr>
          <w:rFonts w:ascii="Times New Roman" w:hAnsi="Times New Roman" w:cs="Times New Roman"/>
          <w:lang w:eastAsia="zh-CN"/>
        </w:rPr>
      </w:pPr>
    </w:p>
    <w:p w14:paraId="1FDF4D4D" w14:textId="30B89DA0" w:rsidR="00CA69D5" w:rsidRDefault="00CE0EE2" w:rsidP="00516A70">
      <w:pPr>
        <w:spacing w:line="360" w:lineRule="auto"/>
        <w:jc w:val="both"/>
        <w:rPr>
          <w:rFonts w:ascii="Times New Roman" w:hAnsi="Times New Roman" w:cs="Times New Roman"/>
          <w:lang w:eastAsia="zh-CN"/>
        </w:rPr>
      </w:pPr>
      <w:r w:rsidRPr="00CE0EE2">
        <w:rPr>
          <w:rFonts w:ascii="Times New Roman" w:hAnsi="Times New Roman" w:cs="Times New Roman"/>
          <w:lang w:eastAsia="zh-CN"/>
        </w:rPr>
        <w:t>(5) In calculating the sequenced genome copy number of a taxonomic lineage, an updated structured average genome size database built upon the newer GTDB version</w:t>
      </w:r>
      <w:r w:rsidR="003E607B">
        <w:rPr>
          <w:rFonts w:ascii="Times New Roman" w:hAnsi="Times New Roman" w:cs="Times New Roman"/>
          <w:lang w:eastAsia="zh-CN"/>
        </w:rPr>
        <w:fldChar w:fldCharType="begin"/>
      </w:r>
      <w:r w:rsidR="003E607B">
        <w:rPr>
          <w:rFonts w:ascii="Times New Roman" w:hAnsi="Times New Roman" w:cs="Times New Roman"/>
          <w:lang w:eastAsia="zh-CN"/>
        </w:rPr>
        <w:instrText xml:space="preserve"> ADDIN EN.CITE &lt;EndNote&gt;&lt;Cite&gt;&lt;Author&gt;Parks&lt;/Author&gt;&lt;Year&gt;2022&lt;/Year&gt;&lt;RecNum&gt;286&lt;/RecNum&gt;&lt;DisplayText&gt;[1]&lt;/DisplayText&gt;&lt;record&gt;&lt;rec-number&gt;286&lt;/rec-number&gt;&lt;foreign-keys&gt;&lt;key app="EN" db-id="2w9d2at9pvprf4ea02s5vtvjtfz0fsx22e5s" timestamp="1713339383"&gt;286&lt;/key&gt;&lt;/foreign-keys&gt;&lt;ref-type name="Journal Article"&gt;17&lt;/ref-type&gt;&lt;contributors&gt;&lt;authors&gt;&lt;author&gt;Parks, Donovan H&lt;/author&gt;&lt;author&gt;Chuvochina, Maria&lt;/author&gt;&lt;author&gt;Rinke, Christian&lt;/author&gt;&lt;author&gt;Mussig, Aaron J&lt;/author&gt;&lt;author&gt;Chaumeil, Pierre-Alain&lt;/author&gt;&lt;author&gt;Hugenholtz, Philip&lt;/author&gt;&lt;/authors&gt;&lt;/contributors&gt;&lt;titles&gt;&lt;title&gt;GTDB: an ongoing census of bacterial and archaeal diversity through a phylogenetically consistent, rank normalized and complete genome-based taxonomy&lt;/title&gt;&lt;secondary-title&gt;Nucleic acids research&lt;/secondary-title&gt;&lt;/titles&gt;&lt;periodical&gt;&lt;full-title&gt;Nucleic Acids Research&lt;/full-title&gt;&lt;/periodical&gt;&lt;pages&gt;D785-D794&lt;/pages&gt;&lt;volume&gt;50&lt;/volume&gt;&lt;number&gt;D1&lt;/number&gt;&lt;dates&gt;&lt;year&gt;2022&lt;/year&gt;&lt;/dates&gt;&lt;isbn&gt;0305-1048&lt;/isbn&gt;&lt;urls&gt;&lt;/urls&gt;&lt;/record&gt;&lt;/Cite&gt;&lt;/EndNote&gt;</w:instrText>
      </w:r>
      <w:r w:rsidR="003E607B">
        <w:rPr>
          <w:rFonts w:ascii="Times New Roman" w:hAnsi="Times New Roman" w:cs="Times New Roman"/>
          <w:lang w:eastAsia="zh-CN"/>
        </w:rPr>
        <w:fldChar w:fldCharType="separate"/>
      </w:r>
      <w:r w:rsidR="003E607B">
        <w:rPr>
          <w:rFonts w:ascii="Times New Roman" w:hAnsi="Times New Roman" w:cs="Times New Roman"/>
          <w:noProof/>
          <w:lang w:eastAsia="zh-CN"/>
        </w:rPr>
        <w:t>[1]</w:t>
      </w:r>
      <w:r w:rsidR="003E607B">
        <w:rPr>
          <w:rFonts w:ascii="Times New Roman" w:hAnsi="Times New Roman" w:cs="Times New Roman"/>
          <w:lang w:eastAsia="zh-CN"/>
        </w:rPr>
        <w:fldChar w:fldCharType="end"/>
      </w:r>
      <w:r w:rsidRPr="00CE0EE2">
        <w:rPr>
          <w:rFonts w:ascii="Times New Roman" w:hAnsi="Times New Roman" w:cs="Times New Roman"/>
          <w:lang w:eastAsia="zh-CN"/>
        </w:rPr>
        <w:t xml:space="preserve"> (R207) is utilized.</w:t>
      </w:r>
    </w:p>
    <w:p w14:paraId="77EBD8F3" w14:textId="77777777" w:rsidR="00280814" w:rsidRDefault="00280814" w:rsidP="00516A70">
      <w:pPr>
        <w:autoSpaceDE w:val="0"/>
        <w:autoSpaceDN w:val="0"/>
        <w:adjustRightInd w:val="0"/>
        <w:spacing w:line="360" w:lineRule="auto"/>
        <w:jc w:val="both"/>
        <w:rPr>
          <w:rFonts w:ascii="Times New Roman" w:hAnsi="Times New Roman" w:cs="Times New Roman"/>
          <w:b/>
          <w:lang w:eastAsia="zh-CN"/>
        </w:rPr>
      </w:pPr>
    </w:p>
    <w:p w14:paraId="7E4C6F47" w14:textId="77777777" w:rsidR="004C486E" w:rsidRDefault="004C486E" w:rsidP="00516A70">
      <w:pPr>
        <w:autoSpaceDE w:val="0"/>
        <w:autoSpaceDN w:val="0"/>
        <w:adjustRightInd w:val="0"/>
        <w:spacing w:line="360" w:lineRule="auto"/>
        <w:jc w:val="both"/>
        <w:rPr>
          <w:rFonts w:ascii="Times New Roman" w:hAnsi="Times New Roman" w:cs="Times New Roman"/>
          <w:b/>
          <w:lang w:eastAsia="zh-CN"/>
        </w:rPr>
      </w:pPr>
    </w:p>
    <w:p w14:paraId="5D5ECCE7" w14:textId="77777777" w:rsidR="004C486E" w:rsidRDefault="004C486E" w:rsidP="00516A70">
      <w:pPr>
        <w:autoSpaceDE w:val="0"/>
        <w:autoSpaceDN w:val="0"/>
        <w:adjustRightInd w:val="0"/>
        <w:spacing w:line="360" w:lineRule="auto"/>
        <w:jc w:val="both"/>
        <w:rPr>
          <w:rFonts w:ascii="Times New Roman" w:hAnsi="Times New Roman" w:cs="Times New Roman"/>
          <w:b/>
          <w:lang w:eastAsia="zh-CN"/>
        </w:rPr>
      </w:pPr>
    </w:p>
    <w:p w14:paraId="2DF69007" w14:textId="77777777" w:rsidR="004C486E" w:rsidRDefault="004C486E" w:rsidP="00516A70">
      <w:pPr>
        <w:autoSpaceDE w:val="0"/>
        <w:autoSpaceDN w:val="0"/>
        <w:adjustRightInd w:val="0"/>
        <w:spacing w:line="360" w:lineRule="auto"/>
        <w:jc w:val="both"/>
        <w:rPr>
          <w:rFonts w:ascii="Times New Roman" w:hAnsi="Times New Roman" w:cs="Times New Roman"/>
          <w:b/>
          <w:lang w:eastAsia="zh-CN"/>
        </w:rPr>
      </w:pPr>
    </w:p>
    <w:p w14:paraId="1BFF46B2"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001A65F5"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3CBA5F23"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44ADD37C"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4FCA84A4"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2EF3CE08"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10B74BC8"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37579E08"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09AB0481"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0B2CD288"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6C516B28"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3FB226D7"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0D54C07A"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195A1D80" w14:textId="6C5765F4" w:rsidR="00B80528" w:rsidRDefault="005177AD" w:rsidP="00516A70">
      <w:pPr>
        <w:autoSpaceDE w:val="0"/>
        <w:autoSpaceDN w:val="0"/>
        <w:adjustRightInd w:val="0"/>
        <w:spacing w:line="360" w:lineRule="auto"/>
        <w:jc w:val="both"/>
        <w:rPr>
          <w:rFonts w:ascii="Times New Roman" w:hAnsi="Times New Roman" w:cs="Times New Roman"/>
          <w:b/>
          <w:lang w:eastAsia="zh-CN"/>
        </w:rPr>
      </w:pPr>
      <w:r w:rsidRPr="00082579">
        <w:rPr>
          <w:rFonts w:ascii="Times New Roman" w:hAnsi="Times New Roman" w:cs="Times New Roman" w:hint="eastAsia"/>
          <w:b/>
          <w:lang w:eastAsia="zh-CN"/>
        </w:rPr>
        <w:lastRenderedPageBreak/>
        <w:t>S</w:t>
      </w:r>
      <w:r w:rsidR="005B4C36">
        <w:rPr>
          <w:rFonts w:ascii="Times New Roman" w:hAnsi="Times New Roman" w:cs="Times New Roman" w:hint="eastAsia"/>
          <w:b/>
          <w:lang w:eastAsia="zh-CN"/>
        </w:rPr>
        <w:t xml:space="preserve">2 </w:t>
      </w:r>
      <w:r w:rsidR="001F0A16" w:rsidRPr="001F0A16">
        <w:rPr>
          <w:rFonts w:ascii="Times New Roman" w:hAnsi="Times New Roman" w:cs="Times New Roman"/>
          <w:b/>
          <w:lang w:eastAsia="zh-CN"/>
        </w:rPr>
        <w:t>The contribution of ARG subtypes carried by various ESKAPE+EV related genera to the total absolute abundance of those ARG subtypes in different environmental type</w:t>
      </w:r>
      <w:r w:rsidR="00B80528">
        <w:rPr>
          <w:rFonts w:ascii="Times New Roman" w:hAnsi="Times New Roman" w:cs="Times New Roman" w:hint="eastAsia"/>
          <w:b/>
          <w:lang w:eastAsia="zh-CN"/>
        </w:rPr>
        <w:t>s</w:t>
      </w:r>
    </w:p>
    <w:p w14:paraId="28D3FDF0"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526BBACF" w14:textId="7B42AC28" w:rsidR="00163C0A" w:rsidRDefault="00163C0A" w:rsidP="00516A70">
      <w:pPr>
        <w:autoSpaceDE w:val="0"/>
        <w:autoSpaceDN w:val="0"/>
        <w:adjustRightInd w:val="0"/>
        <w:spacing w:line="360" w:lineRule="auto"/>
        <w:jc w:val="both"/>
        <w:rPr>
          <w:rFonts w:ascii="Times New Roman" w:hAnsi="Times New Roman" w:cs="Times New Roman"/>
          <w:bCs/>
          <w:lang w:eastAsia="zh-CN"/>
        </w:rPr>
      </w:pPr>
      <w:r>
        <w:rPr>
          <w:rFonts w:ascii="Times New Roman" w:hAnsi="Times New Roman" w:cs="Times New Roman" w:hint="eastAsia"/>
          <w:bCs/>
          <w:lang w:eastAsia="zh-CN"/>
        </w:rPr>
        <w:t>C</w:t>
      </w:r>
      <w:r w:rsidRPr="00163C0A">
        <w:rPr>
          <w:rFonts w:ascii="Times New Roman" w:hAnsi="Times New Roman" w:cs="Times New Roman"/>
          <w:bCs/>
          <w:lang w:eastAsia="zh-CN"/>
        </w:rPr>
        <w:t xml:space="preserve">riteria </w:t>
      </w:r>
      <w:r>
        <w:rPr>
          <w:rFonts w:ascii="Times New Roman" w:hAnsi="Times New Roman" w:cs="Times New Roman" w:hint="eastAsia"/>
          <w:bCs/>
          <w:lang w:eastAsia="zh-CN"/>
        </w:rPr>
        <w:t xml:space="preserve">of </w:t>
      </w:r>
      <w:r w:rsidR="00E753A7" w:rsidRPr="00E753A7">
        <w:rPr>
          <w:rFonts w:ascii="Times New Roman" w:hAnsi="Times New Roman" w:cs="Times New Roman"/>
          <w:bCs/>
          <w:lang w:eastAsia="zh-CN"/>
        </w:rPr>
        <w:t>ESKAPE+EV-related high-risk ARGs</w:t>
      </w:r>
      <w:r>
        <w:rPr>
          <w:rFonts w:ascii="Times New Roman" w:hAnsi="Times New Roman" w:cs="Times New Roman" w:hint="eastAsia"/>
          <w:bCs/>
          <w:lang w:eastAsia="zh-CN"/>
        </w:rPr>
        <w:t>:</w:t>
      </w:r>
    </w:p>
    <w:p w14:paraId="1557E439" w14:textId="3A872B99" w:rsidR="00163C0A" w:rsidRDefault="004F6C41" w:rsidP="00516A70">
      <w:pPr>
        <w:pStyle w:val="a9"/>
        <w:numPr>
          <w:ilvl w:val="0"/>
          <w:numId w:val="1"/>
        </w:numPr>
        <w:autoSpaceDE w:val="0"/>
        <w:autoSpaceDN w:val="0"/>
        <w:adjustRightInd w:val="0"/>
        <w:spacing w:line="360" w:lineRule="auto"/>
        <w:ind w:leftChars="0"/>
        <w:jc w:val="both"/>
        <w:rPr>
          <w:rFonts w:ascii="Times New Roman" w:hAnsi="Times New Roman" w:cs="Times New Roman"/>
          <w:bCs/>
          <w:lang w:eastAsia="zh-CN"/>
        </w:rPr>
      </w:pPr>
      <w:r>
        <w:rPr>
          <w:rFonts w:ascii="Times New Roman" w:hAnsi="Times New Roman" w:cs="Times New Roman" w:hint="eastAsia"/>
          <w:bCs/>
          <w:lang w:eastAsia="zh-CN"/>
        </w:rPr>
        <w:t>B</w:t>
      </w:r>
      <w:r w:rsidRPr="004F6C41">
        <w:rPr>
          <w:rFonts w:ascii="Times New Roman" w:hAnsi="Times New Roman" w:cs="Times New Roman"/>
          <w:bCs/>
          <w:lang w:eastAsia="zh-CN"/>
        </w:rPr>
        <w:t>eing carried by three or more genera in ESKAPE+EV group</w:t>
      </w:r>
      <w:r w:rsidR="00FB70B0">
        <w:rPr>
          <w:rFonts w:ascii="Times New Roman" w:hAnsi="Times New Roman" w:cs="Times New Roman" w:hint="eastAsia"/>
          <w:bCs/>
          <w:lang w:eastAsia="zh-CN"/>
        </w:rPr>
        <w:t>.</w:t>
      </w:r>
    </w:p>
    <w:p w14:paraId="1D8623F0" w14:textId="63A48B76" w:rsidR="004F6C41" w:rsidRDefault="00FB70B0" w:rsidP="00516A70">
      <w:pPr>
        <w:pStyle w:val="a9"/>
        <w:numPr>
          <w:ilvl w:val="0"/>
          <w:numId w:val="1"/>
        </w:numPr>
        <w:autoSpaceDE w:val="0"/>
        <w:autoSpaceDN w:val="0"/>
        <w:adjustRightInd w:val="0"/>
        <w:spacing w:line="360" w:lineRule="auto"/>
        <w:ind w:leftChars="0"/>
        <w:jc w:val="both"/>
        <w:rPr>
          <w:rFonts w:ascii="Times New Roman" w:hAnsi="Times New Roman" w:cs="Times New Roman"/>
          <w:bCs/>
          <w:lang w:eastAsia="zh-CN"/>
        </w:rPr>
      </w:pPr>
      <w:r>
        <w:rPr>
          <w:rFonts w:ascii="Times New Roman" w:hAnsi="Times New Roman" w:cs="Times New Roman" w:hint="eastAsia"/>
          <w:bCs/>
          <w:lang w:eastAsia="zh-CN"/>
        </w:rPr>
        <w:t>Being p</w:t>
      </w:r>
      <w:r w:rsidR="009A7F67" w:rsidRPr="009A7F67">
        <w:rPr>
          <w:rFonts w:ascii="Times New Roman" w:hAnsi="Times New Roman" w:cs="Times New Roman"/>
          <w:bCs/>
          <w:lang w:eastAsia="zh-CN"/>
        </w:rPr>
        <w:t>resence in three or more sample types</w:t>
      </w:r>
      <w:r>
        <w:rPr>
          <w:rFonts w:ascii="Times New Roman" w:hAnsi="Times New Roman" w:cs="Times New Roman" w:hint="eastAsia"/>
          <w:bCs/>
          <w:lang w:eastAsia="zh-CN"/>
        </w:rPr>
        <w:t>.</w:t>
      </w:r>
    </w:p>
    <w:p w14:paraId="1580EBD5" w14:textId="5B97A512" w:rsidR="009A7F67" w:rsidRDefault="00FB70B0" w:rsidP="00516A70">
      <w:pPr>
        <w:pStyle w:val="a9"/>
        <w:numPr>
          <w:ilvl w:val="0"/>
          <w:numId w:val="1"/>
        </w:numPr>
        <w:autoSpaceDE w:val="0"/>
        <w:autoSpaceDN w:val="0"/>
        <w:adjustRightInd w:val="0"/>
        <w:spacing w:line="360" w:lineRule="auto"/>
        <w:ind w:leftChars="0"/>
        <w:jc w:val="both"/>
        <w:rPr>
          <w:rFonts w:ascii="Times New Roman" w:hAnsi="Times New Roman" w:cs="Times New Roman"/>
          <w:bCs/>
          <w:lang w:eastAsia="zh-CN"/>
        </w:rPr>
      </w:pPr>
      <w:r>
        <w:rPr>
          <w:rFonts w:ascii="Times New Roman" w:hAnsi="Times New Roman" w:cs="Times New Roman" w:hint="eastAsia"/>
          <w:bCs/>
          <w:lang w:eastAsia="zh-CN"/>
        </w:rPr>
        <w:t xml:space="preserve">Being </w:t>
      </w:r>
      <w:r w:rsidRPr="00FB70B0">
        <w:rPr>
          <w:rFonts w:ascii="Times New Roman" w:hAnsi="Times New Roman" w:cs="Times New Roman"/>
          <w:bCs/>
          <w:lang w:eastAsia="zh-CN"/>
        </w:rPr>
        <w:t>relevance to ESKAPE+EV-related genera while not being classified as multidrug resistance genes.</w:t>
      </w:r>
    </w:p>
    <w:p w14:paraId="586CE7FB" w14:textId="77777777" w:rsidR="008D4738" w:rsidRDefault="008D4738" w:rsidP="00F44850">
      <w:pPr>
        <w:autoSpaceDE w:val="0"/>
        <w:autoSpaceDN w:val="0"/>
        <w:adjustRightInd w:val="0"/>
        <w:spacing w:line="360" w:lineRule="auto"/>
        <w:jc w:val="both"/>
        <w:rPr>
          <w:rFonts w:ascii="Times New Roman" w:hAnsi="Times New Roman" w:cs="Times New Roman"/>
          <w:bCs/>
          <w:lang w:eastAsia="zh-CN"/>
        </w:rPr>
      </w:pPr>
    </w:p>
    <w:p w14:paraId="117484B7" w14:textId="77777777" w:rsidR="008D4738" w:rsidRDefault="008D4738" w:rsidP="00F44850">
      <w:pPr>
        <w:autoSpaceDE w:val="0"/>
        <w:autoSpaceDN w:val="0"/>
        <w:adjustRightInd w:val="0"/>
        <w:spacing w:line="360" w:lineRule="auto"/>
        <w:jc w:val="both"/>
        <w:rPr>
          <w:rFonts w:ascii="Times New Roman" w:hAnsi="Times New Roman" w:cs="Times New Roman"/>
          <w:bCs/>
          <w:lang w:eastAsia="zh-CN"/>
        </w:rPr>
      </w:pPr>
    </w:p>
    <w:p w14:paraId="14AD3CE1" w14:textId="7E711983" w:rsidR="001259F3" w:rsidRPr="008B77B5" w:rsidRDefault="008B77B5" w:rsidP="00F44850">
      <w:pPr>
        <w:autoSpaceDE w:val="0"/>
        <w:autoSpaceDN w:val="0"/>
        <w:adjustRightInd w:val="0"/>
        <w:spacing w:line="360" w:lineRule="auto"/>
        <w:jc w:val="both"/>
        <w:rPr>
          <w:rFonts w:ascii="Times New Roman" w:hAnsi="Times New Roman" w:cs="Times New Roman" w:hint="eastAsia"/>
          <w:b/>
          <w:lang w:eastAsia="zh-CN"/>
        </w:rPr>
      </w:pPr>
      <w:r w:rsidRPr="008B77B5">
        <w:rPr>
          <w:rFonts w:ascii="Times New Roman" w:hAnsi="Times New Roman" w:cs="Times New Roman" w:hint="eastAsia"/>
          <w:b/>
          <w:lang w:eastAsia="zh-CN"/>
        </w:rPr>
        <w:t xml:space="preserve">SI1 </w:t>
      </w:r>
      <w:r w:rsidR="009879D2" w:rsidRPr="008B77B5">
        <w:rPr>
          <w:rFonts w:ascii="Times New Roman" w:hAnsi="Times New Roman" w:cs="Times New Roman" w:hint="eastAsia"/>
          <w:b/>
          <w:lang w:eastAsia="zh-CN"/>
        </w:rPr>
        <w:t>Table</w:t>
      </w:r>
      <w:r w:rsidRPr="008B77B5">
        <w:rPr>
          <w:rFonts w:ascii="Times New Roman" w:hAnsi="Times New Roman" w:cs="Times New Roman" w:hint="eastAsia"/>
          <w:b/>
          <w:lang w:eastAsia="zh-CN"/>
        </w:rPr>
        <w:t>1</w:t>
      </w:r>
      <w:r>
        <w:rPr>
          <w:rFonts w:ascii="Times New Roman" w:hAnsi="Times New Roman" w:cs="Times New Roman" w:hint="eastAsia"/>
          <w:b/>
          <w:lang w:eastAsia="zh-CN"/>
        </w:rPr>
        <w:t>.</w:t>
      </w:r>
      <w:r w:rsidR="009879D2" w:rsidRPr="008B77B5">
        <w:rPr>
          <w:rFonts w:ascii="Times New Roman" w:hAnsi="Times New Roman" w:cs="Times New Roman" w:hint="eastAsia"/>
          <w:b/>
          <w:lang w:eastAsia="zh-CN"/>
        </w:rPr>
        <w:t xml:space="preserve"> </w:t>
      </w:r>
      <w:r w:rsidRPr="008B77B5">
        <w:rPr>
          <w:rFonts w:ascii="Times New Roman" w:hAnsi="Times New Roman" w:cs="Times New Roman" w:hint="eastAsia"/>
          <w:b/>
          <w:lang w:eastAsia="zh-CN"/>
        </w:rPr>
        <w:t>G</w:t>
      </w:r>
      <w:r w:rsidR="009879D2" w:rsidRPr="008B77B5">
        <w:rPr>
          <w:rFonts w:ascii="Times New Roman" w:hAnsi="Times New Roman" w:cs="Times New Roman"/>
          <w:b/>
          <w:lang w:eastAsia="zh-CN"/>
        </w:rPr>
        <w:t>enus of ESKAPE+EV pathogens related high risk ARG subtypes</w:t>
      </w:r>
    </w:p>
    <w:tbl>
      <w:tblPr>
        <w:tblW w:w="6860" w:type="dxa"/>
        <w:tblLook w:val="04A0" w:firstRow="1" w:lastRow="0" w:firstColumn="1" w:lastColumn="0" w:noHBand="0" w:noVBand="1"/>
      </w:tblPr>
      <w:tblGrid>
        <w:gridCol w:w="6860"/>
      </w:tblGrid>
      <w:tr w:rsidR="005C06E2" w:rsidRPr="005C06E2" w14:paraId="4370BBCE" w14:textId="77777777" w:rsidTr="005C06E2">
        <w:trPr>
          <w:trHeight w:val="276"/>
        </w:trPr>
        <w:tc>
          <w:tcPr>
            <w:tcW w:w="6860" w:type="dxa"/>
            <w:tcBorders>
              <w:top w:val="single" w:sz="4" w:space="0" w:color="auto"/>
              <w:left w:val="single" w:sz="4" w:space="0" w:color="auto"/>
              <w:bottom w:val="nil"/>
              <w:right w:val="single" w:sz="4" w:space="0" w:color="auto"/>
            </w:tcBorders>
            <w:shd w:val="clear" w:color="auto" w:fill="auto"/>
            <w:noWrap/>
            <w:vAlign w:val="bottom"/>
            <w:hideMark/>
          </w:tcPr>
          <w:p w14:paraId="49119AE9" w14:textId="77777777" w:rsidR="005C06E2" w:rsidRPr="005C06E2" w:rsidRDefault="005C06E2" w:rsidP="005C06E2">
            <w:pPr>
              <w:widowControl/>
              <w:jc w:val="center"/>
              <w:rPr>
                <w:rFonts w:ascii="Times New Roman" w:eastAsia="等线" w:hAnsi="Times New Roman" w:cs="Times New Roman"/>
                <w:b/>
                <w:bCs/>
                <w:color w:val="FF0000"/>
                <w:kern w:val="0"/>
                <w:sz w:val="22"/>
                <w:lang w:eastAsia="zh-CN"/>
                <w14:ligatures w14:val="none"/>
              </w:rPr>
            </w:pPr>
            <w:bookmarkStart w:id="1" w:name="_Hlk178164093"/>
            <w:r w:rsidRPr="005C06E2">
              <w:rPr>
                <w:rFonts w:ascii="Times New Roman" w:eastAsia="等线" w:hAnsi="Times New Roman" w:cs="Times New Roman"/>
                <w:b/>
                <w:bCs/>
                <w:color w:val="FF0000"/>
                <w:kern w:val="0"/>
                <w:sz w:val="22"/>
                <w:lang w:eastAsia="zh-CN"/>
                <w14:ligatures w14:val="none"/>
              </w:rPr>
              <w:t xml:space="preserve">Genus of ESKAPE+EV pathogens related high risk ARG subtypes list </w:t>
            </w:r>
            <w:bookmarkEnd w:id="1"/>
          </w:p>
        </w:tc>
      </w:tr>
      <w:tr w:rsidR="005C06E2" w:rsidRPr="005C06E2" w14:paraId="2818BE79"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56E19B89"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aminoglycoside__AAC(6')−Ib7</w:t>
            </w:r>
          </w:p>
        </w:tc>
      </w:tr>
      <w:tr w:rsidR="005C06E2" w:rsidRPr="005C06E2" w14:paraId="0CE0E922"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584FEA6B"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aminoglycoside__AAC(6')−Ib9</w:t>
            </w:r>
          </w:p>
        </w:tc>
      </w:tr>
      <w:tr w:rsidR="005C06E2" w:rsidRPr="005C06E2" w14:paraId="1746E553"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2B5C8429"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aminoglycoside__aadA</w:t>
            </w:r>
          </w:p>
        </w:tc>
      </w:tr>
      <w:tr w:rsidR="005C06E2" w:rsidRPr="005C06E2" w14:paraId="28C5E40E"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15D85F1F"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aminoglycoside__ANT(2'')−Ia</w:t>
            </w:r>
          </w:p>
        </w:tc>
      </w:tr>
      <w:tr w:rsidR="005C06E2" w:rsidRPr="005C06E2" w14:paraId="5FF38721"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4ACAC4FA"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aminoglycoside__APH(3'')−Ib</w:t>
            </w:r>
          </w:p>
        </w:tc>
      </w:tr>
      <w:tr w:rsidR="005C06E2" w:rsidRPr="005C06E2" w14:paraId="732320F4"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1C93F4CD"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aminoglycoside__APH(6)−Id</w:t>
            </w:r>
          </w:p>
        </w:tc>
      </w:tr>
      <w:tr w:rsidR="005C06E2" w:rsidRPr="005C06E2" w14:paraId="0CDF5EED"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25B43198"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bacitracin__bacA</w:t>
            </w:r>
          </w:p>
        </w:tc>
      </w:tr>
      <w:tr w:rsidR="005C06E2" w:rsidRPr="005C06E2" w14:paraId="4A247BBD"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7049613E"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beta_lactam__Klebsiella pneumoniae OmpK37</w:t>
            </w:r>
          </w:p>
        </w:tc>
      </w:tr>
      <w:tr w:rsidR="005C06E2" w:rsidRPr="005C06E2" w14:paraId="7E7E2146"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74ABD102"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beta_lactam__OtherclassAbeta−lactamase</w:t>
            </w:r>
          </w:p>
        </w:tc>
      </w:tr>
      <w:tr w:rsidR="005C06E2" w:rsidRPr="005C06E2" w14:paraId="7DCE6887"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47CF7BD5"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beta_lactam__OXA−10</w:t>
            </w:r>
          </w:p>
        </w:tc>
      </w:tr>
      <w:tr w:rsidR="005C06E2" w:rsidRPr="005C06E2" w14:paraId="239A9E0D"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728CEE30"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chloramphenicol__cmlA5</w:t>
            </w:r>
          </w:p>
        </w:tc>
      </w:tr>
      <w:tr w:rsidR="005C06E2" w:rsidRPr="005C06E2" w14:paraId="1C302E82"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7DAE20E0"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MLS__macA</w:t>
            </w:r>
          </w:p>
        </w:tc>
      </w:tr>
      <w:tr w:rsidR="005C06E2" w:rsidRPr="005C06E2" w14:paraId="4470884D"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7F74F1E3"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MLS__macB</w:t>
            </w:r>
          </w:p>
        </w:tc>
      </w:tr>
      <w:tr w:rsidR="005C06E2" w:rsidRPr="005C06E2" w14:paraId="5AFB368B"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2C29CF1C"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other_peptide_antibiotics__microcin efflux pumu gene yojI</w:t>
            </w:r>
          </w:p>
        </w:tc>
      </w:tr>
      <w:tr w:rsidR="005C06E2" w:rsidRPr="005C06E2" w14:paraId="27C67F96"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7268565F"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polymyxin__arnA</w:t>
            </w:r>
          </w:p>
        </w:tc>
      </w:tr>
      <w:tr w:rsidR="005C06E2" w:rsidRPr="005C06E2" w14:paraId="3AADE474"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051967C0"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polymyxin__pmrF</w:t>
            </w:r>
          </w:p>
        </w:tc>
      </w:tr>
      <w:tr w:rsidR="005C06E2" w:rsidRPr="005C06E2" w14:paraId="7DF4CE15"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3C21F65B"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polymyxin__rosB</w:t>
            </w:r>
          </w:p>
        </w:tc>
      </w:tr>
      <w:tr w:rsidR="005C06E2" w:rsidRPr="005C06E2" w14:paraId="27417E3C"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3392F158"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polymyxin__ugd</w:t>
            </w:r>
          </w:p>
        </w:tc>
      </w:tr>
      <w:tr w:rsidR="005C06E2" w:rsidRPr="005C06E2" w14:paraId="59E41C43"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16947F4B"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rifamycin__arr−2</w:t>
            </w:r>
          </w:p>
        </w:tc>
      </w:tr>
      <w:tr w:rsidR="005C06E2" w:rsidRPr="005C06E2" w14:paraId="3BD9C5AA"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1F1D2323"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sulfonamide__sul1</w:t>
            </w:r>
          </w:p>
        </w:tc>
      </w:tr>
      <w:tr w:rsidR="005C06E2" w:rsidRPr="005C06E2" w14:paraId="66B7BFCC" w14:textId="77777777" w:rsidTr="005C06E2">
        <w:trPr>
          <w:trHeight w:val="276"/>
        </w:trPr>
        <w:tc>
          <w:tcPr>
            <w:tcW w:w="6860" w:type="dxa"/>
            <w:tcBorders>
              <w:top w:val="nil"/>
              <w:left w:val="single" w:sz="4" w:space="0" w:color="auto"/>
              <w:bottom w:val="nil"/>
              <w:right w:val="single" w:sz="4" w:space="0" w:color="auto"/>
            </w:tcBorders>
            <w:shd w:val="clear" w:color="auto" w:fill="auto"/>
            <w:noWrap/>
            <w:vAlign w:val="bottom"/>
            <w:hideMark/>
          </w:tcPr>
          <w:p w14:paraId="2C80DD55"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sulfonamide__sul2</w:t>
            </w:r>
          </w:p>
        </w:tc>
      </w:tr>
      <w:tr w:rsidR="005C06E2" w:rsidRPr="005C06E2" w14:paraId="3D79D6EC" w14:textId="77777777" w:rsidTr="005C06E2">
        <w:trPr>
          <w:trHeight w:val="276"/>
        </w:trPr>
        <w:tc>
          <w:tcPr>
            <w:tcW w:w="6860" w:type="dxa"/>
            <w:tcBorders>
              <w:top w:val="nil"/>
              <w:left w:val="single" w:sz="4" w:space="0" w:color="auto"/>
              <w:right w:val="single" w:sz="4" w:space="0" w:color="auto"/>
            </w:tcBorders>
            <w:shd w:val="clear" w:color="auto" w:fill="auto"/>
            <w:noWrap/>
            <w:vAlign w:val="bottom"/>
            <w:hideMark/>
          </w:tcPr>
          <w:p w14:paraId="3245DE9C"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tetracycline__tet(A)</w:t>
            </w:r>
          </w:p>
        </w:tc>
      </w:tr>
      <w:tr w:rsidR="005C06E2" w:rsidRPr="005C06E2" w14:paraId="02CE98BA" w14:textId="77777777" w:rsidTr="005C06E2">
        <w:trPr>
          <w:trHeight w:val="276"/>
        </w:trPr>
        <w:tc>
          <w:tcPr>
            <w:tcW w:w="6860" w:type="dxa"/>
            <w:tcBorders>
              <w:top w:val="nil"/>
              <w:left w:val="single" w:sz="4" w:space="0" w:color="auto"/>
              <w:bottom w:val="single" w:sz="4" w:space="0" w:color="auto"/>
              <w:right w:val="single" w:sz="4" w:space="0" w:color="auto"/>
            </w:tcBorders>
            <w:shd w:val="clear" w:color="auto" w:fill="auto"/>
            <w:noWrap/>
            <w:vAlign w:val="bottom"/>
            <w:hideMark/>
          </w:tcPr>
          <w:p w14:paraId="0636E3D2" w14:textId="77777777" w:rsidR="005C06E2" w:rsidRPr="005C06E2" w:rsidRDefault="005C06E2" w:rsidP="005C06E2">
            <w:pPr>
              <w:widowControl/>
              <w:rPr>
                <w:rFonts w:ascii="Times New Roman" w:eastAsia="等线" w:hAnsi="Times New Roman" w:cs="Times New Roman"/>
                <w:color w:val="000000"/>
                <w:kern w:val="0"/>
                <w:sz w:val="22"/>
                <w:lang w:eastAsia="zh-CN"/>
                <w14:ligatures w14:val="none"/>
              </w:rPr>
            </w:pPr>
            <w:r w:rsidRPr="005C06E2">
              <w:rPr>
                <w:rFonts w:ascii="Times New Roman" w:eastAsia="等线" w:hAnsi="Times New Roman" w:cs="Times New Roman"/>
                <w:color w:val="000000"/>
                <w:kern w:val="0"/>
                <w:sz w:val="22"/>
                <w:lang w:eastAsia="zh-CN"/>
                <w14:ligatures w14:val="none"/>
              </w:rPr>
              <w:t>tetracycline__tet(C)</w:t>
            </w:r>
          </w:p>
        </w:tc>
      </w:tr>
    </w:tbl>
    <w:p w14:paraId="39A07A07" w14:textId="77777777" w:rsidR="008D4738" w:rsidRDefault="008D4738" w:rsidP="00516A70">
      <w:pPr>
        <w:autoSpaceDE w:val="0"/>
        <w:autoSpaceDN w:val="0"/>
        <w:adjustRightInd w:val="0"/>
        <w:spacing w:line="360" w:lineRule="auto"/>
        <w:jc w:val="both"/>
        <w:rPr>
          <w:rFonts w:ascii="Times New Roman" w:hAnsi="Times New Roman" w:cs="Times New Roman"/>
          <w:b/>
          <w:noProof/>
          <w:lang w:eastAsia="zh-CN"/>
        </w:rPr>
      </w:pPr>
    </w:p>
    <w:p w14:paraId="39489EA4" w14:textId="087792BF" w:rsidR="0055306A" w:rsidRDefault="0055306A" w:rsidP="00516A70">
      <w:pPr>
        <w:autoSpaceDE w:val="0"/>
        <w:autoSpaceDN w:val="0"/>
        <w:adjustRightInd w:val="0"/>
        <w:spacing w:line="360" w:lineRule="auto"/>
        <w:jc w:val="both"/>
        <w:rPr>
          <w:rFonts w:ascii="Times New Roman" w:hAnsi="Times New Roman" w:cs="Times New Roman"/>
          <w:b/>
          <w:lang w:eastAsia="zh-CN"/>
        </w:rPr>
      </w:pPr>
      <w:r w:rsidRPr="00082579">
        <w:rPr>
          <w:rFonts w:ascii="Times New Roman" w:hAnsi="Times New Roman" w:cs="Times New Roman" w:hint="eastAsia"/>
          <w:b/>
          <w:lang w:eastAsia="zh-CN"/>
        </w:rPr>
        <w:lastRenderedPageBreak/>
        <w:t>S</w:t>
      </w:r>
      <w:r>
        <w:rPr>
          <w:rFonts w:ascii="Times New Roman" w:hAnsi="Times New Roman" w:cs="Times New Roman" w:hint="eastAsia"/>
          <w:b/>
          <w:lang w:eastAsia="zh-CN"/>
        </w:rPr>
        <w:t>3</w:t>
      </w:r>
      <w:r w:rsidR="00D8209F">
        <w:rPr>
          <w:rFonts w:ascii="Times New Roman" w:hAnsi="Times New Roman" w:cs="Times New Roman" w:hint="eastAsia"/>
          <w:b/>
          <w:lang w:eastAsia="zh-CN"/>
        </w:rPr>
        <w:t xml:space="preserve"> Host tracking of important resistance </w:t>
      </w:r>
      <w:r w:rsidR="00DF5924">
        <w:rPr>
          <w:rFonts w:ascii="Times New Roman" w:hAnsi="Times New Roman" w:cs="Times New Roman" w:hint="eastAsia"/>
          <w:b/>
          <w:lang w:eastAsia="zh-CN"/>
        </w:rPr>
        <w:t>genes</w:t>
      </w:r>
    </w:p>
    <w:p w14:paraId="0ADA14F2" w14:textId="77777777" w:rsidR="008D4738" w:rsidRDefault="008D4738" w:rsidP="00516A70">
      <w:pPr>
        <w:autoSpaceDE w:val="0"/>
        <w:autoSpaceDN w:val="0"/>
        <w:adjustRightInd w:val="0"/>
        <w:spacing w:line="360" w:lineRule="auto"/>
        <w:jc w:val="both"/>
        <w:rPr>
          <w:rFonts w:ascii="Times New Roman" w:hAnsi="Times New Roman" w:cs="Times New Roman"/>
          <w:b/>
          <w:lang w:eastAsia="zh-CN"/>
        </w:rPr>
      </w:pPr>
    </w:p>
    <w:p w14:paraId="786B00ED" w14:textId="34FDA124" w:rsidR="00A44116" w:rsidRDefault="002F474B" w:rsidP="00516A70">
      <w:pPr>
        <w:autoSpaceDE w:val="0"/>
        <w:autoSpaceDN w:val="0"/>
        <w:adjustRightInd w:val="0"/>
        <w:spacing w:line="360" w:lineRule="auto"/>
        <w:jc w:val="both"/>
        <w:rPr>
          <w:rFonts w:ascii="Times New Roman" w:hAnsi="Times New Roman" w:cs="Times New Roman"/>
          <w:b/>
          <w:lang w:eastAsia="zh-CN"/>
        </w:rPr>
      </w:pPr>
      <w:r>
        <w:rPr>
          <w:noProof/>
        </w:rPr>
        <w:drawing>
          <wp:inline distT="0" distB="0" distL="0" distR="0" wp14:anchorId="64E848BA" wp14:editId="4E44858E">
            <wp:extent cx="5274310" cy="2693670"/>
            <wp:effectExtent l="0" t="0" r="2540" b="0"/>
            <wp:docPr id="66188880" name="图片 10"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88880" name="图片 10" descr="图表, 条形图&#10;&#10;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693670"/>
                    </a:xfrm>
                    <a:prstGeom prst="rect">
                      <a:avLst/>
                    </a:prstGeom>
                    <a:noFill/>
                    <a:ln>
                      <a:noFill/>
                    </a:ln>
                  </pic:spPr>
                </pic:pic>
              </a:graphicData>
            </a:graphic>
          </wp:inline>
        </w:drawing>
      </w:r>
    </w:p>
    <w:p w14:paraId="32EF7E43" w14:textId="2A15D2AB" w:rsidR="00840422" w:rsidRDefault="001F21EC" w:rsidP="00516A70">
      <w:pPr>
        <w:autoSpaceDE w:val="0"/>
        <w:autoSpaceDN w:val="0"/>
        <w:adjustRightInd w:val="0"/>
        <w:spacing w:line="360" w:lineRule="auto"/>
        <w:jc w:val="both"/>
        <w:rPr>
          <w:rFonts w:ascii="Times New Roman" w:eastAsia="宋体" w:hAnsi="Times New Roman" w:cs="Times New Roman"/>
          <w:sz w:val="22"/>
          <w:lang w:eastAsia="zh-CN"/>
        </w:rPr>
      </w:pPr>
      <w:r w:rsidRPr="00280814">
        <w:rPr>
          <w:rFonts w:ascii="Times New Roman" w:eastAsia="宋体" w:hAnsi="Times New Roman" w:cs="Times New Roman" w:hint="eastAsia"/>
          <w:b/>
          <w:bCs/>
          <w:sz w:val="22"/>
          <w:lang w:eastAsia="zh-CN"/>
        </w:rPr>
        <w:t xml:space="preserve">SI1 </w:t>
      </w:r>
      <w:r w:rsidRPr="00280814">
        <w:rPr>
          <w:rFonts w:ascii="Times New Roman" w:eastAsia="宋体" w:hAnsi="Times New Roman" w:cs="Times New Roman"/>
          <w:b/>
          <w:bCs/>
          <w:sz w:val="22"/>
        </w:rPr>
        <w:t>F</w:t>
      </w:r>
      <w:r w:rsidRPr="00280814">
        <w:rPr>
          <w:rFonts w:ascii="Times New Roman" w:eastAsia="宋体" w:hAnsi="Times New Roman" w:cs="Times New Roman" w:hint="eastAsia"/>
          <w:b/>
          <w:bCs/>
          <w:sz w:val="22"/>
        </w:rPr>
        <w:t xml:space="preserve">ig. </w:t>
      </w:r>
      <w:r w:rsidR="003E2EEC">
        <w:rPr>
          <w:rFonts w:ascii="Times New Roman" w:eastAsia="宋体" w:hAnsi="Times New Roman" w:cs="Times New Roman" w:hint="eastAsia"/>
          <w:b/>
          <w:bCs/>
          <w:sz w:val="22"/>
          <w:lang w:eastAsia="zh-CN"/>
        </w:rPr>
        <w:t>1</w:t>
      </w:r>
      <w:r w:rsidRPr="00280814">
        <w:rPr>
          <w:rFonts w:ascii="Times New Roman" w:eastAsia="宋体" w:hAnsi="Times New Roman" w:cs="Times New Roman" w:hint="eastAsia"/>
          <w:b/>
          <w:bCs/>
          <w:sz w:val="22"/>
          <w:lang w:eastAsia="zh-CN"/>
        </w:rPr>
        <w:t xml:space="preserve">. </w:t>
      </w:r>
      <w:r w:rsidR="007B1606" w:rsidRPr="00280814">
        <w:rPr>
          <w:rFonts w:ascii="Times New Roman" w:eastAsia="宋体" w:hAnsi="Times New Roman" w:cs="Times New Roman" w:hint="eastAsia"/>
          <w:b/>
          <w:bCs/>
          <w:sz w:val="22"/>
          <w:lang w:eastAsia="zh-CN"/>
        </w:rPr>
        <w:t xml:space="preserve">(a) </w:t>
      </w:r>
      <w:r w:rsidR="00052051" w:rsidRPr="00280814">
        <w:rPr>
          <w:rFonts w:ascii="Times New Roman" w:eastAsia="宋体" w:hAnsi="Times New Roman" w:cs="Times New Roman"/>
          <w:sz w:val="22"/>
          <w:lang w:eastAsia="zh-CN"/>
        </w:rPr>
        <w:t xml:space="preserve">Total </w:t>
      </w:r>
      <w:r w:rsidR="00723F67" w:rsidRPr="00280814">
        <w:rPr>
          <w:rFonts w:ascii="Times New Roman" w:eastAsia="宋体" w:hAnsi="Times New Roman" w:cs="Times New Roman" w:hint="eastAsia"/>
          <w:sz w:val="22"/>
          <w:lang w:eastAsia="zh-CN"/>
        </w:rPr>
        <w:t>absolute abundance</w:t>
      </w:r>
      <w:r w:rsidR="00052051" w:rsidRPr="00280814">
        <w:rPr>
          <w:rFonts w:ascii="Times New Roman" w:eastAsia="宋体" w:hAnsi="Times New Roman" w:cs="Times New Roman"/>
          <w:sz w:val="22"/>
          <w:lang w:eastAsia="zh-CN"/>
        </w:rPr>
        <w:t xml:space="preserve"> of 17 ARG types carried by pathogens in all 34 environment samples.</w:t>
      </w:r>
      <w:r w:rsidR="007B1606" w:rsidRPr="00280814">
        <w:rPr>
          <w:rFonts w:ascii="Times New Roman" w:eastAsia="宋体" w:hAnsi="Times New Roman" w:cs="Times New Roman" w:hint="eastAsia"/>
          <w:b/>
          <w:bCs/>
          <w:sz w:val="22"/>
          <w:lang w:eastAsia="zh-CN"/>
        </w:rPr>
        <w:t xml:space="preserve"> (b) </w:t>
      </w:r>
      <w:r w:rsidR="00723F67" w:rsidRPr="00280814">
        <w:rPr>
          <w:rFonts w:ascii="Times New Roman" w:eastAsia="宋体" w:hAnsi="Times New Roman" w:cs="Times New Roman" w:hint="eastAsia"/>
          <w:sz w:val="22"/>
          <w:lang w:eastAsia="zh-CN"/>
        </w:rPr>
        <w:t>Absolute abundance</w:t>
      </w:r>
      <w:r w:rsidR="007B1606" w:rsidRPr="00280814">
        <w:rPr>
          <w:rFonts w:ascii="Times New Roman" w:eastAsia="宋体" w:hAnsi="Times New Roman" w:cs="Times New Roman" w:hint="eastAsia"/>
          <w:sz w:val="22"/>
          <w:lang w:eastAsia="zh-CN"/>
        </w:rPr>
        <w:t xml:space="preserve"> of ARGs </w:t>
      </w:r>
      <w:r w:rsidR="00C64687" w:rsidRPr="00280814">
        <w:rPr>
          <w:rFonts w:ascii="Times New Roman" w:eastAsia="宋体" w:hAnsi="Times New Roman" w:cs="Times New Roman" w:hint="eastAsia"/>
          <w:sz w:val="22"/>
          <w:lang w:eastAsia="zh-CN"/>
        </w:rPr>
        <w:t>carried by chromosome reads and plasmids/unclassified reads</w:t>
      </w:r>
      <w:r w:rsidR="00C57E91" w:rsidRPr="00280814">
        <w:rPr>
          <w:rFonts w:ascii="Times New Roman" w:eastAsia="宋体" w:hAnsi="Times New Roman" w:cs="Times New Roman" w:hint="eastAsia"/>
          <w:sz w:val="22"/>
          <w:lang w:eastAsia="zh-CN"/>
        </w:rPr>
        <w:t xml:space="preserve"> of pathogens</w:t>
      </w:r>
      <w:r w:rsidR="00366799" w:rsidRPr="00280814">
        <w:rPr>
          <w:rFonts w:ascii="Times New Roman" w:eastAsia="宋体" w:hAnsi="Times New Roman" w:cs="Times New Roman" w:hint="eastAsia"/>
          <w:sz w:val="22"/>
          <w:lang w:eastAsia="zh-CN"/>
        </w:rPr>
        <w:t xml:space="preserve"> belonging to </w:t>
      </w:r>
      <w:r w:rsidR="00030056" w:rsidRPr="00280814">
        <w:rPr>
          <w:rFonts w:ascii="Times New Roman" w:eastAsia="宋体" w:hAnsi="Times New Roman" w:cs="Times New Roman" w:hint="eastAsia"/>
          <w:sz w:val="22"/>
          <w:lang w:eastAsia="zh-CN"/>
        </w:rPr>
        <w:t xml:space="preserve">resistance genes </w:t>
      </w:r>
      <w:r w:rsidR="008A1FDA" w:rsidRPr="00280814">
        <w:rPr>
          <w:rFonts w:ascii="Times New Roman" w:eastAsia="宋体" w:hAnsi="Times New Roman" w:cs="Times New Roman" w:hint="eastAsia"/>
          <w:sz w:val="22"/>
          <w:lang w:eastAsia="zh-CN"/>
        </w:rPr>
        <w:t xml:space="preserve">with </w:t>
      </w:r>
      <w:r w:rsidR="00723F67" w:rsidRPr="00280814">
        <w:rPr>
          <w:rFonts w:ascii="Times New Roman" w:eastAsia="宋体" w:hAnsi="Times New Roman" w:cs="Times New Roman" w:hint="eastAsia"/>
          <w:sz w:val="22"/>
          <w:lang w:eastAsia="zh-CN"/>
        </w:rPr>
        <w:t>absolute abundance</w:t>
      </w:r>
      <w:r w:rsidR="008A1FDA" w:rsidRPr="00280814">
        <w:rPr>
          <w:rFonts w:ascii="Times New Roman" w:eastAsia="宋体" w:hAnsi="Times New Roman" w:cs="Times New Roman" w:hint="eastAsia"/>
          <w:sz w:val="22"/>
          <w:lang w:eastAsia="zh-CN"/>
        </w:rPr>
        <w:t xml:space="preserve"> </w:t>
      </w:r>
      <w:r w:rsidR="00655100" w:rsidRPr="00280814">
        <w:rPr>
          <w:rFonts w:ascii="Times New Roman" w:eastAsia="宋体" w:hAnsi="Times New Roman" w:cs="Times New Roman" w:hint="eastAsia"/>
          <w:sz w:val="22"/>
          <w:lang w:eastAsia="zh-CN"/>
        </w:rPr>
        <w:t>larger than 10</w:t>
      </w:r>
      <w:r w:rsidR="00655100" w:rsidRPr="00280814">
        <w:rPr>
          <w:rFonts w:ascii="Times New Roman" w:eastAsia="宋体" w:hAnsi="Times New Roman" w:cs="Times New Roman" w:hint="eastAsia"/>
          <w:sz w:val="22"/>
          <w:vertAlign w:val="superscript"/>
          <w:lang w:eastAsia="zh-CN"/>
        </w:rPr>
        <w:t>10</w:t>
      </w:r>
      <w:r w:rsidR="00655100" w:rsidRPr="00280814">
        <w:rPr>
          <w:rFonts w:ascii="Times New Roman" w:eastAsia="宋体" w:hAnsi="Times New Roman" w:cs="Times New Roman" w:hint="eastAsia"/>
          <w:sz w:val="22"/>
          <w:lang w:eastAsia="zh-CN"/>
        </w:rPr>
        <w:t xml:space="preserve"> </w:t>
      </w:r>
      <w:r w:rsidR="00723F67" w:rsidRPr="00280814">
        <w:rPr>
          <w:rFonts w:ascii="Times New Roman" w:eastAsia="宋体" w:hAnsi="Times New Roman" w:cs="Times New Roman" w:hint="eastAsia"/>
          <w:sz w:val="22"/>
          <w:lang w:eastAsia="zh-CN"/>
        </w:rPr>
        <w:t xml:space="preserve">copy/L </w:t>
      </w:r>
      <w:r w:rsidR="00BA5F7F" w:rsidRPr="00280814">
        <w:rPr>
          <w:rFonts w:ascii="Times New Roman" w:eastAsia="宋体" w:hAnsi="Times New Roman" w:cs="Times New Roman" w:hint="eastAsia"/>
          <w:sz w:val="22"/>
          <w:lang w:eastAsia="zh-CN"/>
        </w:rPr>
        <w:t>carried by</w:t>
      </w:r>
      <w:r w:rsidR="0080755D" w:rsidRPr="00280814">
        <w:rPr>
          <w:rFonts w:ascii="Times New Roman" w:eastAsia="宋体" w:hAnsi="Times New Roman" w:cs="Times New Roman" w:hint="eastAsia"/>
          <w:sz w:val="22"/>
          <w:lang w:eastAsia="zh-CN"/>
        </w:rPr>
        <w:t xml:space="preserve"> pathogens</w:t>
      </w:r>
      <w:r w:rsidR="00840422">
        <w:rPr>
          <w:rFonts w:ascii="Times New Roman" w:eastAsia="宋体" w:hAnsi="Times New Roman" w:cs="Times New Roman" w:hint="eastAsia"/>
          <w:sz w:val="22"/>
          <w:lang w:eastAsia="zh-CN"/>
        </w:rPr>
        <w:t>.</w:t>
      </w:r>
    </w:p>
    <w:p w14:paraId="0470C01D" w14:textId="77777777" w:rsidR="00840422" w:rsidRPr="00840422" w:rsidRDefault="00840422" w:rsidP="00516A70">
      <w:pPr>
        <w:autoSpaceDE w:val="0"/>
        <w:autoSpaceDN w:val="0"/>
        <w:adjustRightInd w:val="0"/>
        <w:spacing w:line="360" w:lineRule="auto"/>
        <w:jc w:val="both"/>
        <w:rPr>
          <w:rFonts w:ascii="Times New Roman" w:eastAsia="宋体" w:hAnsi="Times New Roman" w:cs="Times New Roman"/>
          <w:sz w:val="22"/>
          <w:lang w:eastAsia="zh-CN"/>
        </w:rPr>
      </w:pPr>
    </w:p>
    <w:p w14:paraId="1C2C7BA3" w14:textId="77777777" w:rsidR="00803048" w:rsidRDefault="00803048" w:rsidP="00516A70">
      <w:pPr>
        <w:autoSpaceDE w:val="0"/>
        <w:autoSpaceDN w:val="0"/>
        <w:adjustRightInd w:val="0"/>
        <w:spacing w:line="360" w:lineRule="auto"/>
        <w:jc w:val="both"/>
        <w:rPr>
          <w:noProof/>
        </w:rPr>
      </w:pPr>
    </w:p>
    <w:p w14:paraId="369DD9C6" w14:textId="77777777" w:rsidR="00803048" w:rsidRDefault="00803048" w:rsidP="00516A70">
      <w:pPr>
        <w:autoSpaceDE w:val="0"/>
        <w:autoSpaceDN w:val="0"/>
        <w:adjustRightInd w:val="0"/>
        <w:spacing w:line="360" w:lineRule="auto"/>
        <w:jc w:val="both"/>
        <w:rPr>
          <w:noProof/>
        </w:rPr>
      </w:pPr>
    </w:p>
    <w:p w14:paraId="19CA1CE6" w14:textId="77777777" w:rsidR="00803048" w:rsidRDefault="00803048" w:rsidP="00516A70">
      <w:pPr>
        <w:autoSpaceDE w:val="0"/>
        <w:autoSpaceDN w:val="0"/>
        <w:adjustRightInd w:val="0"/>
        <w:spacing w:line="360" w:lineRule="auto"/>
        <w:jc w:val="both"/>
        <w:rPr>
          <w:noProof/>
        </w:rPr>
      </w:pPr>
    </w:p>
    <w:p w14:paraId="57C04AA0" w14:textId="77777777" w:rsidR="00803048" w:rsidRDefault="00803048" w:rsidP="00516A70">
      <w:pPr>
        <w:autoSpaceDE w:val="0"/>
        <w:autoSpaceDN w:val="0"/>
        <w:adjustRightInd w:val="0"/>
        <w:spacing w:line="360" w:lineRule="auto"/>
        <w:jc w:val="both"/>
        <w:rPr>
          <w:noProof/>
        </w:rPr>
      </w:pPr>
    </w:p>
    <w:p w14:paraId="04DEEF9C" w14:textId="77777777" w:rsidR="00803048" w:rsidRDefault="00803048" w:rsidP="00516A70">
      <w:pPr>
        <w:autoSpaceDE w:val="0"/>
        <w:autoSpaceDN w:val="0"/>
        <w:adjustRightInd w:val="0"/>
        <w:spacing w:line="360" w:lineRule="auto"/>
        <w:jc w:val="both"/>
        <w:rPr>
          <w:noProof/>
        </w:rPr>
      </w:pPr>
    </w:p>
    <w:p w14:paraId="2A08DE12" w14:textId="77777777" w:rsidR="002B1E6B" w:rsidRDefault="002B1E6B" w:rsidP="00516A70">
      <w:pPr>
        <w:autoSpaceDE w:val="0"/>
        <w:autoSpaceDN w:val="0"/>
        <w:adjustRightInd w:val="0"/>
        <w:spacing w:line="360" w:lineRule="auto"/>
        <w:jc w:val="both"/>
        <w:rPr>
          <w:noProof/>
        </w:rPr>
        <w:sectPr w:rsidR="002B1E6B">
          <w:pgSz w:w="11906" w:h="16838"/>
          <w:pgMar w:top="1440" w:right="1800" w:bottom="1440" w:left="1800" w:header="708" w:footer="708" w:gutter="0"/>
          <w:cols w:space="708"/>
          <w:docGrid w:type="lines" w:linePitch="360"/>
        </w:sectPr>
      </w:pPr>
    </w:p>
    <w:p w14:paraId="45498C1A" w14:textId="41A00366" w:rsidR="00803048" w:rsidRDefault="002E7E32" w:rsidP="00405975">
      <w:pPr>
        <w:autoSpaceDE w:val="0"/>
        <w:autoSpaceDN w:val="0"/>
        <w:adjustRightInd w:val="0"/>
        <w:spacing w:line="360" w:lineRule="auto"/>
        <w:jc w:val="center"/>
        <w:rPr>
          <w:rFonts w:ascii="Times New Roman" w:eastAsia="宋体" w:hAnsi="Times New Roman" w:cs="Times New Roman"/>
          <w:b/>
          <w:bCs/>
          <w:sz w:val="22"/>
          <w:lang w:eastAsia="zh-CN"/>
        </w:rPr>
      </w:pPr>
      <w:r>
        <w:rPr>
          <w:rFonts w:ascii="Times New Roman" w:eastAsia="宋体" w:hAnsi="Times New Roman" w:cs="Times New Roman"/>
          <w:b/>
          <w:bCs/>
          <w:noProof/>
          <w:sz w:val="22"/>
          <w:lang w:eastAsia="zh-CN"/>
        </w:rPr>
        <w:lastRenderedPageBreak/>
        <w:drawing>
          <wp:inline distT="0" distB="0" distL="0" distR="0" wp14:anchorId="638F6CFB" wp14:editId="6DEC19AD">
            <wp:extent cx="6889945" cy="4726800"/>
            <wp:effectExtent l="0" t="0" r="6350" b="0"/>
            <wp:docPr id="5147440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89945" cy="4726800"/>
                    </a:xfrm>
                    <a:prstGeom prst="rect">
                      <a:avLst/>
                    </a:prstGeom>
                    <a:noFill/>
                  </pic:spPr>
                </pic:pic>
              </a:graphicData>
            </a:graphic>
          </wp:inline>
        </w:drawing>
      </w:r>
    </w:p>
    <w:p w14:paraId="6A8FD5A2" w14:textId="009BA515" w:rsidR="00A30443" w:rsidRPr="00840422" w:rsidRDefault="00312819" w:rsidP="00516A70">
      <w:pPr>
        <w:autoSpaceDE w:val="0"/>
        <w:autoSpaceDN w:val="0"/>
        <w:adjustRightInd w:val="0"/>
        <w:spacing w:line="360" w:lineRule="auto"/>
        <w:jc w:val="both"/>
        <w:rPr>
          <w:rFonts w:ascii="Times New Roman" w:hAnsi="Times New Roman" w:cs="Times New Roman"/>
          <w:b/>
          <w:lang w:eastAsia="zh-CN"/>
        </w:rPr>
      </w:pPr>
      <w:r w:rsidRPr="00280814">
        <w:rPr>
          <w:rFonts w:ascii="Times New Roman" w:eastAsia="宋体" w:hAnsi="Times New Roman" w:cs="Times New Roman" w:hint="eastAsia"/>
          <w:b/>
          <w:bCs/>
          <w:sz w:val="22"/>
          <w:lang w:eastAsia="zh-CN"/>
        </w:rPr>
        <w:t xml:space="preserve">SI1 </w:t>
      </w:r>
      <w:r w:rsidRPr="00280814">
        <w:rPr>
          <w:rFonts w:ascii="Times New Roman" w:eastAsia="宋体" w:hAnsi="Times New Roman" w:cs="Times New Roman"/>
          <w:b/>
          <w:bCs/>
          <w:sz w:val="22"/>
        </w:rPr>
        <w:t>F</w:t>
      </w:r>
      <w:r w:rsidRPr="00280814">
        <w:rPr>
          <w:rFonts w:ascii="Times New Roman" w:eastAsia="宋体" w:hAnsi="Times New Roman" w:cs="Times New Roman" w:hint="eastAsia"/>
          <w:b/>
          <w:bCs/>
          <w:sz w:val="22"/>
        </w:rPr>
        <w:t xml:space="preserve">ig. </w:t>
      </w:r>
      <w:r w:rsidR="003E2EEC">
        <w:rPr>
          <w:rFonts w:ascii="Times New Roman" w:eastAsia="宋体" w:hAnsi="Times New Roman" w:cs="Times New Roman" w:hint="eastAsia"/>
          <w:b/>
          <w:bCs/>
          <w:sz w:val="22"/>
          <w:lang w:eastAsia="zh-CN"/>
        </w:rPr>
        <w:t>2</w:t>
      </w:r>
      <w:r w:rsidRPr="00280814">
        <w:rPr>
          <w:rFonts w:ascii="Times New Roman" w:eastAsia="宋体" w:hAnsi="Times New Roman" w:cs="Times New Roman" w:hint="eastAsia"/>
          <w:b/>
          <w:bCs/>
          <w:sz w:val="22"/>
          <w:lang w:eastAsia="zh-CN"/>
        </w:rPr>
        <w:t xml:space="preserve">. </w:t>
      </w:r>
      <w:r w:rsidR="0029511B" w:rsidRPr="00280814">
        <w:rPr>
          <w:rFonts w:ascii="Times New Roman" w:eastAsia="宋体" w:hAnsi="Times New Roman" w:cs="Times New Roman" w:hint="eastAsia"/>
          <w:b/>
          <w:bCs/>
          <w:sz w:val="22"/>
          <w:lang w:eastAsia="zh-CN"/>
        </w:rPr>
        <w:t xml:space="preserve">Host tracking of </w:t>
      </w:r>
      <w:r w:rsidR="00FF5CD3">
        <w:rPr>
          <w:rFonts w:ascii="Times New Roman" w:eastAsia="宋体" w:hAnsi="Times New Roman" w:cs="Times New Roman" w:hint="eastAsia"/>
          <w:b/>
          <w:bCs/>
          <w:sz w:val="22"/>
          <w:lang w:eastAsia="zh-CN"/>
        </w:rPr>
        <w:t>aminogly</w:t>
      </w:r>
      <w:r w:rsidR="00A87DE8">
        <w:rPr>
          <w:rFonts w:ascii="Times New Roman" w:eastAsia="宋体" w:hAnsi="Times New Roman" w:cs="Times New Roman" w:hint="eastAsia"/>
          <w:b/>
          <w:bCs/>
          <w:sz w:val="22"/>
          <w:lang w:eastAsia="zh-CN"/>
        </w:rPr>
        <w:t xml:space="preserve">coside, bacitracin, </w:t>
      </w:r>
      <w:r w:rsidR="0029511B" w:rsidRPr="00280814">
        <w:rPr>
          <w:rFonts w:ascii="Times New Roman" w:eastAsia="宋体" w:hAnsi="Times New Roman" w:cs="Times New Roman" w:hint="eastAsia"/>
          <w:b/>
          <w:bCs/>
          <w:sz w:val="22"/>
          <w:lang w:eastAsia="zh-CN"/>
        </w:rPr>
        <w:t>sulfonamide, rifamycin, tetracycline, polymy</w:t>
      </w:r>
      <w:r w:rsidR="00516A70" w:rsidRPr="00280814">
        <w:rPr>
          <w:rFonts w:ascii="Times New Roman" w:eastAsia="宋体" w:hAnsi="Times New Roman" w:cs="Times New Roman" w:hint="eastAsia"/>
          <w:b/>
          <w:bCs/>
          <w:sz w:val="22"/>
          <w:lang w:eastAsia="zh-CN"/>
        </w:rPr>
        <w:t xml:space="preserve">xin and </w:t>
      </w:r>
      <w:r w:rsidR="002B1E6B">
        <w:rPr>
          <w:rFonts w:ascii="Times New Roman" w:eastAsia="宋体" w:hAnsi="Times New Roman" w:cs="Times New Roman" w:hint="eastAsia"/>
          <w:b/>
          <w:bCs/>
          <w:sz w:val="22"/>
          <w:lang w:eastAsia="zh-CN"/>
        </w:rPr>
        <w:t>MLS</w:t>
      </w:r>
      <w:r w:rsidRPr="00280814">
        <w:rPr>
          <w:rFonts w:ascii="Times New Roman" w:eastAsia="宋体" w:hAnsi="Times New Roman" w:cs="Times New Roman"/>
          <w:b/>
          <w:bCs/>
          <w:sz w:val="22"/>
          <w:lang w:eastAsia="zh-CN"/>
        </w:rPr>
        <w:t xml:space="preserve"> resistance genes</w:t>
      </w:r>
      <w:r w:rsidRPr="00280814">
        <w:rPr>
          <w:rFonts w:ascii="Times New Roman" w:eastAsia="宋体" w:hAnsi="Times New Roman" w:cs="Times New Roman" w:hint="eastAsia"/>
          <w:b/>
          <w:bCs/>
          <w:sz w:val="22"/>
          <w:lang w:eastAsia="zh-CN"/>
        </w:rPr>
        <w:t>.</w:t>
      </w:r>
      <w:bookmarkStart w:id="2" w:name="_Hlk167201609"/>
      <w:bookmarkEnd w:id="2"/>
    </w:p>
    <w:sectPr w:rsidR="00A30443" w:rsidRPr="00840422" w:rsidSect="002B1E6B">
      <w:pgSz w:w="16838" w:h="11906" w:orient="landscape" w:code="9"/>
      <w:pgMar w:top="1797" w:right="1440" w:bottom="1797" w:left="1440" w:header="709" w:footer="709" w:gutter="0"/>
      <w:cols w:space="708"/>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99A64E" w14:textId="77777777" w:rsidR="00AC5D20" w:rsidRDefault="00AC5D20" w:rsidP="00C609A2">
      <w:r>
        <w:separator/>
      </w:r>
    </w:p>
  </w:endnote>
  <w:endnote w:type="continuationSeparator" w:id="0">
    <w:p w14:paraId="06415AD9" w14:textId="77777777" w:rsidR="00AC5D20" w:rsidRDefault="00AC5D20" w:rsidP="00C60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35530B" w14:textId="77777777" w:rsidR="00AC5D20" w:rsidRDefault="00AC5D20" w:rsidP="00C609A2">
      <w:r>
        <w:separator/>
      </w:r>
    </w:p>
  </w:footnote>
  <w:footnote w:type="continuationSeparator" w:id="0">
    <w:p w14:paraId="6FE50733" w14:textId="77777777" w:rsidR="00AC5D20" w:rsidRDefault="00AC5D20" w:rsidP="00C609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037F85"/>
    <w:multiLevelType w:val="hybridMultilevel"/>
    <w:tmpl w:val="A9ACBD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86118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9d2at9pvprf4ea02s5vtvjtfz0fsx22e5s&quot;&gt;My EndNote Library1&lt;record-ids&gt;&lt;item&gt;286&lt;/item&gt;&lt;/record-ids&gt;&lt;/item&gt;&lt;/Libraries&gt;"/>
  </w:docVars>
  <w:rsids>
    <w:rsidRoot w:val="007D0D00"/>
    <w:rsid w:val="00012E5A"/>
    <w:rsid w:val="00017190"/>
    <w:rsid w:val="00030056"/>
    <w:rsid w:val="000438D1"/>
    <w:rsid w:val="00052051"/>
    <w:rsid w:val="0005265B"/>
    <w:rsid w:val="00057CC9"/>
    <w:rsid w:val="00082579"/>
    <w:rsid w:val="00083078"/>
    <w:rsid w:val="000B3AB5"/>
    <w:rsid w:val="000B7DCB"/>
    <w:rsid w:val="000C5FC8"/>
    <w:rsid w:val="000D1CED"/>
    <w:rsid w:val="000F5FFF"/>
    <w:rsid w:val="001027BC"/>
    <w:rsid w:val="00110A9D"/>
    <w:rsid w:val="0011441B"/>
    <w:rsid w:val="001259F3"/>
    <w:rsid w:val="001535F5"/>
    <w:rsid w:val="00163C0A"/>
    <w:rsid w:val="00172EEF"/>
    <w:rsid w:val="00173AA2"/>
    <w:rsid w:val="001C28B0"/>
    <w:rsid w:val="001C458B"/>
    <w:rsid w:val="001D2C14"/>
    <w:rsid w:val="001F0A16"/>
    <w:rsid w:val="001F21EC"/>
    <w:rsid w:val="00205650"/>
    <w:rsid w:val="00240D70"/>
    <w:rsid w:val="00247DDE"/>
    <w:rsid w:val="002519AC"/>
    <w:rsid w:val="00280814"/>
    <w:rsid w:val="00292674"/>
    <w:rsid w:val="0029511B"/>
    <w:rsid w:val="002A5330"/>
    <w:rsid w:val="002B1E6B"/>
    <w:rsid w:val="002B63CF"/>
    <w:rsid w:val="002B7D3B"/>
    <w:rsid w:val="002C4983"/>
    <w:rsid w:val="002D62F5"/>
    <w:rsid w:val="002E7E32"/>
    <w:rsid w:val="002F16C5"/>
    <w:rsid w:val="002F474B"/>
    <w:rsid w:val="00312819"/>
    <w:rsid w:val="00327A36"/>
    <w:rsid w:val="00330A52"/>
    <w:rsid w:val="003536D5"/>
    <w:rsid w:val="00362CFC"/>
    <w:rsid w:val="00366799"/>
    <w:rsid w:val="00376665"/>
    <w:rsid w:val="003A39F0"/>
    <w:rsid w:val="003A54B0"/>
    <w:rsid w:val="003B3211"/>
    <w:rsid w:val="003C6906"/>
    <w:rsid w:val="003E2EEC"/>
    <w:rsid w:val="003E607B"/>
    <w:rsid w:val="00400AA0"/>
    <w:rsid w:val="00405975"/>
    <w:rsid w:val="004071DF"/>
    <w:rsid w:val="00440ABD"/>
    <w:rsid w:val="0044587E"/>
    <w:rsid w:val="00465E08"/>
    <w:rsid w:val="004721A2"/>
    <w:rsid w:val="004724D5"/>
    <w:rsid w:val="00472FFA"/>
    <w:rsid w:val="00496833"/>
    <w:rsid w:val="004B2342"/>
    <w:rsid w:val="004C486E"/>
    <w:rsid w:val="004C70A5"/>
    <w:rsid w:val="004D1F73"/>
    <w:rsid w:val="004D4DD9"/>
    <w:rsid w:val="004F6C41"/>
    <w:rsid w:val="00516723"/>
    <w:rsid w:val="00516A70"/>
    <w:rsid w:val="005177AD"/>
    <w:rsid w:val="00517881"/>
    <w:rsid w:val="005179CA"/>
    <w:rsid w:val="00532095"/>
    <w:rsid w:val="00551511"/>
    <w:rsid w:val="0055306A"/>
    <w:rsid w:val="0056266E"/>
    <w:rsid w:val="0056648F"/>
    <w:rsid w:val="00566FB8"/>
    <w:rsid w:val="005730DF"/>
    <w:rsid w:val="005733BF"/>
    <w:rsid w:val="00583375"/>
    <w:rsid w:val="005911D9"/>
    <w:rsid w:val="005912D0"/>
    <w:rsid w:val="005A5220"/>
    <w:rsid w:val="005A58AC"/>
    <w:rsid w:val="005B3E48"/>
    <w:rsid w:val="005B4C36"/>
    <w:rsid w:val="005C06E2"/>
    <w:rsid w:val="005C19C3"/>
    <w:rsid w:val="005D6BC6"/>
    <w:rsid w:val="005F5159"/>
    <w:rsid w:val="006050A9"/>
    <w:rsid w:val="00610942"/>
    <w:rsid w:val="00651BBD"/>
    <w:rsid w:val="00652AA6"/>
    <w:rsid w:val="00655100"/>
    <w:rsid w:val="00683E84"/>
    <w:rsid w:val="00692B7E"/>
    <w:rsid w:val="006A2BD5"/>
    <w:rsid w:val="006C5E52"/>
    <w:rsid w:val="006D0C09"/>
    <w:rsid w:val="006E6163"/>
    <w:rsid w:val="0072287A"/>
    <w:rsid w:val="00723F67"/>
    <w:rsid w:val="00746B6B"/>
    <w:rsid w:val="00751CF4"/>
    <w:rsid w:val="00760284"/>
    <w:rsid w:val="00781767"/>
    <w:rsid w:val="007845E3"/>
    <w:rsid w:val="0079310C"/>
    <w:rsid w:val="007A3849"/>
    <w:rsid w:val="007A710E"/>
    <w:rsid w:val="007B1606"/>
    <w:rsid w:val="007B4DE9"/>
    <w:rsid w:val="007D0D00"/>
    <w:rsid w:val="007D1C2D"/>
    <w:rsid w:val="007D5DE1"/>
    <w:rsid w:val="007E1A51"/>
    <w:rsid w:val="007E4017"/>
    <w:rsid w:val="007E618B"/>
    <w:rsid w:val="007F5754"/>
    <w:rsid w:val="00803048"/>
    <w:rsid w:val="00803A04"/>
    <w:rsid w:val="00804B66"/>
    <w:rsid w:val="0080755D"/>
    <w:rsid w:val="00815A34"/>
    <w:rsid w:val="00821693"/>
    <w:rsid w:val="00840422"/>
    <w:rsid w:val="008459BD"/>
    <w:rsid w:val="0085080B"/>
    <w:rsid w:val="0085216D"/>
    <w:rsid w:val="00860238"/>
    <w:rsid w:val="00871B97"/>
    <w:rsid w:val="0089523A"/>
    <w:rsid w:val="008A1FDA"/>
    <w:rsid w:val="008B75FB"/>
    <w:rsid w:val="008B77B5"/>
    <w:rsid w:val="008D13D2"/>
    <w:rsid w:val="008D4738"/>
    <w:rsid w:val="008F01EF"/>
    <w:rsid w:val="00902F90"/>
    <w:rsid w:val="0091192F"/>
    <w:rsid w:val="0091668F"/>
    <w:rsid w:val="009175D0"/>
    <w:rsid w:val="0092073A"/>
    <w:rsid w:val="0093178D"/>
    <w:rsid w:val="00942462"/>
    <w:rsid w:val="009428FF"/>
    <w:rsid w:val="00966EEB"/>
    <w:rsid w:val="00981F4A"/>
    <w:rsid w:val="009866C0"/>
    <w:rsid w:val="00986C44"/>
    <w:rsid w:val="009879D2"/>
    <w:rsid w:val="009A7F67"/>
    <w:rsid w:val="009C1530"/>
    <w:rsid w:val="009D3C94"/>
    <w:rsid w:val="009E5054"/>
    <w:rsid w:val="009F2AA9"/>
    <w:rsid w:val="00A11876"/>
    <w:rsid w:val="00A1450B"/>
    <w:rsid w:val="00A3025A"/>
    <w:rsid w:val="00A30443"/>
    <w:rsid w:val="00A33F64"/>
    <w:rsid w:val="00A41242"/>
    <w:rsid w:val="00A44116"/>
    <w:rsid w:val="00A50BAC"/>
    <w:rsid w:val="00A8008E"/>
    <w:rsid w:val="00A82B35"/>
    <w:rsid w:val="00A87DE8"/>
    <w:rsid w:val="00A93509"/>
    <w:rsid w:val="00AA031A"/>
    <w:rsid w:val="00AA2142"/>
    <w:rsid w:val="00AC5D20"/>
    <w:rsid w:val="00AD6E27"/>
    <w:rsid w:val="00AF3D97"/>
    <w:rsid w:val="00B05077"/>
    <w:rsid w:val="00B123BA"/>
    <w:rsid w:val="00B218C6"/>
    <w:rsid w:val="00B220D3"/>
    <w:rsid w:val="00B26685"/>
    <w:rsid w:val="00B53CDC"/>
    <w:rsid w:val="00B6182E"/>
    <w:rsid w:val="00B80528"/>
    <w:rsid w:val="00B83401"/>
    <w:rsid w:val="00B841E2"/>
    <w:rsid w:val="00BA5F7F"/>
    <w:rsid w:val="00BD2195"/>
    <w:rsid w:val="00C008E2"/>
    <w:rsid w:val="00C00BB1"/>
    <w:rsid w:val="00C14F04"/>
    <w:rsid w:val="00C261FC"/>
    <w:rsid w:val="00C37621"/>
    <w:rsid w:val="00C5291D"/>
    <w:rsid w:val="00C55538"/>
    <w:rsid w:val="00C57E91"/>
    <w:rsid w:val="00C60555"/>
    <w:rsid w:val="00C609A2"/>
    <w:rsid w:val="00C64687"/>
    <w:rsid w:val="00C72D3D"/>
    <w:rsid w:val="00C91546"/>
    <w:rsid w:val="00CA67EB"/>
    <w:rsid w:val="00CA69D5"/>
    <w:rsid w:val="00CA6BCF"/>
    <w:rsid w:val="00CB3966"/>
    <w:rsid w:val="00CC4A99"/>
    <w:rsid w:val="00CD0DAF"/>
    <w:rsid w:val="00CD1BC1"/>
    <w:rsid w:val="00CD68AE"/>
    <w:rsid w:val="00CE0EAC"/>
    <w:rsid w:val="00CE0EE2"/>
    <w:rsid w:val="00CF7F10"/>
    <w:rsid w:val="00D031A6"/>
    <w:rsid w:val="00D06619"/>
    <w:rsid w:val="00D22F17"/>
    <w:rsid w:val="00D267D9"/>
    <w:rsid w:val="00D3342C"/>
    <w:rsid w:val="00D535C7"/>
    <w:rsid w:val="00D6407A"/>
    <w:rsid w:val="00D6523B"/>
    <w:rsid w:val="00D73FFB"/>
    <w:rsid w:val="00D74BE5"/>
    <w:rsid w:val="00D8209F"/>
    <w:rsid w:val="00D87BA7"/>
    <w:rsid w:val="00D92F87"/>
    <w:rsid w:val="00DB1C97"/>
    <w:rsid w:val="00DC1A83"/>
    <w:rsid w:val="00DD1AFD"/>
    <w:rsid w:val="00DF1639"/>
    <w:rsid w:val="00DF5924"/>
    <w:rsid w:val="00E035F7"/>
    <w:rsid w:val="00E13DE2"/>
    <w:rsid w:val="00E27E45"/>
    <w:rsid w:val="00E666C8"/>
    <w:rsid w:val="00E66F57"/>
    <w:rsid w:val="00E72309"/>
    <w:rsid w:val="00E740F9"/>
    <w:rsid w:val="00E753A7"/>
    <w:rsid w:val="00E933EF"/>
    <w:rsid w:val="00ED0246"/>
    <w:rsid w:val="00ED357F"/>
    <w:rsid w:val="00EE2A41"/>
    <w:rsid w:val="00EE79F3"/>
    <w:rsid w:val="00F069E6"/>
    <w:rsid w:val="00F10BAD"/>
    <w:rsid w:val="00F210B0"/>
    <w:rsid w:val="00F27285"/>
    <w:rsid w:val="00F30988"/>
    <w:rsid w:val="00F3274A"/>
    <w:rsid w:val="00F32FCF"/>
    <w:rsid w:val="00F4428C"/>
    <w:rsid w:val="00F44850"/>
    <w:rsid w:val="00F46D34"/>
    <w:rsid w:val="00F60750"/>
    <w:rsid w:val="00F63179"/>
    <w:rsid w:val="00FA5C2C"/>
    <w:rsid w:val="00FB43EE"/>
    <w:rsid w:val="00FB6ABD"/>
    <w:rsid w:val="00FB70B0"/>
    <w:rsid w:val="00FC74F0"/>
    <w:rsid w:val="00FF5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949E5B"/>
  <w14:defaultImageDpi w14:val="32767"/>
  <w15:docId w15:val="{57C99DFA-9D64-4D69-8F17-BF3F237F3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428C"/>
    <w:pPr>
      <w:widowControl w:val="0"/>
    </w:pPr>
    <w:rPr>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09A2"/>
    <w:pPr>
      <w:tabs>
        <w:tab w:val="center" w:pos="4153"/>
        <w:tab w:val="right" w:pos="8306"/>
      </w:tabs>
      <w:snapToGrid w:val="0"/>
    </w:pPr>
  </w:style>
  <w:style w:type="character" w:customStyle="1" w:styleId="a4">
    <w:name w:val="页眉 字符"/>
    <w:basedOn w:val="a0"/>
    <w:link w:val="a3"/>
    <w:uiPriority w:val="99"/>
    <w:rsid w:val="00C609A2"/>
  </w:style>
  <w:style w:type="paragraph" w:styleId="a5">
    <w:name w:val="footer"/>
    <w:basedOn w:val="a"/>
    <w:link w:val="a6"/>
    <w:uiPriority w:val="99"/>
    <w:unhideWhenUsed/>
    <w:rsid w:val="00C609A2"/>
    <w:pPr>
      <w:tabs>
        <w:tab w:val="center" w:pos="4153"/>
        <w:tab w:val="right" w:pos="8306"/>
      </w:tabs>
      <w:snapToGrid w:val="0"/>
    </w:pPr>
  </w:style>
  <w:style w:type="character" w:customStyle="1" w:styleId="a6">
    <w:name w:val="页脚 字符"/>
    <w:basedOn w:val="a0"/>
    <w:link w:val="a5"/>
    <w:uiPriority w:val="99"/>
    <w:rsid w:val="00C609A2"/>
  </w:style>
  <w:style w:type="character" w:styleId="a7">
    <w:name w:val="Placeholder Text"/>
    <w:basedOn w:val="a0"/>
    <w:uiPriority w:val="99"/>
    <w:semiHidden/>
    <w:rsid w:val="00760284"/>
    <w:rPr>
      <w:color w:val="666666"/>
    </w:rPr>
  </w:style>
  <w:style w:type="paragraph" w:customStyle="1" w:styleId="EndNoteBibliographyTitle">
    <w:name w:val="EndNote Bibliography Title"/>
    <w:basedOn w:val="a"/>
    <w:link w:val="EndNoteBibliographyTitle0"/>
    <w:rsid w:val="003E607B"/>
    <w:pPr>
      <w:jc w:val="center"/>
    </w:pPr>
    <w:rPr>
      <w:rFonts w:ascii="Aptos" w:hAnsi="Aptos"/>
      <w:noProof/>
    </w:rPr>
  </w:style>
  <w:style w:type="character" w:customStyle="1" w:styleId="EndNoteBibliographyTitle0">
    <w:name w:val="EndNote Bibliography Title 字符"/>
    <w:basedOn w:val="a0"/>
    <w:link w:val="EndNoteBibliographyTitle"/>
    <w:rsid w:val="003E607B"/>
    <w:rPr>
      <w:rFonts w:ascii="Aptos" w:hAnsi="Aptos"/>
      <w:noProof/>
      <w:lang w:eastAsia="zh-TW"/>
    </w:rPr>
  </w:style>
  <w:style w:type="paragraph" w:customStyle="1" w:styleId="EndNoteBibliography">
    <w:name w:val="EndNote Bibliography"/>
    <w:basedOn w:val="a"/>
    <w:link w:val="EndNoteBibliography0"/>
    <w:rsid w:val="003E607B"/>
    <w:rPr>
      <w:rFonts w:ascii="Aptos" w:hAnsi="Aptos"/>
      <w:noProof/>
    </w:rPr>
  </w:style>
  <w:style w:type="character" w:customStyle="1" w:styleId="EndNoteBibliography0">
    <w:name w:val="EndNote Bibliography 字符"/>
    <w:basedOn w:val="a0"/>
    <w:link w:val="EndNoteBibliography"/>
    <w:rsid w:val="003E607B"/>
    <w:rPr>
      <w:rFonts w:ascii="Aptos" w:hAnsi="Aptos"/>
      <w:noProof/>
      <w:lang w:eastAsia="zh-TW"/>
    </w:rPr>
  </w:style>
  <w:style w:type="paragraph" w:styleId="a8">
    <w:name w:val="Normal (Web)"/>
    <w:basedOn w:val="a"/>
    <w:uiPriority w:val="99"/>
    <w:semiHidden/>
    <w:unhideWhenUsed/>
    <w:rsid w:val="00C261FC"/>
    <w:pPr>
      <w:widowControl/>
      <w:spacing w:before="100" w:beforeAutospacing="1" w:after="100" w:afterAutospacing="1"/>
    </w:pPr>
    <w:rPr>
      <w:rFonts w:ascii="Times New Roman" w:eastAsia="Times New Roman" w:hAnsi="Times New Roman" w:cs="Times New Roman"/>
      <w:kern w:val="0"/>
      <w:szCs w:val="24"/>
      <w:lang w:eastAsia="zh-CN"/>
    </w:rPr>
  </w:style>
  <w:style w:type="paragraph" w:styleId="a9">
    <w:name w:val="List Paragraph"/>
    <w:basedOn w:val="a"/>
    <w:uiPriority w:val="34"/>
    <w:qFormat/>
    <w:rsid w:val="00F63179"/>
    <w:pPr>
      <w:ind w:leftChars="400"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274767">
      <w:bodyDiv w:val="1"/>
      <w:marLeft w:val="0"/>
      <w:marRight w:val="0"/>
      <w:marTop w:val="0"/>
      <w:marBottom w:val="0"/>
      <w:divBdr>
        <w:top w:val="none" w:sz="0" w:space="0" w:color="auto"/>
        <w:left w:val="none" w:sz="0" w:space="0" w:color="auto"/>
        <w:bottom w:val="none" w:sz="0" w:space="0" w:color="auto"/>
        <w:right w:val="none" w:sz="0" w:space="0" w:color="auto"/>
      </w:divBdr>
    </w:div>
    <w:div w:id="166554828">
      <w:bodyDiv w:val="1"/>
      <w:marLeft w:val="0"/>
      <w:marRight w:val="0"/>
      <w:marTop w:val="0"/>
      <w:marBottom w:val="0"/>
      <w:divBdr>
        <w:top w:val="none" w:sz="0" w:space="0" w:color="auto"/>
        <w:left w:val="none" w:sz="0" w:space="0" w:color="auto"/>
        <w:bottom w:val="none" w:sz="0" w:space="0" w:color="auto"/>
        <w:right w:val="none" w:sz="0" w:space="0" w:color="auto"/>
      </w:divBdr>
    </w:div>
    <w:div w:id="217710981">
      <w:bodyDiv w:val="1"/>
      <w:marLeft w:val="0"/>
      <w:marRight w:val="0"/>
      <w:marTop w:val="0"/>
      <w:marBottom w:val="0"/>
      <w:divBdr>
        <w:top w:val="none" w:sz="0" w:space="0" w:color="auto"/>
        <w:left w:val="none" w:sz="0" w:space="0" w:color="auto"/>
        <w:bottom w:val="none" w:sz="0" w:space="0" w:color="auto"/>
        <w:right w:val="none" w:sz="0" w:space="0" w:color="auto"/>
      </w:divBdr>
    </w:div>
    <w:div w:id="249118110">
      <w:bodyDiv w:val="1"/>
      <w:marLeft w:val="0"/>
      <w:marRight w:val="0"/>
      <w:marTop w:val="0"/>
      <w:marBottom w:val="0"/>
      <w:divBdr>
        <w:top w:val="none" w:sz="0" w:space="0" w:color="auto"/>
        <w:left w:val="none" w:sz="0" w:space="0" w:color="auto"/>
        <w:bottom w:val="none" w:sz="0" w:space="0" w:color="auto"/>
        <w:right w:val="none" w:sz="0" w:space="0" w:color="auto"/>
      </w:divBdr>
    </w:div>
    <w:div w:id="250437335">
      <w:bodyDiv w:val="1"/>
      <w:marLeft w:val="0"/>
      <w:marRight w:val="0"/>
      <w:marTop w:val="0"/>
      <w:marBottom w:val="0"/>
      <w:divBdr>
        <w:top w:val="none" w:sz="0" w:space="0" w:color="auto"/>
        <w:left w:val="none" w:sz="0" w:space="0" w:color="auto"/>
        <w:bottom w:val="none" w:sz="0" w:space="0" w:color="auto"/>
        <w:right w:val="none" w:sz="0" w:space="0" w:color="auto"/>
      </w:divBdr>
    </w:div>
    <w:div w:id="427433351">
      <w:bodyDiv w:val="1"/>
      <w:marLeft w:val="0"/>
      <w:marRight w:val="0"/>
      <w:marTop w:val="0"/>
      <w:marBottom w:val="0"/>
      <w:divBdr>
        <w:top w:val="none" w:sz="0" w:space="0" w:color="auto"/>
        <w:left w:val="none" w:sz="0" w:space="0" w:color="auto"/>
        <w:bottom w:val="none" w:sz="0" w:space="0" w:color="auto"/>
        <w:right w:val="none" w:sz="0" w:space="0" w:color="auto"/>
      </w:divBdr>
    </w:div>
    <w:div w:id="428819561">
      <w:bodyDiv w:val="1"/>
      <w:marLeft w:val="0"/>
      <w:marRight w:val="0"/>
      <w:marTop w:val="0"/>
      <w:marBottom w:val="0"/>
      <w:divBdr>
        <w:top w:val="none" w:sz="0" w:space="0" w:color="auto"/>
        <w:left w:val="none" w:sz="0" w:space="0" w:color="auto"/>
        <w:bottom w:val="none" w:sz="0" w:space="0" w:color="auto"/>
        <w:right w:val="none" w:sz="0" w:space="0" w:color="auto"/>
      </w:divBdr>
    </w:div>
    <w:div w:id="451478402">
      <w:bodyDiv w:val="1"/>
      <w:marLeft w:val="0"/>
      <w:marRight w:val="0"/>
      <w:marTop w:val="0"/>
      <w:marBottom w:val="0"/>
      <w:divBdr>
        <w:top w:val="none" w:sz="0" w:space="0" w:color="auto"/>
        <w:left w:val="none" w:sz="0" w:space="0" w:color="auto"/>
        <w:bottom w:val="none" w:sz="0" w:space="0" w:color="auto"/>
        <w:right w:val="none" w:sz="0" w:space="0" w:color="auto"/>
      </w:divBdr>
    </w:div>
    <w:div w:id="705179760">
      <w:bodyDiv w:val="1"/>
      <w:marLeft w:val="0"/>
      <w:marRight w:val="0"/>
      <w:marTop w:val="0"/>
      <w:marBottom w:val="0"/>
      <w:divBdr>
        <w:top w:val="none" w:sz="0" w:space="0" w:color="auto"/>
        <w:left w:val="none" w:sz="0" w:space="0" w:color="auto"/>
        <w:bottom w:val="none" w:sz="0" w:space="0" w:color="auto"/>
        <w:right w:val="none" w:sz="0" w:space="0" w:color="auto"/>
      </w:divBdr>
    </w:div>
    <w:div w:id="756560025">
      <w:bodyDiv w:val="1"/>
      <w:marLeft w:val="0"/>
      <w:marRight w:val="0"/>
      <w:marTop w:val="0"/>
      <w:marBottom w:val="0"/>
      <w:divBdr>
        <w:top w:val="none" w:sz="0" w:space="0" w:color="auto"/>
        <w:left w:val="none" w:sz="0" w:space="0" w:color="auto"/>
        <w:bottom w:val="none" w:sz="0" w:space="0" w:color="auto"/>
        <w:right w:val="none" w:sz="0" w:space="0" w:color="auto"/>
      </w:divBdr>
    </w:div>
    <w:div w:id="824467125">
      <w:bodyDiv w:val="1"/>
      <w:marLeft w:val="0"/>
      <w:marRight w:val="0"/>
      <w:marTop w:val="0"/>
      <w:marBottom w:val="0"/>
      <w:divBdr>
        <w:top w:val="none" w:sz="0" w:space="0" w:color="auto"/>
        <w:left w:val="none" w:sz="0" w:space="0" w:color="auto"/>
        <w:bottom w:val="none" w:sz="0" w:space="0" w:color="auto"/>
        <w:right w:val="none" w:sz="0" w:space="0" w:color="auto"/>
      </w:divBdr>
    </w:div>
    <w:div w:id="860823964">
      <w:bodyDiv w:val="1"/>
      <w:marLeft w:val="0"/>
      <w:marRight w:val="0"/>
      <w:marTop w:val="0"/>
      <w:marBottom w:val="0"/>
      <w:divBdr>
        <w:top w:val="none" w:sz="0" w:space="0" w:color="auto"/>
        <w:left w:val="none" w:sz="0" w:space="0" w:color="auto"/>
        <w:bottom w:val="none" w:sz="0" w:space="0" w:color="auto"/>
        <w:right w:val="none" w:sz="0" w:space="0" w:color="auto"/>
      </w:divBdr>
    </w:div>
    <w:div w:id="881864979">
      <w:bodyDiv w:val="1"/>
      <w:marLeft w:val="0"/>
      <w:marRight w:val="0"/>
      <w:marTop w:val="0"/>
      <w:marBottom w:val="0"/>
      <w:divBdr>
        <w:top w:val="none" w:sz="0" w:space="0" w:color="auto"/>
        <w:left w:val="none" w:sz="0" w:space="0" w:color="auto"/>
        <w:bottom w:val="none" w:sz="0" w:space="0" w:color="auto"/>
        <w:right w:val="none" w:sz="0" w:space="0" w:color="auto"/>
      </w:divBdr>
    </w:div>
    <w:div w:id="980498480">
      <w:bodyDiv w:val="1"/>
      <w:marLeft w:val="0"/>
      <w:marRight w:val="0"/>
      <w:marTop w:val="0"/>
      <w:marBottom w:val="0"/>
      <w:divBdr>
        <w:top w:val="none" w:sz="0" w:space="0" w:color="auto"/>
        <w:left w:val="none" w:sz="0" w:space="0" w:color="auto"/>
        <w:bottom w:val="none" w:sz="0" w:space="0" w:color="auto"/>
        <w:right w:val="none" w:sz="0" w:space="0" w:color="auto"/>
      </w:divBdr>
    </w:div>
    <w:div w:id="996492282">
      <w:bodyDiv w:val="1"/>
      <w:marLeft w:val="0"/>
      <w:marRight w:val="0"/>
      <w:marTop w:val="0"/>
      <w:marBottom w:val="0"/>
      <w:divBdr>
        <w:top w:val="none" w:sz="0" w:space="0" w:color="auto"/>
        <w:left w:val="none" w:sz="0" w:space="0" w:color="auto"/>
        <w:bottom w:val="none" w:sz="0" w:space="0" w:color="auto"/>
        <w:right w:val="none" w:sz="0" w:space="0" w:color="auto"/>
      </w:divBdr>
    </w:div>
    <w:div w:id="1038628592">
      <w:bodyDiv w:val="1"/>
      <w:marLeft w:val="0"/>
      <w:marRight w:val="0"/>
      <w:marTop w:val="0"/>
      <w:marBottom w:val="0"/>
      <w:divBdr>
        <w:top w:val="none" w:sz="0" w:space="0" w:color="auto"/>
        <w:left w:val="none" w:sz="0" w:space="0" w:color="auto"/>
        <w:bottom w:val="none" w:sz="0" w:space="0" w:color="auto"/>
        <w:right w:val="none" w:sz="0" w:space="0" w:color="auto"/>
      </w:divBdr>
    </w:div>
    <w:div w:id="1070231951">
      <w:bodyDiv w:val="1"/>
      <w:marLeft w:val="0"/>
      <w:marRight w:val="0"/>
      <w:marTop w:val="0"/>
      <w:marBottom w:val="0"/>
      <w:divBdr>
        <w:top w:val="none" w:sz="0" w:space="0" w:color="auto"/>
        <w:left w:val="none" w:sz="0" w:space="0" w:color="auto"/>
        <w:bottom w:val="none" w:sz="0" w:space="0" w:color="auto"/>
        <w:right w:val="none" w:sz="0" w:space="0" w:color="auto"/>
      </w:divBdr>
    </w:div>
    <w:div w:id="1283683789">
      <w:bodyDiv w:val="1"/>
      <w:marLeft w:val="0"/>
      <w:marRight w:val="0"/>
      <w:marTop w:val="0"/>
      <w:marBottom w:val="0"/>
      <w:divBdr>
        <w:top w:val="none" w:sz="0" w:space="0" w:color="auto"/>
        <w:left w:val="none" w:sz="0" w:space="0" w:color="auto"/>
        <w:bottom w:val="none" w:sz="0" w:space="0" w:color="auto"/>
        <w:right w:val="none" w:sz="0" w:space="0" w:color="auto"/>
      </w:divBdr>
    </w:div>
    <w:div w:id="1338119037">
      <w:bodyDiv w:val="1"/>
      <w:marLeft w:val="0"/>
      <w:marRight w:val="0"/>
      <w:marTop w:val="0"/>
      <w:marBottom w:val="0"/>
      <w:divBdr>
        <w:top w:val="none" w:sz="0" w:space="0" w:color="auto"/>
        <w:left w:val="none" w:sz="0" w:space="0" w:color="auto"/>
        <w:bottom w:val="none" w:sz="0" w:space="0" w:color="auto"/>
        <w:right w:val="none" w:sz="0" w:space="0" w:color="auto"/>
      </w:divBdr>
    </w:div>
    <w:div w:id="1621108626">
      <w:bodyDiv w:val="1"/>
      <w:marLeft w:val="0"/>
      <w:marRight w:val="0"/>
      <w:marTop w:val="0"/>
      <w:marBottom w:val="0"/>
      <w:divBdr>
        <w:top w:val="none" w:sz="0" w:space="0" w:color="auto"/>
        <w:left w:val="none" w:sz="0" w:space="0" w:color="auto"/>
        <w:bottom w:val="none" w:sz="0" w:space="0" w:color="auto"/>
        <w:right w:val="none" w:sz="0" w:space="0" w:color="auto"/>
      </w:divBdr>
    </w:div>
    <w:div w:id="1676760731">
      <w:bodyDiv w:val="1"/>
      <w:marLeft w:val="0"/>
      <w:marRight w:val="0"/>
      <w:marTop w:val="0"/>
      <w:marBottom w:val="0"/>
      <w:divBdr>
        <w:top w:val="none" w:sz="0" w:space="0" w:color="auto"/>
        <w:left w:val="none" w:sz="0" w:space="0" w:color="auto"/>
        <w:bottom w:val="none" w:sz="0" w:space="0" w:color="auto"/>
        <w:right w:val="none" w:sz="0" w:space="0" w:color="auto"/>
      </w:divBdr>
    </w:div>
    <w:div w:id="1820880795">
      <w:bodyDiv w:val="1"/>
      <w:marLeft w:val="0"/>
      <w:marRight w:val="0"/>
      <w:marTop w:val="0"/>
      <w:marBottom w:val="0"/>
      <w:divBdr>
        <w:top w:val="none" w:sz="0" w:space="0" w:color="auto"/>
        <w:left w:val="none" w:sz="0" w:space="0" w:color="auto"/>
        <w:bottom w:val="none" w:sz="0" w:space="0" w:color="auto"/>
        <w:right w:val="none" w:sz="0" w:space="0" w:color="auto"/>
      </w:divBdr>
    </w:div>
    <w:div w:id="1880627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1447</TotalTime>
  <Pages>5</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史 向卉</dc:creator>
  <cp:keywords/>
  <dc:description/>
  <cp:lastModifiedBy>史 向卉</cp:lastModifiedBy>
  <cp:revision>136</cp:revision>
  <dcterms:created xsi:type="dcterms:W3CDTF">2024-05-21T15:13:00Z</dcterms:created>
  <dcterms:modified xsi:type="dcterms:W3CDTF">2024-09-25T05:43:00Z</dcterms:modified>
</cp:coreProperties>
</file>