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12" w:rsidRDefault="00990912" w:rsidP="00990912">
      <w:pPr>
        <w:rPr>
          <w:b/>
          <w:bCs/>
        </w:rPr>
      </w:pPr>
      <w:r>
        <w:rPr>
          <w:b/>
          <w:bCs/>
        </w:rPr>
        <w:t>Tables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81"/>
        <w:gridCol w:w="1440"/>
        <w:gridCol w:w="810"/>
        <w:gridCol w:w="630"/>
        <w:gridCol w:w="1257"/>
        <w:gridCol w:w="544"/>
        <w:gridCol w:w="1709"/>
        <w:gridCol w:w="80"/>
      </w:tblGrid>
      <w:tr w:rsidR="00990912" w:rsidTr="00665A2B">
        <w:trPr>
          <w:gridAfter w:val="1"/>
          <w:wAfter w:w="43" w:type="pct"/>
          <w:trHeight w:val="20"/>
        </w:trPr>
        <w:tc>
          <w:tcPr>
            <w:tcW w:w="4957" w:type="pct"/>
            <w:gridSpan w:val="8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rPr>
                <w:rFonts w:eastAsia="Cambria"/>
                <w:b/>
                <w:bCs/>
                <w:sz w:val="22"/>
                <w:szCs w:val="22"/>
              </w:rPr>
            </w:pPr>
            <w:r w:rsidRPr="00FD68A2">
              <w:rPr>
                <w:rFonts w:eastAsia="Cambria"/>
                <w:b/>
                <w:bCs/>
                <w:sz w:val="22"/>
                <w:szCs w:val="22"/>
              </w:rPr>
              <w:t>Table 1: Participants characteristics</w:t>
            </w:r>
          </w:p>
        </w:tc>
      </w:tr>
      <w:tr w:rsidR="00990912" w:rsidTr="00665A2B">
        <w:trPr>
          <w:gridAfter w:val="1"/>
          <w:wAfter w:w="43" w:type="pct"/>
          <w:trHeight w:val="2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FD68A2">
              <w:rPr>
                <w:rFonts w:eastAsia="Cambria"/>
                <w:b/>
                <w:bCs/>
                <w:sz w:val="20"/>
                <w:szCs w:val="20"/>
              </w:rPr>
              <w:t>PD    (n=67)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FD68A2">
              <w:rPr>
                <w:rFonts w:eastAsia="Cambria"/>
                <w:b/>
                <w:bCs/>
                <w:sz w:val="20"/>
                <w:szCs w:val="20"/>
              </w:rPr>
              <w:t>HC (n=52)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FD68A2">
              <w:rPr>
                <w:rFonts w:eastAsia="Cambria"/>
                <w:b/>
                <w:bCs/>
                <w:sz w:val="20"/>
                <w:szCs w:val="20"/>
              </w:rPr>
              <w:t>PD/HC p-value</w:t>
            </w:r>
          </w:p>
        </w:tc>
      </w:tr>
      <w:tr w:rsidR="00990912" w:rsidTr="00665A2B">
        <w:trPr>
          <w:gridAfter w:val="1"/>
          <w:wAfter w:w="43" w:type="pct"/>
          <w:trHeight w:val="20"/>
        </w:trPr>
        <w:tc>
          <w:tcPr>
            <w:tcW w:w="1443" w:type="pct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>
              <w:rPr>
                <w:rFonts w:eastAsia="Cambria"/>
                <w:b/>
                <w:bCs/>
                <w:sz w:val="22"/>
                <w:szCs w:val="22"/>
              </w:rPr>
              <w:t>Gender</w:t>
            </w:r>
            <w:r w:rsidRPr="00FD68A2">
              <w:rPr>
                <w:rFonts w:eastAsia="Cambria"/>
                <w:b/>
                <w:bCs/>
                <w:sz w:val="22"/>
                <w:szCs w:val="22"/>
              </w:rPr>
              <w:t xml:space="preserve"> (F/M)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30/37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28/24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0.326</w:t>
            </w:r>
          </w:p>
        </w:tc>
      </w:tr>
      <w:tr w:rsidR="00990912" w:rsidTr="00665A2B">
        <w:trPr>
          <w:gridAfter w:val="1"/>
          <w:wAfter w:w="43" w:type="pct"/>
          <w:trHeight w:val="20"/>
        </w:trPr>
        <w:tc>
          <w:tcPr>
            <w:tcW w:w="1443" w:type="pct"/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 w:rsidRPr="00FD68A2">
              <w:rPr>
                <w:rFonts w:eastAsia="Cambria"/>
                <w:b/>
                <w:bCs/>
                <w:sz w:val="22"/>
                <w:szCs w:val="22"/>
              </w:rPr>
              <w:t>Age (years)</w:t>
            </w:r>
          </w:p>
        </w:tc>
        <w:tc>
          <w:tcPr>
            <w:tcW w:w="1300" w:type="pct"/>
            <w:gridSpan w:val="3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66.5±7.7</w:t>
            </w:r>
          </w:p>
        </w:tc>
        <w:tc>
          <w:tcPr>
            <w:tcW w:w="1009" w:type="pct"/>
            <w:gridSpan w:val="2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65.8±9.2</w:t>
            </w:r>
          </w:p>
        </w:tc>
        <w:tc>
          <w:tcPr>
            <w:tcW w:w="1205" w:type="pct"/>
            <w:gridSpan w:val="2"/>
            <w:shd w:val="clear" w:color="auto" w:fill="FFFFFF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0.682</w:t>
            </w:r>
          </w:p>
        </w:tc>
      </w:tr>
      <w:tr w:rsidR="00990912" w:rsidTr="00665A2B">
        <w:trPr>
          <w:gridAfter w:val="1"/>
          <w:wAfter w:w="43" w:type="pct"/>
          <w:trHeight w:val="20"/>
        </w:trPr>
        <w:tc>
          <w:tcPr>
            <w:tcW w:w="1443" w:type="pct"/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 w:rsidRPr="00FD68A2">
              <w:rPr>
                <w:rFonts w:eastAsia="Cambria"/>
                <w:b/>
                <w:bCs/>
                <w:sz w:val="22"/>
                <w:szCs w:val="22"/>
              </w:rPr>
              <w:t>MOCA</w:t>
            </w:r>
          </w:p>
        </w:tc>
        <w:tc>
          <w:tcPr>
            <w:tcW w:w="1300" w:type="pct"/>
            <w:gridSpan w:val="3"/>
          </w:tcPr>
          <w:p w:rsidR="00990912" w:rsidRPr="00FD68A2" w:rsidRDefault="00990912" w:rsidP="00665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25.7±2.8</w:t>
            </w:r>
          </w:p>
        </w:tc>
        <w:tc>
          <w:tcPr>
            <w:tcW w:w="1009" w:type="pct"/>
            <w:gridSpan w:val="2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26.9±2.5</w:t>
            </w:r>
          </w:p>
        </w:tc>
        <w:tc>
          <w:tcPr>
            <w:tcW w:w="1205" w:type="pct"/>
            <w:gridSpan w:val="2"/>
            <w:shd w:val="clear" w:color="auto" w:fill="FFFFFF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0.126</w:t>
            </w:r>
          </w:p>
        </w:tc>
      </w:tr>
      <w:tr w:rsidR="00990912" w:rsidTr="00665A2B">
        <w:trPr>
          <w:gridAfter w:val="1"/>
          <w:wAfter w:w="43" w:type="pct"/>
          <w:trHeight w:val="20"/>
        </w:trPr>
        <w:tc>
          <w:tcPr>
            <w:tcW w:w="1443" w:type="pct"/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 w:rsidRPr="00FD68A2">
              <w:rPr>
                <w:rFonts w:eastAsia="Cambria"/>
                <w:b/>
                <w:bCs/>
                <w:sz w:val="22"/>
                <w:szCs w:val="22"/>
              </w:rPr>
              <w:t>MDS- UPDRS</w:t>
            </w:r>
          </w:p>
        </w:tc>
        <w:tc>
          <w:tcPr>
            <w:tcW w:w="1300" w:type="pct"/>
            <w:gridSpan w:val="3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22.9±13.9</w:t>
            </w:r>
          </w:p>
        </w:tc>
        <w:tc>
          <w:tcPr>
            <w:tcW w:w="1009" w:type="pct"/>
            <w:gridSpan w:val="2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1.6±2.3</w:t>
            </w:r>
          </w:p>
        </w:tc>
        <w:tc>
          <w:tcPr>
            <w:tcW w:w="1205" w:type="pct"/>
            <w:gridSpan w:val="2"/>
            <w:shd w:val="clear" w:color="auto" w:fill="FFFFFF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 w:rsidRPr="00FD68A2">
              <w:rPr>
                <w:rFonts w:eastAsia="Cambria"/>
                <w:sz w:val="20"/>
                <w:szCs w:val="20"/>
              </w:rPr>
              <w:t>&lt;0.001</w:t>
            </w:r>
          </w:p>
        </w:tc>
      </w:tr>
      <w:tr w:rsidR="00990912" w:rsidTr="00990912">
        <w:trPr>
          <w:gridAfter w:val="1"/>
          <w:wAfter w:w="43" w:type="pct"/>
          <w:trHeight w:val="20"/>
        </w:trPr>
        <w:tc>
          <w:tcPr>
            <w:tcW w:w="1443" w:type="pct"/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>
              <w:rPr>
                <w:rFonts w:eastAsia="Cambria"/>
                <w:b/>
                <w:bCs/>
                <w:sz w:val="22"/>
                <w:szCs w:val="22"/>
              </w:rPr>
              <w:t>Disease duration (years)</w:t>
            </w:r>
          </w:p>
        </w:tc>
        <w:tc>
          <w:tcPr>
            <w:tcW w:w="1300" w:type="pct"/>
            <w:gridSpan w:val="3"/>
          </w:tcPr>
          <w:p w:rsidR="00990912" w:rsidRPr="00A0741E" w:rsidRDefault="00990912" w:rsidP="00665A2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eastAsia="Cambria"/>
                <w:sz w:val="20"/>
                <w:szCs w:val="20"/>
              </w:rPr>
              <w:t>4.8±3.9</w:t>
            </w:r>
          </w:p>
        </w:tc>
        <w:tc>
          <w:tcPr>
            <w:tcW w:w="1009" w:type="pct"/>
            <w:gridSpan w:val="2"/>
          </w:tcPr>
          <w:p w:rsidR="00990912" w:rsidRPr="00EF4201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>
              <w:rPr>
                <w:rFonts w:eastAsia="Cambria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05" w:type="pct"/>
            <w:gridSpan w:val="2"/>
            <w:shd w:val="clear" w:color="auto" w:fill="FFFFFF"/>
          </w:tcPr>
          <w:p w:rsidR="00990912" w:rsidRPr="00EF4201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 w:rsidRPr="00EF4201">
              <w:rPr>
                <w:rFonts w:eastAsia="Cambria"/>
                <w:sz w:val="20"/>
                <w:szCs w:val="20"/>
              </w:rPr>
              <w:t>na</w:t>
            </w:r>
            <w:proofErr w:type="spellEnd"/>
          </w:p>
        </w:tc>
      </w:tr>
      <w:tr w:rsidR="00990912" w:rsidTr="00990912">
        <w:trPr>
          <w:gridAfter w:val="1"/>
          <w:wAfter w:w="43" w:type="pct"/>
          <w:trHeight w:val="20"/>
        </w:trPr>
        <w:tc>
          <w:tcPr>
            <w:tcW w:w="1443" w:type="pct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spacing w:line="240" w:lineRule="auto"/>
              <w:rPr>
                <w:rFonts w:eastAsia="Cambria"/>
                <w:b/>
                <w:bCs/>
                <w:sz w:val="22"/>
                <w:szCs w:val="22"/>
              </w:rPr>
            </w:pPr>
            <w:r>
              <w:rPr>
                <w:rFonts w:eastAsia="Cambria"/>
                <w:b/>
                <w:bCs/>
                <w:sz w:val="22"/>
                <w:szCs w:val="22"/>
              </w:rPr>
              <w:t>LEDD (mg)</w:t>
            </w:r>
          </w:p>
        </w:tc>
        <w:tc>
          <w:tcPr>
            <w:tcW w:w="1300" w:type="pct"/>
            <w:gridSpan w:val="3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423.1±420.3</w:t>
            </w:r>
          </w:p>
        </w:tc>
        <w:tc>
          <w:tcPr>
            <w:tcW w:w="1009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 w:rsidRPr="005D0D74">
              <w:rPr>
                <w:rFonts w:eastAsia="Cambria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0912" w:rsidRPr="00FD68A2" w:rsidRDefault="00990912" w:rsidP="00665A2B">
            <w:pPr>
              <w:widowControl w:val="0"/>
              <w:spacing w:line="240" w:lineRule="auto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 w:rsidRPr="005D0D74">
              <w:rPr>
                <w:rFonts w:eastAsia="Cambria"/>
                <w:sz w:val="20"/>
                <w:szCs w:val="20"/>
              </w:rPr>
              <w:t>na</w:t>
            </w:r>
            <w:proofErr w:type="spellEnd"/>
          </w:p>
        </w:tc>
      </w:tr>
      <w:tr w:rsidR="00990912" w:rsidTr="00990912">
        <w:trPr>
          <w:gridAfter w:val="1"/>
          <w:wAfter w:w="43" w:type="pct"/>
          <w:trHeight w:val="20"/>
        </w:trPr>
        <w:tc>
          <w:tcPr>
            <w:tcW w:w="4957" w:type="pct"/>
            <w:gridSpan w:val="8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rPr>
                <w:sz w:val="22"/>
                <w:szCs w:val="22"/>
              </w:rPr>
            </w:pPr>
            <w:r w:rsidRPr="00FD68A2">
              <w:rPr>
                <w:rFonts w:ascii="Cambria" w:eastAsia="Cambria" w:hAnsi="Cambria" w:cs="Arial"/>
                <w:sz w:val="20"/>
                <w:szCs w:val="20"/>
              </w:rPr>
              <w:t xml:space="preserve">PD=Parkinson’s disease, HC=healthy controls, MOCA=Montreal cognitive assessment, </w:t>
            </w:r>
            <w:r>
              <w:rPr>
                <w:rFonts w:ascii="Cambria" w:eastAsia="Cambria" w:hAnsi="Cambria" w:cs="Arial"/>
                <w:sz w:val="20"/>
                <w:szCs w:val="20"/>
              </w:rPr>
              <w:t xml:space="preserve">MDS-UPDRS </w:t>
            </w:r>
            <w:r w:rsidRPr="00FD68A2">
              <w:rPr>
                <w:rFonts w:ascii="Cambria" w:eastAsia="Cambria" w:hAnsi="Cambria" w:cs="Arial"/>
                <w:sz w:val="20"/>
                <w:szCs w:val="20"/>
              </w:rPr>
              <w:t xml:space="preserve">=unified Parkinson’s disease rating scale. The values represent </w:t>
            </w:r>
            <w:r w:rsidRPr="00FD68A2">
              <w:rPr>
                <w:rFonts w:eastAsia="Cambria"/>
                <w:sz w:val="20"/>
                <w:szCs w:val="20"/>
              </w:rPr>
              <w:t>mean ± standard deviation.</w:t>
            </w:r>
            <w:r w:rsidRPr="00FD68A2">
              <w:rPr>
                <w:rFonts w:ascii="Cambria" w:eastAsia="Cambria" w:hAnsi="Cambri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90912" w:rsidTr="00990912">
        <w:tc>
          <w:tcPr>
            <w:tcW w:w="5000" w:type="pct"/>
            <w:gridSpan w:val="9"/>
          </w:tcPr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Default="00990912" w:rsidP="00665A2B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990912" w:rsidRPr="00FD68A2" w:rsidRDefault="00990912" w:rsidP="00665A2B">
            <w:pPr>
              <w:jc w:val="left"/>
              <w:rPr>
                <w:sz w:val="22"/>
                <w:szCs w:val="22"/>
              </w:rPr>
            </w:pPr>
            <w:r w:rsidRPr="00FD68A2">
              <w:rPr>
                <w:b/>
                <w:bCs/>
                <w:sz w:val="22"/>
                <w:szCs w:val="22"/>
              </w:rPr>
              <w:t>Table 2:</w:t>
            </w:r>
            <w:r w:rsidRPr="00FD68A2">
              <w:rPr>
                <w:sz w:val="22"/>
                <w:szCs w:val="22"/>
              </w:rPr>
              <w:t xml:space="preserve"> Number of PD patients in each group according to different MDS-UPDRS parts</w:t>
            </w:r>
          </w:p>
        </w:tc>
      </w:tr>
      <w:tr w:rsidR="00990912" w:rsidTr="00990912"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rPr>
                <w:b/>
                <w:bCs/>
                <w:sz w:val="20"/>
                <w:szCs w:val="20"/>
              </w:rPr>
            </w:pPr>
            <w:r w:rsidRPr="00FD68A2">
              <w:rPr>
                <w:b/>
                <w:bCs/>
                <w:sz w:val="20"/>
                <w:szCs w:val="20"/>
              </w:rPr>
              <w:lastRenderedPageBreak/>
              <w:t xml:space="preserve">MDS-UPDRS 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 xml:space="preserve"> “slight” (n)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 xml:space="preserve"> “mild” (n)</w:t>
            </w:r>
          </w:p>
        </w:tc>
        <w:tc>
          <w:tcPr>
            <w:tcW w:w="963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 xml:space="preserve"> “moderate” (n)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 xml:space="preserve"> “severe” (n)</w:t>
            </w:r>
          </w:p>
        </w:tc>
      </w:tr>
      <w:tr w:rsidR="00990912" w:rsidTr="00665A2B">
        <w:tc>
          <w:tcPr>
            <w:tcW w:w="1540" w:type="pct"/>
            <w:gridSpan w:val="2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MDS-UPDRS </w:t>
            </w:r>
            <w:r w:rsidRPr="00FD68A2">
              <w:rPr>
                <w:b/>
                <w:bCs/>
                <w:sz w:val="20"/>
                <w:szCs w:val="20"/>
              </w:rPr>
              <w:t xml:space="preserve"> tota</w:t>
            </w:r>
            <w:r w:rsidRPr="00FD68A2">
              <w:rPr>
                <w:sz w:val="20"/>
                <w:szCs w:val="20"/>
              </w:rPr>
              <w:t xml:space="preserve">l 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58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9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</w:tr>
      <w:tr w:rsidR="00990912" w:rsidTr="00665A2B">
        <w:tc>
          <w:tcPr>
            <w:tcW w:w="1540" w:type="pct"/>
            <w:gridSpan w:val="2"/>
          </w:tcPr>
          <w:p w:rsidR="00990912" w:rsidRPr="00FD68A2" w:rsidRDefault="00990912" w:rsidP="00665A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MDS-UPDRS </w:t>
            </w:r>
            <w:r w:rsidRPr="00FD68A2">
              <w:rPr>
                <w:b/>
                <w:bCs/>
                <w:sz w:val="20"/>
                <w:szCs w:val="20"/>
              </w:rPr>
              <w:t xml:space="preserve"> motor total</w:t>
            </w:r>
          </w:p>
        </w:tc>
        <w:tc>
          <w:tcPr>
            <w:tcW w:w="770" w:type="pct"/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56</w:t>
            </w:r>
          </w:p>
        </w:tc>
        <w:tc>
          <w:tcPr>
            <w:tcW w:w="770" w:type="pct"/>
            <w:gridSpan w:val="2"/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11</w:t>
            </w:r>
          </w:p>
        </w:tc>
        <w:tc>
          <w:tcPr>
            <w:tcW w:w="963" w:type="pct"/>
            <w:gridSpan w:val="2"/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  <w:tc>
          <w:tcPr>
            <w:tcW w:w="957" w:type="pct"/>
            <w:gridSpan w:val="2"/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</w:tr>
      <w:tr w:rsidR="00990912" w:rsidTr="00665A2B"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MDS-UPDRS </w:t>
            </w:r>
            <w:r w:rsidRPr="00FD68A2">
              <w:rPr>
                <w:b/>
                <w:bCs/>
                <w:sz w:val="20"/>
                <w:szCs w:val="20"/>
              </w:rPr>
              <w:t>facial (</w:t>
            </w:r>
            <w:r>
              <w:rPr>
                <w:b/>
                <w:bCs/>
                <w:sz w:val="20"/>
                <w:szCs w:val="20"/>
              </w:rPr>
              <w:t>item</w:t>
            </w:r>
            <w:r w:rsidRPr="00FD68A2">
              <w:rPr>
                <w:b/>
                <w:bCs/>
                <w:sz w:val="20"/>
                <w:szCs w:val="20"/>
              </w:rPr>
              <w:t xml:space="preserve"> 3.2)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49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18</w:t>
            </w:r>
          </w:p>
        </w:tc>
        <w:tc>
          <w:tcPr>
            <w:tcW w:w="963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</w:tcBorders>
          </w:tcPr>
          <w:p w:rsidR="00990912" w:rsidRPr="00FD68A2" w:rsidRDefault="00990912" w:rsidP="00665A2B">
            <w:pPr>
              <w:jc w:val="center"/>
              <w:rPr>
                <w:sz w:val="20"/>
                <w:szCs w:val="20"/>
              </w:rPr>
            </w:pPr>
            <w:r w:rsidRPr="00FD68A2">
              <w:rPr>
                <w:sz w:val="20"/>
                <w:szCs w:val="20"/>
              </w:rPr>
              <w:t>0</w:t>
            </w:r>
          </w:p>
        </w:tc>
      </w:tr>
      <w:tr w:rsidR="00990912" w:rsidTr="00665A2B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90912" w:rsidRPr="00FD68A2" w:rsidRDefault="00990912" w:rsidP="00665A2B">
            <w:pPr>
              <w:jc w:val="left"/>
              <w:rPr>
                <w:sz w:val="22"/>
                <w:szCs w:val="22"/>
              </w:rPr>
            </w:pPr>
            <w:r w:rsidRPr="00FD68A2">
              <w:rPr>
                <w:sz w:val="22"/>
                <w:szCs w:val="22"/>
              </w:rPr>
              <w:t>MDS-UPDRS=Movement Disorder Society-Unified Parkinson’s Disease Rating Scale, n=number of patients.</w:t>
            </w:r>
          </w:p>
        </w:tc>
      </w:tr>
    </w:tbl>
    <w:p w:rsidR="00990912" w:rsidRPr="00FD68A2" w:rsidRDefault="00990912" w:rsidP="00990912">
      <w:pPr>
        <w:pStyle w:val="NormalWeb"/>
        <w:rPr>
          <w:sz w:val="22"/>
          <w:szCs w:val="22"/>
        </w:rPr>
      </w:pPr>
    </w:p>
    <w:p w:rsidR="0075481D" w:rsidRDefault="0075481D"/>
    <w:sectPr w:rsidR="0075481D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36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710" w:rsidRDefault="009909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7710" w:rsidRDefault="009909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12"/>
    <w:rsid w:val="0075481D"/>
    <w:rsid w:val="009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9004"/>
  <w15:chartTrackingRefBased/>
  <w15:docId w15:val="{17AE1F5D-73CA-4EC6-BF00-5F435E39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0912"/>
    <w:pPr>
      <w:spacing w:before="240" w:after="24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0912"/>
    <w:pPr>
      <w:spacing w:before="100" w:beforeAutospacing="1" w:after="100" w:afterAutospacing="1" w:line="240" w:lineRule="auto"/>
      <w:jc w:val="left"/>
    </w:pPr>
  </w:style>
  <w:style w:type="paragraph" w:styleId="Footer">
    <w:name w:val="footer"/>
    <w:basedOn w:val="Normal"/>
    <w:link w:val="FooterChar"/>
    <w:uiPriority w:val="99"/>
    <w:unhideWhenUsed/>
    <w:rsid w:val="009909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2024-07-27T19:15:00Z</dcterms:created>
  <dcterms:modified xsi:type="dcterms:W3CDTF">2024-07-27T19:17:00Z</dcterms:modified>
</cp:coreProperties>
</file>