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C76D3E" w14:textId="77777777" w:rsidR="00CA222E" w:rsidRDefault="00CA222E" w:rsidP="00CA222E">
      <w:pPr>
        <w:pStyle w:val="NormalWeb"/>
        <w:spacing w:before="0" w:beforeAutospacing="0" w:after="0" w:afterAutospacing="0" w:line="480" w:lineRule="auto"/>
        <w:rPr>
          <w:b/>
          <w:bCs/>
          <w:color w:val="000000"/>
        </w:rPr>
      </w:pPr>
      <w:r>
        <w:rPr>
          <w:b/>
          <w:bCs/>
          <w:noProof/>
          <w:color w:val="000000"/>
        </w:rPr>
        <w:drawing>
          <wp:inline distT="0" distB="0" distL="0" distR="0" wp14:anchorId="49E73597" wp14:editId="4273D3B8">
            <wp:extent cx="6302188" cy="3226505"/>
            <wp:effectExtent l="0" t="0" r="0" b="0"/>
            <wp:docPr id="1774202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202041" name="Picture 1774202041"/>
                    <pic:cNvPicPr/>
                  </pic:nvPicPr>
                  <pic:blipFill>
                    <a:blip r:embed="rId4" cstate="print">
                      <a:extLst>
                        <a:ext uri="{28A0092B-C50C-407E-A947-70E740481C1C}">
                          <a14:useLocalDpi xmlns:a14="http://schemas.microsoft.com/office/drawing/2010/main" val="0"/>
                        </a:ext>
                      </a:extLst>
                    </a:blip>
                    <a:stretch>
                      <a:fillRect/>
                    </a:stretch>
                  </pic:blipFill>
                  <pic:spPr>
                    <a:xfrm>
                      <a:off x="0" y="0"/>
                      <a:ext cx="6371722" cy="3262104"/>
                    </a:xfrm>
                    <a:prstGeom prst="rect">
                      <a:avLst/>
                    </a:prstGeom>
                  </pic:spPr>
                </pic:pic>
              </a:graphicData>
            </a:graphic>
          </wp:inline>
        </w:drawing>
      </w:r>
    </w:p>
    <w:p w14:paraId="7BB6A648" w14:textId="77777777" w:rsidR="00CA222E" w:rsidRDefault="00CA222E" w:rsidP="00CA222E">
      <w:pPr>
        <w:pStyle w:val="NormalWeb"/>
        <w:spacing w:before="0" w:beforeAutospacing="0" w:after="0" w:afterAutospacing="0"/>
        <w:jc w:val="both"/>
      </w:pPr>
      <w:r>
        <w:rPr>
          <w:b/>
          <w:bCs/>
          <w:color w:val="000000"/>
        </w:rPr>
        <w:t xml:space="preserve">Extended Data Figure 1. Logarithmic GPI decomposition. </w:t>
      </w:r>
      <w:r w:rsidRPr="00A43662">
        <w:rPr>
          <w:color w:val="000000"/>
        </w:rPr>
        <w:t xml:space="preserve">The absolute change in GPI between the 2075-2100 averaged </w:t>
      </w:r>
      <w:r>
        <w:rPr>
          <w:color w:val="000000"/>
        </w:rPr>
        <w:t>wk</w:t>
      </w:r>
      <w:r w:rsidRPr="00A43662">
        <w:rPr>
          <w:color w:val="000000"/>
        </w:rPr>
        <w:t xml:space="preserve"> and </w:t>
      </w:r>
      <w:r>
        <w:rPr>
          <w:color w:val="000000"/>
        </w:rPr>
        <w:t>fx</w:t>
      </w:r>
      <w:r w:rsidRPr="00A43662">
        <w:rPr>
          <w:color w:val="000000"/>
        </w:rPr>
        <w:t xml:space="preserve"> simulations in Fig. </w:t>
      </w:r>
      <w:r>
        <w:rPr>
          <w:color w:val="000000"/>
        </w:rPr>
        <w:t>3</w:t>
      </w:r>
      <w:r w:rsidRPr="00A43662">
        <w:rPr>
          <w:color w:val="000000"/>
        </w:rPr>
        <w:t xml:space="preserve"> are shown in (a), and the logarithm of the difference depicted in (a) is shown in (b). </w:t>
      </w:r>
      <w:r>
        <w:rPr>
          <w:color w:val="000000"/>
        </w:rPr>
        <w:t xml:space="preserve">GPI is not normalized to yield 90 annual storms per season in this figure. </w:t>
      </w:r>
      <w:r w:rsidRPr="00A43662">
        <w:rPr>
          <w:color w:val="000000"/>
        </w:rPr>
        <w:t xml:space="preserve">The logarithmic decomposition of the variables comprising GPI are shown: (c) absolute vorticity, (d) moist entropy deficit in the mid-troposphere, (e) </w:t>
      </w:r>
      <w:r>
        <w:rPr>
          <w:color w:val="000000"/>
        </w:rPr>
        <w:t>TC potential intensity (PI)</w:t>
      </w:r>
      <w:r w:rsidRPr="00A43662">
        <w:rPr>
          <w:color w:val="000000"/>
        </w:rPr>
        <w:t xml:space="preserve">, and (f) vertical wind shear between 850hPa and 250 hPa. </w:t>
      </w:r>
      <w:r>
        <w:rPr>
          <w:color w:val="000000"/>
        </w:rPr>
        <w:t>W</w:t>
      </w:r>
      <w:r w:rsidRPr="00A43662">
        <w:rPr>
          <w:color w:val="000000"/>
        </w:rPr>
        <w:t>hite values</w:t>
      </w:r>
      <w:r>
        <w:rPr>
          <w:color w:val="000000"/>
        </w:rPr>
        <w:t xml:space="preserve"> </w:t>
      </w:r>
      <w:r w:rsidRPr="00A43662">
        <w:rPr>
          <w:color w:val="000000"/>
        </w:rPr>
        <w:t xml:space="preserve">represent undefined </w:t>
      </w:r>
      <w:r>
        <w:rPr>
          <w:color w:val="000000"/>
        </w:rPr>
        <w:t>or zero</w:t>
      </w:r>
      <w:r w:rsidRPr="00A43662">
        <w:rPr>
          <w:color w:val="000000"/>
        </w:rPr>
        <w:t xml:space="preserve"> values. </w:t>
      </w:r>
      <w:r>
        <w:rPr>
          <w:color w:val="000000"/>
        </w:rPr>
        <w:t>Panels</w:t>
      </w:r>
      <w:r w:rsidRPr="00A43662">
        <w:rPr>
          <w:color w:val="000000"/>
        </w:rPr>
        <w:t xml:space="preserve"> (c), (d), (e), and (f) sum to</w:t>
      </w:r>
      <w:r>
        <w:rPr>
          <w:color w:val="000000"/>
        </w:rPr>
        <w:t xml:space="preserve"> panel</w:t>
      </w:r>
      <w:r w:rsidRPr="00A43662">
        <w:rPr>
          <w:color w:val="000000"/>
        </w:rPr>
        <w:t xml:space="preserve"> (b). In all </w:t>
      </w:r>
      <w:r>
        <w:rPr>
          <w:color w:val="000000"/>
        </w:rPr>
        <w:t>panels</w:t>
      </w:r>
      <w:r w:rsidRPr="00A43662">
        <w:rPr>
          <w:color w:val="000000"/>
        </w:rPr>
        <w:t>, ASO (DJF) conditions are depicted in the Northern (Southern) Hemisphere</w:t>
      </w:r>
      <w:r>
        <w:rPr>
          <w:color w:val="000000"/>
        </w:rPr>
        <w:t xml:space="preserve">, respectively. </w:t>
      </w:r>
      <w:r w:rsidRPr="00A43662">
        <w:rPr>
          <w:color w:val="000000"/>
        </w:rPr>
        <w:t xml:space="preserve">High magnitude </w:t>
      </w:r>
      <w:r>
        <w:rPr>
          <w:color w:val="000000"/>
        </w:rPr>
        <w:t>increases</w:t>
      </w:r>
      <w:r w:rsidRPr="00A43662">
        <w:rPr>
          <w:color w:val="000000"/>
        </w:rPr>
        <w:t xml:space="preserve"> in Northern Hemisphere potential intensity (e), particularly </w:t>
      </w:r>
      <w:r>
        <w:rPr>
          <w:color w:val="000000"/>
        </w:rPr>
        <w:t>near the Southeastern U.S. coastline</w:t>
      </w:r>
      <w:r w:rsidRPr="00A43662">
        <w:rPr>
          <w:color w:val="000000"/>
        </w:rPr>
        <w:t>, due to a weakened AMOC</w:t>
      </w:r>
      <w:r>
        <w:rPr>
          <w:color w:val="000000"/>
        </w:rPr>
        <w:t>,</w:t>
      </w:r>
      <w:r w:rsidRPr="00A43662">
        <w:rPr>
          <w:color w:val="000000"/>
        </w:rPr>
        <w:t xml:space="preserve"> </w:t>
      </w:r>
      <w:r>
        <w:rPr>
          <w:color w:val="000000"/>
        </w:rPr>
        <w:t>are critical</w:t>
      </w:r>
      <w:r w:rsidRPr="00A43662">
        <w:rPr>
          <w:color w:val="000000"/>
        </w:rPr>
        <w:t xml:space="preserve"> </w:t>
      </w:r>
      <w:r>
        <w:rPr>
          <w:color w:val="000000"/>
        </w:rPr>
        <w:t>for</w:t>
      </w:r>
      <w:r w:rsidRPr="00A43662">
        <w:rPr>
          <w:color w:val="000000"/>
        </w:rPr>
        <w:t xml:space="preserve"> </w:t>
      </w:r>
      <w:r>
        <w:rPr>
          <w:color w:val="000000"/>
        </w:rPr>
        <w:t xml:space="preserve">the projected increase </w:t>
      </w:r>
      <w:r w:rsidRPr="00A43662">
        <w:rPr>
          <w:color w:val="000000"/>
        </w:rPr>
        <w:t xml:space="preserve">of basin TC activity. The higher magnitude </w:t>
      </w:r>
      <w:r>
        <w:rPr>
          <w:color w:val="000000"/>
        </w:rPr>
        <w:t xml:space="preserve">of </w:t>
      </w:r>
      <w:r w:rsidRPr="00A43662">
        <w:rPr>
          <w:color w:val="000000"/>
        </w:rPr>
        <w:t>(</w:t>
      </w:r>
      <w:r>
        <w:rPr>
          <w:color w:val="000000"/>
        </w:rPr>
        <w:t>e</w:t>
      </w:r>
      <w:r w:rsidRPr="00A43662">
        <w:rPr>
          <w:color w:val="000000"/>
        </w:rPr>
        <w:t>)</w:t>
      </w:r>
      <w:r>
        <w:rPr>
          <w:color w:val="000000"/>
        </w:rPr>
        <w:t xml:space="preserve"> and (f)</w:t>
      </w:r>
      <w:r w:rsidRPr="00A43662">
        <w:rPr>
          <w:color w:val="000000"/>
        </w:rPr>
        <w:t xml:space="preserve"> in comparison to (c)</w:t>
      </w:r>
      <w:r>
        <w:rPr>
          <w:color w:val="000000"/>
        </w:rPr>
        <w:t xml:space="preserve"> and </w:t>
      </w:r>
      <w:r w:rsidRPr="00A43662">
        <w:rPr>
          <w:color w:val="000000"/>
        </w:rPr>
        <w:t xml:space="preserve">(d) highlights the important contribution of </w:t>
      </w:r>
      <w:r>
        <w:rPr>
          <w:color w:val="000000"/>
        </w:rPr>
        <w:t xml:space="preserve">potential intensity and </w:t>
      </w:r>
      <w:r w:rsidRPr="00A43662">
        <w:rPr>
          <w:color w:val="000000"/>
        </w:rPr>
        <w:t xml:space="preserve">vertical wind shear to changes in global TC activity. Note that (b)-(f) are plotted using the same scale and can be directly compared. Positive values imply a variable’s increase when AMOC declines, and vice versa. </w:t>
      </w:r>
      <w:r>
        <w:rPr>
          <w:color w:val="000000"/>
        </w:rPr>
        <w:t xml:space="preserve">Given that the </w:t>
      </w:r>
      <w:r w:rsidRPr="001C1E18">
        <w:rPr>
          <w:i/>
          <w:iCs/>
          <w:color w:val="000000"/>
        </w:rPr>
        <w:t>chi_m</w:t>
      </w:r>
      <w:r>
        <w:rPr>
          <w:color w:val="000000"/>
        </w:rPr>
        <w:t xml:space="preserve"> and </w:t>
      </w:r>
      <w:r w:rsidRPr="001C1E18">
        <w:rPr>
          <w:i/>
          <w:iCs/>
          <w:color w:val="000000"/>
        </w:rPr>
        <w:t>shear_terms</w:t>
      </w:r>
      <w:r>
        <w:rPr>
          <w:color w:val="000000"/>
        </w:rPr>
        <w:t xml:space="preserve"> are negated, positive values in panels (d) and (f) suggest a decrease in moist entropy deficit and vertical wind shear with a decline in the AMOC strength. </w:t>
      </w:r>
      <w:r w:rsidRPr="00A43662">
        <w:rPr>
          <w:color w:val="000000"/>
        </w:rPr>
        <w:t>Units are given in square brackets.</w:t>
      </w:r>
      <w:r>
        <w:br w:type="page"/>
      </w:r>
    </w:p>
    <w:p w14:paraId="2916124B" w14:textId="77777777" w:rsidR="00CA222E" w:rsidRDefault="00CA222E" w:rsidP="00CA222E">
      <w:pPr>
        <w:pStyle w:val="NormalWeb"/>
        <w:spacing w:before="0" w:beforeAutospacing="0" w:after="0" w:afterAutospacing="0" w:line="480" w:lineRule="auto"/>
        <w:ind w:firstLine="567"/>
        <w:rPr>
          <w:color w:val="000000"/>
        </w:rPr>
      </w:pPr>
      <w:r>
        <w:rPr>
          <w:noProof/>
          <w:color w:val="000000"/>
        </w:rPr>
        <w:lastRenderedPageBreak/>
        <w:drawing>
          <wp:inline distT="0" distB="0" distL="0" distR="0" wp14:anchorId="0148D0E3" wp14:editId="4781324F">
            <wp:extent cx="5638800" cy="4726712"/>
            <wp:effectExtent l="0" t="0" r="0" b="0"/>
            <wp:docPr id="10326101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610147" name="Picture 1032610147"/>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46551" cy="4733210"/>
                    </a:xfrm>
                    <a:prstGeom prst="rect">
                      <a:avLst/>
                    </a:prstGeom>
                  </pic:spPr>
                </pic:pic>
              </a:graphicData>
            </a:graphic>
          </wp:inline>
        </w:drawing>
      </w:r>
    </w:p>
    <w:p w14:paraId="4EC87DB8" w14:textId="77777777" w:rsidR="00CA222E" w:rsidRDefault="00CA222E" w:rsidP="00CA222E">
      <w:pPr>
        <w:pStyle w:val="NormalWeb"/>
        <w:spacing w:before="0" w:beforeAutospacing="0" w:after="0" w:afterAutospacing="0"/>
        <w:jc w:val="both"/>
      </w:pPr>
      <w:r>
        <w:rPr>
          <w:b/>
          <w:bCs/>
          <w:color w:val="000000"/>
        </w:rPr>
        <w:t xml:space="preserve">Extended Data Figure </w:t>
      </w:r>
      <w:r w:rsidRPr="00E96443">
        <w:rPr>
          <w:b/>
          <w:bCs/>
          <w:color w:val="000000"/>
        </w:rPr>
        <w:t xml:space="preserve">2. The AMOC’s </w:t>
      </w:r>
      <w:r>
        <w:rPr>
          <w:b/>
          <w:bCs/>
          <w:color w:val="000000"/>
        </w:rPr>
        <w:t>e</w:t>
      </w:r>
      <w:r w:rsidRPr="00E96443">
        <w:rPr>
          <w:b/>
          <w:bCs/>
          <w:color w:val="000000"/>
        </w:rPr>
        <w:t xml:space="preserve">ffect on </w:t>
      </w:r>
      <w:r>
        <w:rPr>
          <w:b/>
          <w:bCs/>
          <w:color w:val="000000"/>
        </w:rPr>
        <w:t>g</w:t>
      </w:r>
      <w:r w:rsidRPr="00E96443">
        <w:rPr>
          <w:b/>
          <w:bCs/>
          <w:color w:val="000000"/>
        </w:rPr>
        <w:t xml:space="preserve">lobal </w:t>
      </w:r>
      <w:r>
        <w:rPr>
          <w:b/>
          <w:bCs/>
          <w:color w:val="000000"/>
        </w:rPr>
        <w:t>w</w:t>
      </w:r>
      <w:r w:rsidRPr="00E96443">
        <w:rPr>
          <w:b/>
          <w:bCs/>
          <w:color w:val="000000"/>
        </w:rPr>
        <w:t>inds.</w:t>
      </w:r>
      <w:r>
        <w:rPr>
          <w:color w:val="000000"/>
        </w:rPr>
        <w:t xml:space="preserve"> The difference in zonally-averaged winds between the 2075-2100 ensemble mean of the </w:t>
      </w:r>
      <w:r w:rsidRPr="001C1E18">
        <w:rPr>
          <w:i/>
          <w:iCs/>
          <w:color w:val="000000"/>
        </w:rPr>
        <w:t xml:space="preserve">wk </w:t>
      </w:r>
      <w:r w:rsidRPr="003168B7">
        <w:rPr>
          <w:color w:val="000000"/>
        </w:rPr>
        <w:t xml:space="preserve">simulation </w:t>
      </w:r>
      <w:r>
        <w:rPr>
          <w:color w:val="000000"/>
        </w:rPr>
        <w:t xml:space="preserve">and the </w:t>
      </w:r>
      <w:r w:rsidRPr="001C1E18">
        <w:rPr>
          <w:i/>
          <w:iCs/>
          <w:color w:val="000000"/>
        </w:rPr>
        <w:t xml:space="preserve">fx </w:t>
      </w:r>
      <w:r w:rsidRPr="003168B7">
        <w:rPr>
          <w:color w:val="000000"/>
        </w:rPr>
        <w:t>simulation</w:t>
      </w:r>
      <w:r>
        <w:rPr>
          <w:color w:val="000000"/>
        </w:rPr>
        <w:t xml:space="preserve"> at (a) 850 hPa and (b) 250 hPa, and the difference in vertical windshear between these two levels of the atmosphere (c). We observe a greater magnitude of change in the upper atmosphere, as well as a strengthening of the East Asian Jetstream with a weakened AMOC (observed red values). In all panels, ASO (DJF) conditions are depicted in the Northern (Southern) Hemisphere.</w:t>
      </w:r>
      <w:r>
        <w:br w:type="page"/>
      </w:r>
    </w:p>
    <w:p w14:paraId="7C8BD7B4" w14:textId="77777777" w:rsidR="00CA222E" w:rsidRDefault="00CA222E" w:rsidP="00CA222E">
      <w:pPr>
        <w:pStyle w:val="NormalWeb"/>
        <w:spacing w:before="0" w:beforeAutospacing="0" w:after="0" w:afterAutospacing="0" w:line="480" w:lineRule="auto"/>
        <w:jc w:val="center"/>
        <w:rPr>
          <w:b/>
          <w:bCs/>
          <w:color w:val="000000"/>
        </w:rPr>
      </w:pPr>
      <w:r>
        <w:rPr>
          <w:noProof/>
          <w:color w:val="000000"/>
        </w:rPr>
        <w:lastRenderedPageBreak/>
        <w:drawing>
          <wp:inline distT="0" distB="0" distL="0" distR="0" wp14:anchorId="6019E2AF" wp14:editId="5C1A49A9">
            <wp:extent cx="5037455" cy="5574030"/>
            <wp:effectExtent l="0" t="0" r="4445" b="1270"/>
            <wp:docPr id="8082017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201700" name="Picture 808201700"/>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49781" cy="5587669"/>
                    </a:xfrm>
                    <a:prstGeom prst="rect">
                      <a:avLst/>
                    </a:prstGeom>
                  </pic:spPr>
                </pic:pic>
              </a:graphicData>
            </a:graphic>
          </wp:inline>
        </w:drawing>
      </w:r>
    </w:p>
    <w:p w14:paraId="1BDF08C2" w14:textId="77777777" w:rsidR="00CA222E" w:rsidRDefault="00CA222E" w:rsidP="00CA222E">
      <w:pPr>
        <w:pStyle w:val="NormalWeb"/>
        <w:spacing w:before="0" w:beforeAutospacing="0" w:after="0" w:afterAutospacing="0"/>
        <w:jc w:val="both"/>
      </w:pPr>
      <w:r>
        <w:rPr>
          <w:b/>
          <w:bCs/>
          <w:color w:val="000000"/>
        </w:rPr>
        <w:t>Extended Data Figure 3</w:t>
      </w:r>
      <w:r w:rsidRPr="00E96443">
        <w:rPr>
          <w:b/>
          <w:bCs/>
          <w:color w:val="000000"/>
        </w:rPr>
        <w:t xml:space="preserve">. </w:t>
      </w:r>
      <w:r>
        <w:rPr>
          <w:b/>
          <w:bCs/>
          <w:color w:val="000000"/>
        </w:rPr>
        <w:t>Spatial c</w:t>
      </w:r>
      <w:r w:rsidRPr="00966C39">
        <w:rPr>
          <w:b/>
          <w:bCs/>
          <w:color w:val="000000"/>
        </w:rPr>
        <w:t xml:space="preserve">hange in TC </w:t>
      </w:r>
      <w:r>
        <w:rPr>
          <w:b/>
          <w:bCs/>
          <w:color w:val="000000"/>
        </w:rPr>
        <w:t>genesis</w:t>
      </w:r>
      <w:r w:rsidRPr="00966C39">
        <w:rPr>
          <w:b/>
          <w:bCs/>
          <w:color w:val="000000"/>
        </w:rPr>
        <w:t xml:space="preserve"> </w:t>
      </w:r>
      <w:r>
        <w:rPr>
          <w:b/>
          <w:bCs/>
          <w:color w:val="000000"/>
        </w:rPr>
        <w:t>potential due to</w:t>
      </w:r>
      <w:r w:rsidRPr="00966C39">
        <w:rPr>
          <w:b/>
          <w:bCs/>
          <w:color w:val="000000"/>
        </w:rPr>
        <w:t xml:space="preserve"> </w:t>
      </w:r>
      <w:r>
        <w:rPr>
          <w:b/>
          <w:bCs/>
          <w:color w:val="000000"/>
        </w:rPr>
        <w:t>anthropogenic</w:t>
      </w:r>
      <w:r w:rsidRPr="00966C39">
        <w:rPr>
          <w:b/>
          <w:bCs/>
          <w:color w:val="000000"/>
        </w:rPr>
        <w:t xml:space="preserve"> </w:t>
      </w:r>
      <w:r>
        <w:rPr>
          <w:b/>
          <w:bCs/>
          <w:color w:val="000000"/>
        </w:rPr>
        <w:t xml:space="preserve">warming </w:t>
      </w:r>
      <w:r w:rsidRPr="00966C39">
        <w:rPr>
          <w:b/>
          <w:bCs/>
          <w:color w:val="000000"/>
        </w:rPr>
        <w:t>and</w:t>
      </w:r>
      <w:r>
        <w:rPr>
          <w:b/>
          <w:bCs/>
          <w:color w:val="000000"/>
        </w:rPr>
        <w:t>/or</w:t>
      </w:r>
      <w:r w:rsidRPr="00966C39">
        <w:rPr>
          <w:b/>
          <w:bCs/>
          <w:color w:val="000000"/>
        </w:rPr>
        <w:t xml:space="preserve"> AMOC </w:t>
      </w:r>
      <w:r>
        <w:rPr>
          <w:b/>
          <w:bCs/>
          <w:color w:val="000000"/>
        </w:rPr>
        <w:t>w</w:t>
      </w:r>
      <w:r w:rsidRPr="00966C39">
        <w:rPr>
          <w:b/>
          <w:bCs/>
          <w:color w:val="000000"/>
        </w:rPr>
        <w:t>eakening</w:t>
      </w:r>
      <w:r>
        <w:rPr>
          <w:color w:val="000000"/>
        </w:rPr>
        <w:t xml:space="preserve">. The difference in mean TC season GPI between (a) the 2075-2100 late </w:t>
      </w:r>
      <w:r w:rsidRPr="00EB709C">
        <w:rPr>
          <w:i/>
          <w:iCs/>
          <w:color w:val="000000"/>
        </w:rPr>
        <w:t>wk</w:t>
      </w:r>
      <w:r>
        <w:rPr>
          <w:color w:val="000000"/>
        </w:rPr>
        <w:t xml:space="preserve"> RCP8.5 simulation and the 1980-2005 early </w:t>
      </w:r>
      <w:r w:rsidRPr="00EB709C">
        <w:rPr>
          <w:i/>
          <w:iCs/>
          <w:color w:val="000000"/>
        </w:rPr>
        <w:t>wk</w:t>
      </w:r>
      <w:r>
        <w:rPr>
          <w:color w:val="000000"/>
        </w:rPr>
        <w:t xml:space="preserve"> historical simulation, (b) the 2075-2100 late </w:t>
      </w:r>
      <w:r>
        <w:rPr>
          <w:i/>
          <w:iCs/>
          <w:color w:val="000000"/>
        </w:rPr>
        <w:t>fx</w:t>
      </w:r>
      <w:r>
        <w:rPr>
          <w:color w:val="000000"/>
        </w:rPr>
        <w:t xml:space="preserve"> RCP8.5 simulation and the 1980-2005 early </w:t>
      </w:r>
      <w:r>
        <w:rPr>
          <w:i/>
          <w:iCs/>
          <w:color w:val="000000"/>
        </w:rPr>
        <w:t>fx</w:t>
      </w:r>
      <w:r>
        <w:rPr>
          <w:color w:val="000000"/>
        </w:rPr>
        <w:t xml:space="preserve"> historical simulation, (c) the 2075-2100 late </w:t>
      </w:r>
      <w:r w:rsidRPr="00EB709C">
        <w:rPr>
          <w:i/>
          <w:iCs/>
          <w:color w:val="000000"/>
        </w:rPr>
        <w:t>wk</w:t>
      </w:r>
      <w:r>
        <w:rPr>
          <w:color w:val="000000"/>
        </w:rPr>
        <w:t xml:space="preserve"> RCP8.5 simulation and the 2075-2100 late </w:t>
      </w:r>
      <w:r>
        <w:rPr>
          <w:i/>
          <w:iCs/>
          <w:color w:val="000000"/>
        </w:rPr>
        <w:t>fx</w:t>
      </w:r>
      <w:r>
        <w:rPr>
          <w:color w:val="000000"/>
        </w:rPr>
        <w:t xml:space="preserve"> RCP8.5 simulation, and (d) the 1980-2005 early </w:t>
      </w:r>
      <w:r w:rsidRPr="00EB709C">
        <w:rPr>
          <w:i/>
          <w:iCs/>
          <w:color w:val="000000"/>
        </w:rPr>
        <w:t>wk</w:t>
      </w:r>
      <w:r>
        <w:rPr>
          <w:color w:val="000000"/>
        </w:rPr>
        <w:t xml:space="preserve"> historical simulation and the 1980-2005 early </w:t>
      </w:r>
      <w:r>
        <w:rPr>
          <w:i/>
          <w:iCs/>
          <w:color w:val="000000"/>
        </w:rPr>
        <w:t>fx</w:t>
      </w:r>
      <w:r>
        <w:rPr>
          <w:color w:val="000000"/>
        </w:rPr>
        <w:t xml:space="preserve"> historical simulation. GPI has been normalized to yield a </w:t>
      </w:r>
      <w:r w:rsidRPr="00787EBC">
        <w:rPr>
          <w:color w:val="000000"/>
          <w:shd w:val="clear" w:color="auto" w:fill="FFFFFF"/>
        </w:rPr>
        <w:t>global annual average of 90 events</w:t>
      </w:r>
      <w:r>
        <w:rPr>
          <w:color w:val="000000"/>
          <w:shd w:val="clear" w:color="auto" w:fill="FFFFFF"/>
        </w:rPr>
        <w:t xml:space="preserve"> between </w:t>
      </w:r>
      <w:r>
        <w:rPr>
          <w:color w:val="000000"/>
        </w:rPr>
        <w:t xml:space="preserve">1980-2005 of the </w:t>
      </w:r>
      <w:r>
        <w:rPr>
          <w:i/>
          <w:iCs/>
          <w:color w:val="000000"/>
        </w:rPr>
        <w:t>wk</w:t>
      </w:r>
      <w:r>
        <w:rPr>
          <w:color w:val="000000"/>
        </w:rPr>
        <w:t xml:space="preserve"> simulation. ASO (DJF) conditions are considered in the Northern (Southern) Hemisphere. Panel (a) represents the combined signal of anthropogenic forcing and AMOC weakening, panel (b) represents the signal due to anthropogenic warming, panel (c) represents the signal due to a weakened AMOC in a warmer climate, and panel (d) represents the signal due to a weakened AMOC in a historical 1980-2005 climate. Note the projected increase in North Atlantic TC activity in a warmer climate and the dominant contribution of the declining AMOC to this increase in the North Atlantic.</w:t>
      </w:r>
      <w:r>
        <w:br w:type="page"/>
      </w:r>
    </w:p>
    <w:p w14:paraId="565FB166" w14:textId="77777777" w:rsidR="00CA222E" w:rsidRDefault="00CA222E" w:rsidP="00CA222E">
      <w:pPr>
        <w:pStyle w:val="NormalWeb"/>
        <w:spacing w:before="0" w:beforeAutospacing="0" w:after="0" w:afterAutospacing="0" w:line="480" w:lineRule="auto"/>
        <w:jc w:val="both"/>
        <w:rPr>
          <w:b/>
          <w:bCs/>
          <w:color w:val="000000"/>
        </w:rPr>
      </w:pPr>
      <w:r>
        <w:rPr>
          <w:b/>
          <w:bCs/>
          <w:noProof/>
          <w:color w:val="000000"/>
        </w:rPr>
        <w:lastRenderedPageBreak/>
        <w:drawing>
          <wp:inline distT="0" distB="0" distL="0" distR="0" wp14:anchorId="7788BC6C" wp14:editId="1E2333A6">
            <wp:extent cx="5943600" cy="5225415"/>
            <wp:effectExtent l="0" t="0" r="0" b="0"/>
            <wp:docPr id="6021973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008877" name="Picture 917008877"/>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6423" cy="5227897"/>
                    </a:xfrm>
                    <a:prstGeom prst="rect">
                      <a:avLst/>
                    </a:prstGeom>
                  </pic:spPr>
                </pic:pic>
              </a:graphicData>
            </a:graphic>
          </wp:inline>
        </w:drawing>
      </w:r>
    </w:p>
    <w:p w14:paraId="3025755D" w14:textId="77777777" w:rsidR="00CA222E" w:rsidRDefault="00CA222E" w:rsidP="00CA222E">
      <w:pPr>
        <w:pStyle w:val="NormalWeb"/>
        <w:spacing w:before="0" w:beforeAutospacing="0" w:after="0" w:afterAutospacing="0"/>
        <w:jc w:val="both"/>
      </w:pPr>
      <w:r>
        <w:rPr>
          <w:b/>
          <w:bCs/>
          <w:color w:val="000000"/>
        </w:rPr>
        <w:t xml:space="preserve">Extended Data Figure 4. </w:t>
      </w:r>
      <w:r w:rsidRPr="004262DA">
        <w:rPr>
          <w:b/>
          <w:bCs/>
          <w:color w:val="000000"/>
        </w:rPr>
        <w:t xml:space="preserve">Reduced </w:t>
      </w:r>
      <w:r>
        <w:rPr>
          <w:b/>
          <w:bCs/>
          <w:color w:val="000000"/>
        </w:rPr>
        <w:t>a</w:t>
      </w:r>
      <w:r w:rsidRPr="004262DA">
        <w:rPr>
          <w:b/>
          <w:bCs/>
          <w:color w:val="000000"/>
        </w:rPr>
        <w:t xml:space="preserve">tmospheric </w:t>
      </w:r>
      <w:r>
        <w:rPr>
          <w:b/>
          <w:bCs/>
          <w:color w:val="000000"/>
        </w:rPr>
        <w:t>t</w:t>
      </w:r>
      <w:r w:rsidRPr="004262DA">
        <w:rPr>
          <w:b/>
          <w:bCs/>
          <w:color w:val="000000"/>
        </w:rPr>
        <w:t xml:space="preserve">emperature </w:t>
      </w:r>
      <w:r>
        <w:rPr>
          <w:b/>
          <w:bCs/>
          <w:color w:val="000000"/>
        </w:rPr>
        <w:t>s</w:t>
      </w:r>
      <w:r w:rsidRPr="004262DA">
        <w:rPr>
          <w:b/>
          <w:bCs/>
          <w:color w:val="000000"/>
        </w:rPr>
        <w:t xml:space="preserve">tratification with a </w:t>
      </w:r>
      <w:r>
        <w:rPr>
          <w:b/>
          <w:bCs/>
          <w:color w:val="000000"/>
        </w:rPr>
        <w:t>w</w:t>
      </w:r>
      <w:r w:rsidRPr="004262DA">
        <w:rPr>
          <w:b/>
          <w:bCs/>
          <w:color w:val="000000"/>
        </w:rPr>
        <w:t>eakened AMOC</w:t>
      </w:r>
      <w:r>
        <w:rPr>
          <w:color w:val="000000"/>
        </w:rPr>
        <w:t xml:space="preserve">. Differences in atmospheric temperature between the </w:t>
      </w:r>
      <w:r w:rsidRPr="004375E2">
        <w:rPr>
          <w:i/>
          <w:iCs/>
          <w:color w:val="000000"/>
        </w:rPr>
        <w:t>wk</w:t>
      </w:r>
      <w:r>
        <w:rPr>
          <w:color w:val="000000"/>
        </w:rPr>
        <w:t xml:space="preserve"> and </w:t>
      </w:r>
      <w:r w:rsidRPr="004375E2">
        <w:rPr>
          <w:i/>
          <w:iCs/>
          <w:color w:val="000000"/>
        </w:rPr>
        <w:t>fx</w:t>
      </w:r>
      <w:r>
        <w:rPr>
          <w:color w:val="000000"/>
        </w:rPr>
        <w:t xml:space="preserve"> simulations (a) along 30</w:t>
      </w:r>
      <w:r>
        <w:rPr>
          <w:shd w:val="clear" w:color="auto" w:fill="FFFFFF"/>
        </w:rPr>
        <w:t>°</w:t>
      </w:r>
      <w:r>
        <w:rPr>
          <w:color w:val="000000"/>
        </w:rPr>
        <w:t>N and (b) along 60</w:t>
      </w:r>
      <w:r>
        <w:rPr>
          <w:shd w:val="clear" w:color="auto" w:fill="FFFFFF"/>
        </w:rPr>
        <w:t>°</w:t>
      </w:r>
      <w:r>
        <w:rPr>
          <w:color w:val="000000"/>
        </w:rPr>
        <w:t>W in the North Atlantic. These cross sections depict the relative temperature change in the atmosphere due to a weakening of the AMOC, given a warm late-21</w:t>
      </w:r>
      <w:r w:rsidRPr="004262DA">
        <w:rPr>
          <w:color w:val="000000"/>
          <w:vertAlign w:val="superscript"/>
        </w:rPr>
        <w:t>st</w:t>
      </w:r>
      <w:r>
        <w:rPr>
          <w:color w:val="000000"/>
        </w:rPr>
        <w:t xml:space="preserve"> century climate. Black contour lines depict mean temperature (in K) for the </w:t>
      </w:r>
      <w:r w:rsidRPr="004375E2">
        <w:rPr>
          <w:i/>
          <w:iCs/>
          <w:color w:val="000000"/>
        </w:rPr>
        <w:t>wk</w:t>
      </w:r>
      <w:r>
        <w:rPr>
          <w:color w:val="000000"/>
        </w:rPr>
        <w:t xml:space="preserve"> simulation. </w:t>
      </w:r>
      <w:r>
        <w:t xml:space="preserve">We observe a stronger relative cooling in the upper troposphere than in the lower troposphere and, therefore, a reduction of temperature stratification and atmospheric static stability in the global warming scenario with a weaker AMOC. We stress that the “cooling” refers only to the difference between </w:t>
      </w:r>
      <w:r>
        <w:rPr>
          <w:color w:val="000000"/>
        </w:rPr>
        <w:t xml:space="preserve">the </w:t>
      </w:r>
      <w:r w:rsidRPr="004375E2">
        <w:rPr>
          <w:i/>
          <w:iCs/>
          <w:color w:val="000000"/>
        </w:rPr>
        <w:t>wk</w:t>
      </w:r>
      <w:r>
        <w:rPr>
          <w:color w:val="000000"/>
        </w:rPr>
        <w:t xml:space="preserve"> and </w:t>
      </w:r>
      <w:r w:rsidRPr="004375E2">
        <w:rPr>
          <w:i/>
          <w:iCs/>
          <w:color w:val="000000"/>
        </w:rPr>
        <w:t>fx</w:t>
      </w:r>
      <w:r>
        <w:rPr>
          <w:color w:val="000000"/>
        </w:rPr>
        <w:t xml:space="preserve"> simulations, but in both simulations the atmosphere actually warms.</w:t>
      </w:r>
      <w:r>
        <w:br w:type="page"/>
      </w:r>
    </w:p>
    <w:p w14:paraId="28144C6D" w14:textId="77777777" w:rsidR="00CA222E" w:rsidRDefault="00CA222E" w:rsidP="00CA222E">
      <w:pPr>
        <w:jc w:val="both"/>
        <w:rPr>
          <w:color w:val="000000"/>
        </w:rPr>
      </w:pPr>
      <w:r>
        <w:rPr>
          <w:noProof/>
          <w:color w:val="000000"/>
        </w:rPr>
        <w:lastRenderedPageBreak/>
        <w:drawing>
          <wp:inline distT="0" distB="0" distL="0" distR="0" wp14:anchorId="57EB0B43" wp14:editId="6F1BF216">
            <wp:extent cx="5943600" cy="3538855"/>
            <wp:effectExtent l="0" t="0" r="0" b="4445"/>
            <wp:docPr id="15761143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114384" name="Picture 157611438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538855"/>
                    </a:xfrm>
                    <a:prstGeom prst="rect">
                      <a:avLst/>
                    </a:prstGeom>
                  </pic:spPr>
                </pic:pic>
              </a:graphicData>
            </a:graphic>
          </wp:inline>
        </w:drawing>
      </w:r>
    </w:p>
    <w:p w14:paraId="2DC4AAB2" w14:textId="77777777" w:rsidR="00CA222E" w:rsidRDefault="00CA222E" w:rsidP="00CA222E">
      <w:pPr>
        <w:pStyle w:val="NormalWeb"/>
        <w:spacing w:before="0" w:beforeAutospacing="0" w:after="0" w:afterAutospacing="0"/>
        <w:jc w:val="both"/>
        <w:rPr>
          <w:b/>
          <w:bCs/>
          <w:color w:val="000000"/>
        </w:rPr>
      </w:pPr>
    </w:p>
    <w:p w14:paraId="6CD531DF" w14:textId="77777777" w:rsidR="00CA222E" w:rsidRDefault="00CA222E" w:rsidP="00CA222E">
      <w:pPr>
        <w:pStyle w:val="NormalWeb"/>
        <w:spacing w:before="0" w:beforeAutospacing="0" w:after="0" w:afterAutospacing="0"/>
        <w:jc w:val="both"/>
      </w:pPr>
      <w:r>
        <w:rPr>
          <w:b/>
          <w:bCs/>
          <w:color w:val="000000"/>
        </w:rPr>
        <w:t>Extended Data Figure 5. Air-Sea thermodynamic disequilibrium</w:t>
      </w:r>
      <w:r w:rsidRPr="004262DA">
        <w:rPr>
          <w:b/>
          <w:bCs/>
          <w:color w:val="000000"/>
        </w:rPr>
        <w:t xml:space="preserve"> </w:t>
      </w:r>
      <w:r>
        <w:rPr>
          <w:b/>
          <w:bCs/>
          <w:color w:val="000000"/>
        </w:rPr>
        <w:t>and Carnot Efficiency in a warming 21</w:t>
      </w:r>
      <w:r w:rsidRPr="00ED0B0F">
        <w:rPr>
          <w:b/>
          <w:bCs/>
          <w:color w:val="000000"/>
          <w:vertAlign w:val="superscript"/>
        </w:rPr>
        <w:t>st</w:t>
      </w:r>
      <w:r>
        <w:rPr>
          <w:b/>
          <w:bCs/>
          <w:color w:val="000000"/>
        </w:rPr>
        <w:t xml:space="preserve">-century climate </w:t>
      </w:r>
      <w:r w:rsidRPr="004262DA">
        <w:rPr>
          <w:b/>
          <w:bCs/>
          <w:color w:val="000000"/>
        </w:rPr>
        <w:t xml:space="preserve">with a </w:t>
      </w:r>
      <w:r>
        <w:rPr>
          <w:b/>
          <w:bCs/>
          <w:color w:val="000000"/>
        </w:rPr>
        <w:t>w</w:t>
      </w:r>
      <w:r w:rsidRPr="004262DA">
        <w:rPr>
          <w:b/>
          <w:bCs/>
          <w:color w:val="000000"/>
        </w:rPr>
        <w:t>eakened AMOC</w:t>
      </w:r>
      <w:r>
        <w:rPr>
          <w:color w:val="000000"/>
        </w:rPr>
        <w:t xml:space="preserve">. (a) Air-sea thermodynamic disequilibrium (eq. 5) during the </w:t>
      </w:r>
      <w:r w:rsidRPr="004375E2">
        <w:rPr>
          <w:i/>
          <w:iCs/>
          <w:color w:val="000000"/>
        </w:rPr>
        <w:t>wk</w:t>
      </w:r>
      <w:r>
        <w:rPr>
          <w:color w:val="000000"/>
        </w:rPr>
        <w:t xml:space="preserve"> simulation for TC seasons. (b) Similar but for the modified Carnot efficiency (eq. 5), which is unitless. ASO (DJF) conditions are depicted in the Northern (Southern) Hemisphere for all panels.</w:t>
      </w:r>
      <w:r>
        <w:br w:type="page"/>
      </w:r>
    </w:p>
    <w:p w14:paraId="6DBB3600"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22E"/>
    <w:rsid w:val="003C2EF4"/>
    <w:rsid w:val="00B74216"/>
    <w:rsid w:val="00BC294C"/>
    <w:rsid w:val="00CA222E"/>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58799"/>
  <w15:chartTrackingRefBased/>
  <w15:docId w15:val="{72A774CD-8966-431B-874C-4562E1914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222E"/>
    <w:pPr>
      <w:spacing w:after="0" w:line="240" w:lineRule="auto"/>
    </w:pPr>
    <w:rPr>
      <w:rFonts w:ascii="Times New Roman" w:hAnsi="Times New Roman"/>
      <w:kern w:val="0"/>
      <w:sz w:val="24"/>
      <w:szCs w:val="24"/>
      <w14:ligatures w14:val="none"/>
    </w:rPr>
  </w:style>
  <w:style w:type="paragraph" w:styleId="Heading1">
    <w:name w:val="heading 1"/>
    <w:basedOn w:val="Normal"/>
    <w:next w:val="Normal"/>
    <w:link w:val="Heading1Char"/>
    <w:uiPriority w:val="9"/>
    <w:qFormat/>
    <w:rsid w:val="00CA222E"/>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A222E"/>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A222E"/>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A222E"/>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CA222E"/>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CA222E"/>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CA222E"/>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CA222E"/>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CA222E"/>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2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22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22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22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22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22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22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22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222E"/>
    <w:rPr>
      <w:rFonts w:eastAsiaTheme="majorEastAsia" w:cstheme="majorBidi"/>
      <w:color w:val="272727" w:themeColor="text1" w:themeTint="D8"/>
    </w:rPr>
  </w:style>
  <w:style w:type="paragraph" w:styleId="Title">
    <w:name w:val="Title"/>
    <w:basedOn w:val="Normal"/>
    <w:next w:val="Normal"/>
    <w:link w:val="TitleChar"/>
    <w:uiPriority w:val="10"/>
    <w:qFormat/>
    <w:rsid w:val="00CA222E"/>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A22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222E"/>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A22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222E"/>
    <w:pPr>
      <w:spacing w:before="160" w:after="160" w:line="259" w:lineRule="auto"/>
      <w:jc w:val="center"/>
    </w:pPr>
    <w:rPr>
      <w:rFonts w:asciiTheme="minorHAnsi" w:hAnsiTheme="minorHAns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CA222E"/>
    <w:rPr>
      <w:i/>
      <w:iCs/>
      <w:color w:val="404040" w:themeColor="text1" w:themeTint="BF"/>
    </w:rPr>
  </w:style>
  <w:style w:type="paragraph" w:styleId="ListParagraph">
    <w:name w:val="List Paragraph"/>
    <w:basedOn w:val="Normal"/>
    <w:uiPriority w:val="34"/>
    <w:qFormat/>
    <w:rsid w:val="00CA222E"/>
    <w:pPr>
      <w:spacing w:after="160" w:line="259" w:lineRule="auto"/>
      <w:ind w:left="720"/>
      <w:contextualSpacing/>
    </w:pPr>
    <w:rPr>
      <w:rFonts w:asciiTheme="minorHAnsi" w:hAnsiTheme="minorHAnsi"/>
      <w:kern w:val="2"/>
      <w:sz w:val="22"/>
      <w:szCs w:val="22"/>
      <w14:ligatures w14:val="standardContextual"/>
    </w:rPr>
  </w:style>
  <w:style w:type="character" w:styleId="IntenseEmphasis">
    <w:name w:val="Intense Emphasis"/>
    <w:basedOn w:val="DefaultParagraphFont"/>
    <w:uiPriority w:val="21"/>
    <w:qFormat/>
    <w:rsid w:val="00CA222E"/>
    <w:rPr>
      <w:i/>
      <w:iCs/>
      <w:color w:val="0F4761" w:themeColor="accent1" w:themeShade="BF"/>
    </w:rPr>
  </w:style>
  <w:style w:type="paragraph" w:styleId="IntenseQuote">
    <w:name w:val="Intense Quote"/>
    <w:basedOn w:val="Normal"/>
    <w:next w:val="Normal"/>
    <w:link w:val="IntenseQuoteChar"/>
    <w:uiPriority w:val="30"/>
    <w:qFormat/>
    <w:rsid w:val="00CA222E"/>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CA222E"/>
    <w:rPr>
      <w:i/>
      <w:iCs/>
      <w:color w:val="0F4761" w:themeColor="accent1" w:themeShade="BF"/>
    </w:rPr>
  </w:style>
  <w:style w:type="character" w:styleId="IntenseReference">
    <w:name w:val="Intense Reference"/>
    <w:basedOn w:val="DefaultParagraphFont"/>
    <w:uiPriority w:val="32"/>
    <w:qFormat/>
    <w:rsid w:val="00CA222E"/>
    <w:rPr>
      <w:b/>
      <w:bCs/>
      <w:smallCaps/>
      <w:color w:val="0F4761" w:themeColor="accent1" w:themeShade="BF"/>
      <w:spacing w:val="5"/>
    </w:rPr>
  </w:style>
  <w:style w:type="paragraph" w:styleId="NormalWeb">
    <w:name w:val="Normal (Web)"/>
    <w:basedOn w:val="Normal"/>
    <w:uiPriority w:val="99"/>
    <w:unhideWhenUsed/>
    <w:rsid w:val="00CA222E"/>
    <w:pPr>
      <w:spacing w:before="100" w:beforeAutospacing="1" w:after="100" w:afterAutospacing="1"/>
    </w:pPr>
    <w:rPr>
      <w:rFonts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677</Words>
  <Characters>3860</Characters>
  <Application>Microsoft Office Word</Application>
  <DocSecurity>0</DocSecurity>
  <Lines>32</Lines>
  <Paragraphs>9</Paragraphs>
  <ScaleCrop>false</ScaleCrop>
  <Company>Springer Nature</Company>
  <LinksUpToDate>false</LinksUpToDate>
  <CharactersWithSpaces>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2024-11-01T10:11:00Z</dcterms:created>
  <dcterms:modified xsi:type="dcterms:W3CDTF">2024-11-01T10:12:00Z</dcterms:modified>
</cp:coreProperties>
</file>