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B2434" w14:textId="77777777" w:rsidR="002165EE" w:rsidRPr="00130E8B" w:rsidRDefault="002165EE" w:rsidP="002165EE">
      <w:pPr>
        <w:pStyle w:val="Heading1"/>
        <w:rPr>
          <w:rFonts w:asciiTheme="minorHAnsi" w:hAnsiTheme="minorHAnsi" w:cs="Times New Roman"/>
          <w:b/>
          <w:bCs/>
          <w:sz w:val="20"/>
          <w:szCs w:val="20"/>
          <w:lang w:val="en-US"/>
        </w:rPr>
      </w:pPr>
      <w:r w:rsidRPr="00130E8B">
        <w:rPr>
          <w:rFonts w:asciiTheme="minorHAnsi" w:hAnsiTheme="minorHAnsi" w:cs="Times New Roman"/>
          <w:b/>
          <w:bCs/>
          <w:sz w:val="20"/>
          <w:szCs w:val="20"/>
          <w:lang w:val="en-US"/>
        </w:rPr>
        <w:t xml:space="preserve">Trends in maternal mortality and stillbirths by county in health facility data, Kenya, 2011-2022 </w:t>
      </w:r>
    </w:p>
    <w:p w14:paraId="1898AFE4" w14:textId="3E663743" w:rsidR="002165EE" w:rsidRPr="00BF50F3" w:rsidRDefault="002165EE" w:rsidP="002165EE">
      <w:pPr>
        <w:rPr>
          <w:rFonts w:cs="Times New Roman"/>
          <w:sz w:val="20"/>
          <w:szCs w:val="20"/>
          <w:lang w:val="en-US"/>
        </w:rPr>
      </w:pPr>
      <w:r>
        <w:rPr>
          <w:rFonts w:cs="Times New Roman"/>
          <w:sz w:val="20"/>
          <w:szCs w:val="20"/>
          <w:lang w:val="en-US"/>
        </w:rPr>
        <w:t xml:space="preserve">Rose </w:t>
      </w:r>
      <w:r w:rsidRPr="00BF50F3">
        <w:rPr>
          <w:rFonts w:cs="Times New Roman"/>
          <w:sz w:val="20"/>
          <w:szCs w:val="20"/>
          <w:lang w:val="en-US"/>
        </w:rPr>
        <w:t>Muthee</w:t>
      </w:r>
      <w:r w:rsidRPr="00BF50F3">
        <w:rPr>
          <w:rFonts w:cs="Times New Roman"/>
          <w:sz w:val="20"/>
          <w:szCs w:val="20"/>
          <w:vertAlign w:val="superscript"/>
          <w:lang w:val="en-US"/>
        </w:rPr>
        <w:t>1</w:t>
      </w:r>
      <w:r w:rsidRPr="00BF50F3">
        <w:rPr>
          <w:rFonts w:cs="Times New Roman"/>
          <w:sz w:val="20"/>
          <w:szCs w:val="20"/>
          <w:lang w:val="en-US"/>
        </w:rPr>
        <w:t>, Martin Mutua</w:t>
      </w:r>
      <w:r w:rsidRPr="00BF50F3">
        <w:rPr>
          <w:rFonts w:cs="Times New Roman"/>
          <w:sz w:val="20"/>
          <w:szCs w:val="20"/>
          <w:vertAlign w:val="superscript"/>
          <w:lang w:val="en-US"/>
        </w:rPr>
        <w:t>2</w:t>
      </w:r>
      <w:r w:rsidRPr="00BF50F3">
        <w:rPr>
          <w:rFonts w:cs="Times New Roman"/>
          <w:sz w:val="20"/>
          <w:szCs w:val="20"/>
          <w:lang w:val="en-US"/>
        </w:rPr>
        <w:t>, Helen Kiarie</w:t>
      </w:r>
      <w:r w:rsidRPr="00BF50F3">
        <w:rPr>
          <w:rFonts w:cs="Times New Roman"/>
          <w:sz w:val="20"/>
          <w:szCs w:val="20"/>
          <w:vertAlign w:val="superscript"/>
          <w:lang w:val="en-US"/>
        </w:rPr>
        <w:t>1</w:t>
      </w:r>
      <w:r w:rsidRPr="00BF50F3">
        <w:rPr>
          <w:rFonts w:cs="Times New Roman"/>
          <w:sz w:val="20"/>
          <w:szCs w:val="20"/>
          <w:lang w:val="en-US"/>
        </w:rPr>
        <w:t xml:space="preserve">, </w:t>
      </w:r>
      <w:r w:rsidR="00D30EC6" w:rsidRPr="00BF50F3">
        <w:rPr>
          <w:rFonts w:cs="Times New Roman"/>
          <w:sz w:val="20"/>
          <w:szCs w:val="20"/>
          <w:lang w:val="en-US"/>
        </w:rPr>
        <w:t xml:space="preserve">Hannah </w:t>
      </w:r>
      <w:r w:rsidR="00D30EC6" w:rsidRPr="001E295D">
        <w:rPr>
          <w:rFonts w:cs="Times New Roman"/>
          <w:sz w:val="20"/>
          <w:szCs w:val="20"/>
          <w:lang w:val="en-US"/>
        </w:rPr>
        <w:t>Kagiri</w:t>
      </w:r>
      <w:r w:rsidR="00D30EC6" w:rsidRPr="001E295D">
        <w:rPr>
          <w:rFonts w:cs="Times New Roman"/>
          <w:sz w:val="20"/>
          <w:szCs w:val="20"/>
          <w:vertAlign w:val="superscript"/>
          <w:lang w:val="en-US"/>
        </w:rPr>
        <w:t>1</w:t>
      </w:r>
      <w:r w:rsidR="001E295D">
        <w:rPr>
          <w:rFonts w:cs="Times New Roman"/>
          <w:sz w:val="20"/>
          <w:szCs w:val="20"/>
          <w:lang w:val="en-US"/>
        </w:rPr>
        <w:t>, Edward Serem</w:t>
      </w:r>
      <w:r w:rsidR="001E295D">
        <w:rPr>
          <w:rFonts w:cs="Times New Roman"/>
          <w:sz w:val="20"/>
          <w:szCs w:val="20"/>
          <w:vertAlign w:val="superscript"/>
          <w:lang w:val="en-US"/>
        </w:rPr>
        <w:t>1</w:t>
      </w:r>
      <w:r w:rsidR="001E295D">
        <w:rPr>
          <w:rFonts w:cs="Times New Roman"/>
          <w:sz w:val="20"/>
          <w:szCs w:val="20"/>
          <w:lang w:val="en-US"/>
        </w:rPr>
        <w:t xml:space="preserve">, </w:t>
      </w:r>
      <w:r w:rsidRPr="001E295D">
        <w:rPr>
          <w:rFonts w:cs="Times New Roman"/>
          <w:sz w:val="20"/>
          <w:szCs w:val="20"/>
          <w:lang w:val="en-US"/>
        </w:rPr>
        <w:t>Simon</w:t>
      </w:r>
      <w:r w:rsidRPr="00BF50F3">
        <w:rPr>
          <w:rFonts w:cs="Times New Roman"/>
          <w:sz w:val="20"/>
          <w:szCs w:val="20"/>
          <w:lang w:val="en-US"/>
        </w:rPr>
        <w:t xml:space="preserve"> Muchemi</w:t>
      </w:r>
      <w:r w:rsidRPr="00BF50F3">
        <w:rPr>
          <w:rFonts w:cs="Times New Roman"/>
          <w:sz w:val="20"/>
          <w:szCs w:val="20"/>
          <w:vertAlign w:val="superscript"/>
          <w:lang w:val="en-US"/>
        </w:rPr>
        <w:t>1</w:t>
      </w:r>
      <w:r w:rsidRPr="00BF50F3">
        <w:rPr>
          <w:rFonts w:cs="Times New Roman"/>
          <w:sz w:val="20"/>
          <w:szCs w:val="20"/>
          <w:lang w:val="en-US"/>
        </w:rPr>
        <w:t>, Scola Wabwire</w:t>
      </w:r>
      <w:r w:rsidRPr="00BF50F3">
        <w:rPr>
          <w:rFonts w:cs="Times New Roman"/>
          <w:sz w:val="20"/>
          <w:szCs w:val="20"/>
          <w:vertAlign w:val="superscript"/>
          <w:lang w:val="en-US"/>
        </w:rPr>
        <w:t>1</w:t>
      </w:r>
      <w:r w:rsidRPr="00BF50F3">
        <w:rPr>
          <w:rFonts w:cs="Times New Roman"/>
          <w:sz w:val="20"/>
          <w:szCs w:val="20"/>
          <w:lang w:val="en-US"/>
        </w:rPr>
        <w:t>, Ties Boerma</w:t>
      </w:r>
      <w:r w:rsidRPr="00BF50F3">
        <w:rPr>
          <w:rFonts w:cs="Times New Roman"/>
          <w:sz w:val="20"/>
          <w:szCs w:val="20"/>
          <w:vertAlign w:val="superscript"/>
          <w:lang w:val="en-US"/>
        </w:rPr>
        <w:t>3</w:t>
      </w:r>
    </w:p>
    <w:p w14:paraId="34A07EDE" w14:textId="77777777" w:rsidR="002165EE" w:rsidRPr="00596F22" w:rsidRDefault="002165EE" w:rsidP="002165EE">
      <w:pPr>
        <w:rPr>
          <w:rFonts w:cs="Times New Roman"/>
          <w:bCs/>
          <w:sz w:val="20"/>
          <w:szCs w:val="20"/>
          <w:lang w:val="en-US"/>
        </w:rPr>
      </w:pPr>
      <w:r w:rsidRPr="00596F22">
        <w:rPr>
          <w:rFonts w:cs="Times New Roman"/>
          <w:bCs/>
          <w:sz w:val="20"/>
          <w:szCs w:val="20"/>
          <w:lang w:val="en-US"/>
        </w:rPr>
        <w:t xml:space="preserve">1 Ministry of Health; 2 African Population and Health Research Center; 3 University of Manitoba </w:t>
      </w:r>
    </w:p>
    <w:p w14:paraId="44F2FB9A" w14:textId="77777777" w:rsidR="002165EE" w:rsidRDefault="002165EE" w:rsidP="00826AED">
      <w:pPr>
        <w:jc w:val="center"/>
        <w:rPr>
          <w:rFonts w:ascii="Calibri" w:hAnsi="Calibri" w:cs="Calibri"/>
          <w:b/>
          <w:bCs/>
          <w:sz w:val="20"/>
          <w:szCs w:val="20"/>
          <w:lang w:val="en-US"/>
        </w:rPr>
      </w:pPr>
    </w:p>
    <w:p w14:paraId="4C69055B" w14:textId="73FF5DB4" w:rsidR="00C4079F" w:rsidRDefault="00F427BB" w:rsidP="00C4079F">
      <w:pPr>
        <w:jc w:val="center"/>
        <w:rPr>
          <w:rFonts w:ascii="Calibri" w:hAnsi="Calibri" w:cs="Calibri"/>
          <w:b/>
          <w:bCs/>
          <w:sz w:val="20"/>
          <w:szCs w:val="20"/>
          <w:lang w:val="en-US"/>
        </w:rPr>
      </w:pPr>
      <w:r w:rsidRPr="005303D7">
        <w:rPr>
          <w:rFonts w:ascii="Calibri" w:hAnsi="Calibri" w:cs="Calibri"/>
          <w:b/>
          <w:bCs/>
          <w:sz w:val="20"/>
          <w:szCs w:val="20"/>
          <w:lang w:val="en-US"/>
        </w:rPr>
        <w:t xml:space="preserve">Appendix </w:t>
      </w:r>
    </w:p>
    <w:p w14:paraId="0CC3F873" w14:textId="77777777" w:rsidR="008C6A0B" w:rsidRDefault="008C6A0B" w:rsidP="008C6A0B">
      <w:pPr>
        <w:rPr>
          <w:rFonts w:ascii="Calibri" w:hAnsi="Calibri" w:cs="Calibri"/>
          <w:b/>
          <w:bCs/>
          <w:sz w:val="20"/>
          <w:szCs w:val="20"/>
          <w:lang w:val="en-US"/>
        </w:rPr>
      </w:pPr>
      <w:r w:rsidRPr="008C6A0B">
        <w:rPr>
          <w:rFonts w:ascii="Calibri" w:hAnsi="Calibri" w:cs="Calibri"/>
          <w:b/>
          <w:bCs/>
          <w:sz w:val="20"/>
          <w:szCs w:val="20"/>
          <w:lang w:val="en-US"/>
        </w:rPr>
        <w:t>Appendix A: Assessment and adjustment reported births and deaths</w:t>
      </w:r>
    </w:p>
    <w:p w14:paraId="6183801C" w14:textId="77777777" w:rsidR="008C6A0B" w:rsidRPr="008C6A0B" w:rsidRDefault="008C6A0B" w:rsidP="008C6A0B">
      <w:pPr>
        <w:rPr>
          <w:rFonts w:ascii="Calibri" w:hAnsi="Calibri" w:cs="Calibri"/>
          <w:b/>
          <w:bCs/>
          <w:sz w:val="20"/>
          <w:szCs w:val="20"/>
          <w:lang w:val="en-US"/>
        </w:rPr>
      </w:pPr>
      <w:r w:rsidRPr="008C6A0B">
        <w:rPr>
          <w:rFonts w:ascii="Calibri" w:hAnsi="Calibri" w:cs="Calibri"/>
          <w:b/>
          <w:bCs/>
          <w:sz w:val="20"/>
          <w:szCs w:val="20"/>
          <w:lang w:val="en-US"/>
        </w:rPr>
        <w:t>Appendix B: Ratio stillbirths to maternal deaths in health facilities – expected values</w:t>
      </w:r>
    </w:p>
    <w:p w14:paraId="0FA603A5" w14:textId="77777777" w:rsidR="008C6A0B" w:rsidRPr="008C6A0B" w:rsidRDefault="008C6A0B" w:rsidP="008C6A0B">
      <w:pPr>
        <w:rPr>
          <w:rFonts w:ascii="Calibri" w:hAnsi="Calibri" w:cs="Calibri"/>
          <w:b/>
          <w:bCs/>
          <w:sz w:val="20"/>
          <w:szCs w:val="20"/>
          <w:lang w:val="en-US"/>
        </w:rPr>
      </w:pPr>
      <w:r w:rsidRPr="008C6A0B">
        <w:rPr>
          <w:rFonts w:ascii="Calibri" w:hAnsi="Calibri" w:cs="Calibri"/>
          <w:b/>
          <w:bCs/>
          <w:sz w:val="20"/>
          <w:szCs w:val="20"/>
          <w:lang w:val="en-US"/>
        </w:rPr>
        <w:t>Appendix C: Ratio of community to institutional maternal mortality ratio – expected values</w:t>
      </w:r>
    </w:p>
    <w:p w14:paraId="4FC035F4" w14:textId="77777777" w:rsidR="008C6A0B" w:rsidRDefault="008C6A0B" w:rsidP="008C6A0B">
      <w:pPr>
        <w:rPr>
          <w:rFonts w:ascii="Calibri" w:hAnsi="Calibri" w:cs="Calibri"/>
          <w:b/>
          <w:bCs/>
          <w:sz w:val="20"/>
          <w:szCs w:val="20"/>
          <w:lang w:val="en-US"/>
        </w:rPr>
      </w:pPr>
      <w:r w:rsidRPr="008C6A0B">
        <w:rPr>
          <w:rFonts w:ascii="Calibri" w:hAnsi="Calibri" w:cs="Calibri"/>
          <w:b/>
          <w:bCs/>
          <w:sz w:val="20"/>
          <w:szCs w:val="20"/>
          <w:lang w:val="en-US"/>
        </w:rPr>
        <w:t>Appendix D: Associations between institutional live births coverage and county characteristics</w:t>
      </w:r>
    </w:p>
    <w:p w14:paraId="42234425" w14:textId="58491630" w:rsidR="008C6A0B" w:rsidRPr="008C6A0B" w:rsidRDefault="008C6A0B" w:rsidP="008C6A0B">
      <w:pPr>
        <w:rPr>
          <w:rFonts w:ascii="Calibri" w:hAnsi="Calibri" w:cs="Calibri"/>
          <w:b/>
          <w:bCs/>
          <w:sz w:val="20"/>
          <w:szCs w:val="20"/>
        </w:rPr>
      </w:pPr>
      <w:r w:rsidRPr="008C6A0B">
        <w:rPr>
          <w:rFonts w:ascii="Calibri" w:hAnsi="Calibri" w:cs="Calibri"/>
          <w:b/>
          <w:bCs/>
          <w:sz w:val="20"/>
          <w:szCs w:val="20"/>
        </w:rPr>
        <w:t xml:space="preserve">Appendix </w:t>
      </w:r>
      <w:r>
        <w:rPr>
          <w:rFonts w:ascii="Calibri" w:hAnsi="Calibri" w:cs="Calibri"/>
          <w:b/>
          <w:bCs/>
          <w:sz w:val="20"/>
          <w:szCs w:val="20"/>
        </w:rPr>
        <w:t>E</w:t>
      </w:r>
      <w:r w:rsidRPr="008C6A0B">
        <w:rPr>
          <w:rFonts w:ascii="Calibri" w:hAnsi="Calibri" w:cs="Calibri"/>
          <w:b/>
          <w:bCs/>
          <w:sz w:val="20"/>
          <w:szCs w:val="20"/>
        </w:rPr>
        <w:t>: association MMR and SBR in health facilities, 2019-2022</w:t>
      </w:r>
    </w:p>
    <w:p w14:paraId="29F0AFB1" w14:textId="06E514D2" w:rsidR="008C6A0B" w:rsidRPr="008C6A0B" w:rsidRDefault="008C6A0B" w:rsidP="008C6A0B">
      <w:pPr>
        <w:rPr>
          <w:rFonts w:ascii="Calibri" w:hAnsi="Calibri" w:cs="Calibri"/>
          <w:b/>
          <w:bCs/>
          <w:sz w:val="20"/>
          <w:szCs w:val="20"/>
          <w:lang w:val="en-US"/>
        </w:rPr>
      </w:pPr>
      <w:r w:rsidRPr="008C6A0B">
        <w:rPr>
          <w:rFonts w:ascii="Calibri" w:hAnsi="Calibri" w:cs="Calibri"/>
          <w:b/>
          <w:bCs/>
          <w:sz w:val="20"/>
          <w:szCs w:val="20"/>
          <w:lang w:val="en-US"/>
        </w:rPr>
        <w:t>Appendix F</w:t>
      </w:r>
      <w:r>
        <w:rPr>
          <w:rFonts w:ascii="Calibri" w:hAnsi="Calibri" w:cs="Calibri"/>
          <w:b/>
          <w:bCs/>
          <w:sz w:val="20"/>
          <w:szCs w:val="20"/>
          <w:lang w:val="en-US"/>
        </w:rPr>
        <w:t>:</w:t>
      </w:r>
      <w:r w:rsidRPr="008C6A0B">
        <w:rPr>
          <w:rFonts w:ascii="Calibri" w:hAnsi="Calibri" w:cs="Calibri"/>
          <w:b/>
          <w:bCs/>
          <w:sz w:val="20"/>
          <w:szCs w:val="20"/>
          <w:lang w:val="en-US"/>
        </w:rPr>
        <w:t xml:space="preserve"> Association of county background characteristics with iMMR and iSBR</w:t>
      </w:r>
    </w:p>
    <w:p w14:paraId="106E58E1" w14:textId="5501AF11" w:rsidR="008C6A0B" w:rsidRPr="008C6A0B" w:rsidRDefault="008C6A0B" w:rsidP="008C6A0B">
      <w:pPr>
        <w:rPr>
          <w:rFonts w:ascii="Calibri" w:hAnsi="Calibri" w:cs="Calibri"/>
          <w:b/>
          <w:bCs/>
          <w:sz w:val="20"/>
          <w:szCs w:val="20"/>
          <w:lang w:val="en-US"/>
        </w:rPr>
      </w:pPr>
      <w:r w:rsidRPr="008C6A0B">
        <w:rPr>
          <w:rFonts w:ascii="Calibri" w:hAnsi="Calibri" w:cs="Calibri"/>
          <w:b/>
          <w:bCs/>
          <w:sz w:val="20"/>
          <w:szCs w:val="20"/>
          <w:lang w:val="en-US"/>
        </w:rPr>
        <w:t>Appendix G</w:t>
      </w:r>
      <w:r>
        <w:rPr>
          <w:rFonts w:ascii="Calibri" w:hAnsi="Calibri" w:cs="Calibri"/>
          <w:b/>
          <w:bCs/>
          <w:sz w:val="20"/>
          <w:szCs w:val="20"/>
          <w:lang w:val="en-US"/>
        </w:rPr>
        <w:t>:</w:t>
      </w:r>
      <w:r w:rsidRPr="008C6A0B">
        <w:rPr>
          <w:rFonts w:ascii="Calibri" w:hAnsi="Calibri" w:cs="Calibri"/>
          <w:b/>
          <w:bCs/>
          <w:sz w:val="20"/>
          <w:szCs w:val="20"/>
          <w:lang w:val="en-US"/>
        </w:rPr>
        <w:t xml:space="preserve"> Comparison KHIS and MPDSR</w:t>
      </w:r>
    </w:p>
    <w:p w14:paraId="657E6820" w14:textId="77777777" w:rsidR="008C6A0B" w:rsidRPr="008C6A0B" w:rsidRDefault="008C6A0B" w:rsidP="008C6A0B">
      <w:pPr>
        <w:rPr>
          <w:rFonts w:ascii="Calibri" w:hAnsi="Calibri" w:cs="Calibri"/>
          <w:b/>
          <w:bCs/>
          <w:sz w:val="20"/>
          <w:szCs w:val="20"/>
          <w:lang w:val="en-US"/>
        </w:rPr>
      </w:pPr>
    </w:p>
    <w:p w14:paraId="6CA7F77F" w14:textId="77777777" w:rsidR="002165EE" w:rsidRDefault="002165EE" w:rsidP="00C4079F">
      <w:pPr>
        <w:jc w:val="center"/>
        <w:rPr>
          <w:rFonts w:ascii="Calibri" w:hAnsi="Calibri" w:cs="Calibri"/>
          <w:b/>
          <w:bCs/>
          <w:sz w:val="20"/>
          <w:szCs w:val="20"/>
          <w:lang w:val="en-US"/>
        </w:rPr>
      </w:pPr>
    </w:p>
    <w:p w14:paraId="077865BE" w14:textId="77777777" w:rsidR="008C6A0B" w:rsidRPr="005303D7" w:rsidRDefault="008C6A0B" w:rsidP="00C4079F">
      <w:pPr>
        <w:jc w:val="center"/>
        <w:rPr>
          <w:rFonts w:ascii="Calibri" w:hAnsi="Calibri" w:cs="Calibri"/>
          <w:b/>
          <w:bCs/>
          <w:sz w:val="20"/>
          <w:szCs w:val="20"/>
          <w:lang w:val="en-US"/>
        </w:rPr>
      </w:pPr>
    </w:p>
    <w:p w14:paraId="491D7FCB" w14:textId="77777777" w:rsidR="008C6A0B" w:rsidRDefault="008C6A0B">
      <w:pPr>
        <w:rPr>
          <w:rFonts w:ascii="Calibri" w:hAnsi="Calibri" w:cs="Calibri"/>
          <w:b/>
          <w:bCs/>
          <w:sz w:val="20"/>
          <w:szCs w:val="20"/>
          <w:lang w:val="en-US"/>
        </w:rPr>
      </w:pPr>
      <w:r>
        <w:rPr>
          <w:rFonts w:ascii="Calibri" w:hAnsi="Calibri" w:cs="Calibri"/>
          <w:b/>
          <w:bCs/>
          <w:sz w:val="20"/>
          <w:szCs w:val="20"/>
          <w:lang w:val="en-US"/>
        </w:rPr>
        <w:br w:type="page"/>
      </w:r>
    </w:p>
    <w:p w14:paraId="033EC253" w14:textId="3CA60BBF" w:rsidR="005B351C" w:rsidRPr="005303D7" w:rsidRDefault="005B351C" w:rsidP="007E4452">
      <w:pPr>
        <w:shd w:val="clear" w:color="auto" w:fill="CAEDFB" w:themeFill="accent4" w:themeFillTint="33"/>
        <w:rPr>
          <w:rFonts w:ascii="Calibri" w:hAnsi="Calibri" w:cs="Calibri"/>
          <w:b/>
          <w:bCs/>
          <w:sz w:val="20"/>
          <w:szCs w:val="20"/>
          <w:lang w:val="en-US"/>
        </w:rPr>
      </w:pPr>
      <w:r w:rsidRPr="005303D7">
        <w:rPr>
          <w:rFonts w:ascii="Calibri" w:hAnsi="Calibri" w:cs="Calibri"/>
          <w:b/>
          <w:bCs/>
          <w:sz w:val="20"/>
          <w:szCs w:val="20"/>
          <w:lang w:val="en-US"/>
        </w:rPr>
        <w:lastRenderedPageBreak/>
        <w:t>Appendix A: Assessment and adjustment reported births and deaths</w:t>
      </w:r>
    </w:p>
    <w:p w14:paraId="5FBAAF11" w14:textId="77777777" w:rsidR="0031502F" w:rsidRDefault="0031502F" w:rsidP="0031502F">
      <w:pPr>
        <w:rPr>
          <w:rFonts w:ascii="Calibri" w:hAnsi="Calibri" w:cs="Calibri"/>
          <w:bCs/>
          <w:iCs/>
          <w:sz w:val="20"/>
          <w:szCs w:val="20"/>
          <w:lang w:val="en-US"/>
        </w:rPr>
      </w:pPr>
      <w:r w:rsidRPr="005303D7">
        <w:rPr>
          <w:rFonts w:ascii="Calibri" w:hAnsi="Calibri" w:cs="Calibri"/>
          <w:sz w:val="20"/>
          <w:szCs w:val="20"/>
          <w:lang w:val="en-US"/>
        </w:rPr>
        <w:t xml:space="preserve">Time series analysis was used to calculate the relative difference between the year's reported number and an expected number based on the surrounding years. We computed the </w:t>
      </w:r>
      <w:r w:rsidRPr="005303D7">
        <w:rPr>
          <w:rFonts w:ascii="Calibri" w:hAnsi="Calibri" w:cs="Calibri"/>
          <w:bCs/>
          <w:iCs/>
          <w:sz w:val="20"/>
          <w:szCs w:val="20"/>
          <w:lang w:val="en-US"/>
        </w:rPr>
        <w:t>relative difference from the median value for the 2 years before and 2 years after the index year to flag questionable or problematic data: ((annual value – median) / median) * 100%.</w:t>
      </w:r>
      <w:r>
        <w:rPr>
          <w:rFonts w:ascii="Calibri" w:hAnsi="Calibri" w:cs="Calibri"/>
          <w:bCs/>
          <w:iCs/>
          <w:sz w:val="20"/>
          <w:szCs w:val="20"/>
          <w:lang w:val="en-US"/>
        </w:rPr>
        <w:t xml:space="preserve"> For 2011 and 2022 we used the two following / preceding years to compute the expected value. For 2012 and 2021 we used 2011-2013-2014-2015 and 2018-2019-2020,2022 respectively. </w:t>
      </w:r>
    </w:p>
    <w:p w14:paraId="7C8AD8B8" w14:textId="19FD1A99" w:rsidR="0031502F" w:rsidRDefault="0031502F" w:rsidP="0031502F">
      <w:pPr>
        <w:rPr>
          <w:rFonts w:ascii="Calibri" w:hAnsi="Calibri" w:cs="Calibri"/>
          <w:bCs/>
          <w:iCs/>
          <w:sz w:val="20"/>
          <w:szCs w:val="20"/>
          <w:lang w:val="en-US"/>
        </w:rPr>
      </w:pPr>
      <w:r>
        <w:rPr>
          <w:rFonts w:ascii="Calibri" w:hAnsi="Calibri" w:cs="Calibri"/>
          <w:bCs/>
          <w:iCs/>
          <w:sz w:val="20"/>
          <w:szCs w:val="20"/>
          <w:lang w:val="en-US"/>
        </w:rPr>
        <w:t>We used the relative difference to identify extreme outliers that deserved further inspection. The thresholds to identify major outliers differ for the three events as the numbers of reported events are very different. For live births we selected 25%, for maternal deaths 200% and stillbirths 100% relative difference from the expected value.</w:t>
      </w:r>
    </w:p>
    <w:p w14:paraId="19B18B46" w14:textId="31A99B6E" w:rsidR="005B351C" w:rsidRPr="005303D7" w:rsidRDefault="005B351C" w:rsidP="005B351C">
      <w:pPr>
        <w:rPr>
          <w:rFonts w:ascii="Calibri" w:hAnsi="Calibri" w:cs="Calibri"/>
          <w:i/>
          <w:iCs/>
          <w:sz w:val="20"/>
          <w:szCs w:val="20"/>
          <w:lang w:val="en-US"/>
        </w:rPr>
      </w:pPr>
      <w:r w:rsidRPr="005303D7">
        <w:rPr>
          <w:rFonts w:ascii="Calibri" w:hAnsi="Calibri" w:cs="Calibri"/>
          <w:i/>
          <w:iCs/>
          <w:sz w:val="20"/>
          <w:szCs w:val="20"/>
          <w:lang w:val="en-US"/>
        </w:rPr>
        <w:t>Livebirths</w:t>
      </w:r>
    </w:p>
    <w:p w14:paraId="4B38BAD9" w14:textId="43806BBF" w:rsidR="005B351C" w:rsidRDefault="005B351C" w:rsidP="005B351C">
      <w:pPr>
        <w:rPr>
          <w:rFonts w:ascii="Calibri" w:hAnsi="Calibri" w:cs="Calibri"/>
          <w:sz w:val="20"/>
          <w:szCs w:val="20"/>
          <w:lang w:val="en-US"/>
        </w:rPr>
      </w:pPr>
      <w:r w:rsidRPr="005303D7">
        <w:rPr>
          <w:rFonts w:ascii="Calibri" w:hAnsi="Calibri" w:cs="Calibri"/>
          <w:sz w:val="20"/>
          <w:szCs w:val="20"/>
          <w:lang w:val="en-US"/>
        </w:rPr>
        <w:t xml:space="preserve">Figure </w:t>
      </w:r>
      <w:r w:rsidR="00C4079F">
        <w:rPr>
          <w:rFonts w:ascii="Calibri" w:hAnsi="Calibri" w:cs="Calibri"/>
          <w:sz w:val="20"/>
          <w:szCs w:val="20"/>
          <w:lang w:val="en-US"/>
        </w:rPr>
        <w:t>A.</w:t>
      </w:r>
      <w:r w:rsidRPr="005303D7">
        <w:rPr>
          <w:rFonts w:ascii="Calibri" w:hAnsi="Calibri" w:cs="Calibri"/>
          <w:sz w:val="20"/>
          <w:szCs w:val="20"/>
          <w:lang w:val="en-US"/>
        </w:rPr>
        <w:t>1 shows the trends for live births. Nairobi is reported separately from the other counties because of its higher numbers. There was a major increase in the number of live births in the health facilities in the country over the period 2011- 2022 with most counties having at least 5,000 live births per year. The dip in 2017 is associated with a national health worker strike.</w:t>
      </w:r>
    </w:p>
    <w:p w14:paraId="5558D854" w14:textId="77777777" w:rsidR="0031502F" w:rsidRPr="005303D7" w:rsidRDefault="0031502F" w:rsidP="0031502F">
      <w:pPr>
        <w:rPr>
          <w:rFonts w:ascii="Calibri" w:hAnsi="Calibri" w:cs="Calibri"/>
          <w:bCs/>
          <w:iCs/>
          <w:sz w:val="20"/>
          <w:szCs w:val="20"/>
          <w:lang w:val="en-US"/>
        </w:rPr>
      </w:pPr>
      <w:r w:rsidRPr="005303D7">
        <w:rPr>
          <w:rFonts w:ascii="Calibri" w:hAnsi="Calibri" w:cs="Calibri"/>
          <w:bCs/>
          <w:iCs/>
          <w:sz w:val="20"/>
          <w:szCs w:val="20"/>
          <w:lang w:val="en-US"/>
        </w:rPr>
        <w:t>There were only seven district annual numbers of live births (1.2%) where the relative difference with the expected value exceeded 25%, and none above 30%.  We did not make any corrections to the reported live birth data.</w:t>
      </w:r>
    </w:p>
    <w:p w14:paraId="5A64ED13" w14:textId="30B25E39" w:rsidR="005B351C" w:rsidRPr="005303D7" w:rsidRDefault="005B351C" w:rsidP="005B351C">
      <w:pPr>
        <w:pStyle w:val="ListParagraph"/>
        <w:ind w:left="0"/>
        <w:rPr>
          <w:rFonts w:ascii="Calibri" w:hAnsi="Calibri" w:cs="Calibri"/>
          <w:b/>
          <w:iCs/>
          <w:sz w:val="20"/>
          <w:szCs w:val="20"/>
          <w:lang w:val="en-US"/>
        </w:rPr>
      </w:pPr>
      <w:r w:rsidRPr="005303D7">
        <w:rPr>
          <w:rFonts w:ascii="Calibri" w:hAnsi="Calibri" w:cs="Calibri"/>
          <w:b/>
          <w:iCs/>
          <w:sz w:val="20"/>
          <w:szCs w:val="20"/>
          <w:lang w:val="en-US"/>
        </w:rPr>
        <w:t xml:space="preserve">Figure </w:t>
      </w:r>
      <w:r w:rsidR="00C4079F">
        <w:rPr>
          <w:rFonts w:ascii="Calibri" w:hAnsi="Calibri" w:cs="Calibri"/>
          <w:b/>
          <w:iCs/>
          <w:sz w:val="20"/>
          <w:szCs w:val="20"/>
          <w:lang w:val="en-US"/>
        </w:rPr>
        <w:t>A.</w:t>
      </w:r>
      <w:r w:rsidRPr="005303D7">
        <w:rPr>
          <w:rFonts w:ascii="Calibri" w:hAnsi="Calibri" w:cs="Calibri"/>
          <w:b/>
          <w:iCs/>
          <w:sz w:val="20"/>
          <w:szCs w:val="20"/>
          <w:lang w:val="en-US"/>
        </w:rPr>
        <w:t>1 number of reported live births by year, Kenya, Nairobi and the remaining 46 counties, 2011-2022, KHIS</w:t>
      </w:r>
    </w:p>
    <w:p w14:paraId="6CE7CE5D" w14:textId="77777777" w:rsidR="005B351C" w:rsidRPr="005303D7" w:rsidRDefault="005B351C" w:rsidP="005B351C">
      <w:pPr>
        <w:pStyle w:val="ListParagraph"/>
        <w:ind w:left="0"/>
        <w:rPr>
          <w:rFonts w:ascii="Calibri" w:hAnsi="Calibri" w:cs="Calibri"/>
          <w:bCs/>
          <w:iCs/>
          <w:sz w:val="20"/>
          <w:szCs w:val="20"/>
          <w:lang w:val="en-US"/>
        </w:rPr>
      </w:pPr>
    </w:p>
    <w:p w14:paraId="13E4A52C" w14:textId="77777777" w:rsidR="005B351C" w:rsidRPr="005303D7" w:rsidRDefault="005B351C" w:rsidP="005B351C">
      <w:pPr>
        <w:pStyle w:val="ListParagraph"/>
        <w:ind w:left="0"/>
        <w:rPr>
          <w:rFonts w:ascii="Calibri" w:hAnsi="Calibri" w:cs="Calibri"/>
          <w:bCs/>
          <w:iCs/>
          <w:sz w:val="20"/>
          <w:szCs w:val="20"/>
          <w:lang w:val="en-US"/>
        </w:rPr>
      </w:pPr>
      <w:r w:rsidRPr="005303D7">
        <w:rPr>
          <w:rFonts w:ascii="Calibri" w:hAnsi="Calibri" w:cs="Calibri"/>
          <w:bCs/>
          <w:iCs/>
          <w:noProof/>
          <w:sz w:val="20"/>
          <w:szCs w:val="20"/>
          <w:lang w:val="en-US"/>
        </w:rPr>
        <w:drawing>
          <wp:inline distT="0" distB="0" distL="0" distR="0" wp14:anchorId="6960B889" wp14:editId="3E9452B6">
            <wp:extent cx="2667000" cy="1600200"/>
            <wp:effectExtent l="0" t="0" r="0" b="0"/>
            <wp:docPr id="434992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600200"/>
                    </a:xfrm>
                    <a:prstGeom prst="rect">
                      <a:avLst/>
                    </a:prstGeom>
                    <a:noFill/>
                    <a:ln>
                      <a:noFill/>
                    </a:ln>
                  </pic:spPr>
                </pic:pic>
              </a:graphicData>
            </a:graphic>
          </wp:inline>
        </w:drawing>
      </w:r>
      <w:r w:rsidRPr="005303D7">
        <w:rPr>
          <w:rFonts w:ascii="Calibri" w:hAnsi="Calibri" w:cs="Calibri"/>
          <w:bCs/>
          <w:iCs/>
          <w:noProof/>
          <w:sz w:val="20"/>
          <w:szCs w:val="20"/>
          <w:lang w:val="en-US"/>
        </w:rPr>
        <w:drawing>
          <wp:inline distT="0" distB="0" distL="0" distR="0" wp14:anchorId="5B35DC05" wp14:editId="3C4685BB">
            <wp:extent cx="2635250" cy="1581150"/>
            <wp:effectExtent l="0" t="0" r="0" b="0"/>
            <wp:docPr id="1428752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5250" cy="1581150"/>
                    </a:xfrm>
                    <a:prstGeom prst="rect">
                      <a:avLst/>
                    </a:prstGeom>
                    <a:noFill/>
                    <a:ln>
                      <a:noFill/>
                    </a:ln>
                  </pic:spPr>
                </pic:pic>
              </a:graphicData>
            </a:graphic>
          </wp:inline>
        </w:drawing>
      </w:r>
    </w:p>
    <w:p w14:paraId="45A1454D" w14:textId="77777777" w:rsidR="005B351C" w:rsidRPr="005303D7" w:rsidRDefault="005B351C" w:rsidP="005B351C">
      <w:pPr>
        <w:pStyle w:val="ListParagraph"/>
        <w:ind w:left="0"/>
        <w:rPr>
          <w:rFonts w:ascii="Calibri" w:hAnsi="Calibri" w:cs="Calibri"/>
          <w:b/>
          <w:i/>
          <w:sz w:val="20"/>
          <w:szCs w:val="20"/>
          <w:lang w:val="en-US"/>
        </w:rPr>
      </w:pPr>
      <w:r w:rsidRPr="005303D7">
        <w:rPr>
          <w:rFonts w:ascii="Calibri" w:hAnsi="Calibri" w:cs="Calibri"/>
          <w:b/>
          <w:i/>
          <w:noProof/>
          <w:sz w:val="20"/>
          <w:szCs w:val="20"/>
          <w:lang w:val="en-US"/>
        </w:rPr>
        <w:lastRenderedPageBreak/>
        <w:drawing>
          <wp:inline distT="0" distB="0" distL="0" distR="0" wp14:anchorId="78852F92" wp14:editId="287EEFAC">
            <wp:extent cx="5943600" cy="3566160"/>
            <wp:effectExtent l="0" t="0" r="0" b="0"/>
            <wp:docPr id="1901268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0BFE91D6" w14:textId="77777777" w:rsidR="005B351C" w:rsidRPr="005303D7" w:rsidRDefault="005B351C" w:rsidP="005B351C">
      <w:pPr>
        <w:rPr>
          <w:rFonts w:ascii="Calibri" w:hAnsi="Calibri" w:cs="Calibri"/>
          <w:i/>
          <w:iCs/>
          <w:sz w:val="20"/>
          <w:szCs w:val="20"/>
          <w:lang w:val="en-US"/>
        </w:rPr>
      </w:pPr>
      <w:r w:rsidRPr="005303D7">
        <w:rPr>
          <w:rFonts w:ascii="Calibri" w:hAnsi="Calibri" w:cs="Calibri"/>
          <w:i/>
          <w:iCs/>
          <w:sz w:val="20"/>
          <w:szCs w:val="20"/>
          <w:lang w:val="en-US"/>
        </w:rPr>
        <w:t>Maternal deaths</w:t>
      </w:r>
    </w:p>
    <w:p w14:paraId="402D6A93" w14:textId="72B393F1" w:rsidR="005B351C" w:rsidRPr="005303D7" w:rsidRDefault="005B351C" w:rsidP="005B351C">
      <w:pPr>
        <w:rPr>
          <w:rFonts w:ascii="Calibri" w:hAnsi="Calibri" w:cs="Calibri"/>
          <w:sz w:val="20"/>
          <w:szCs w:val="20"/>
          <w:lang w:val="en-US"/>
        </w:rPr>
      </w:pPr>
      <w:bookmarkStart w:id="0" w:name="_Hlk169349080"/>
      <w:r w:rsidRPr="005303D7">
        <w:rPr>
          <w:rFonts w:ascii="Calibri" w:hAnsi="Calibri" w:cs="Calibri"/>
          <w:sz w:val="20"/>
          <w:szCs w:val="20"/>
          <w:lang w:val="en-US"/>
        </w:rPr>
        <w:t xml:space="preserve">During the period 2011- 2022, an average of 1094 maternal deaths were reported by health facilities through the routine system KHIS nationally. There was good consistency of the data for the two indicators over the period in most counties. 22 annual county values were more than 100% different from the median based on the surrounding years (3.9%). Six annual values differed at least 200% from the expected value. Based on an inspection of the full </w:t>
      </w:r>
      <w:r w:rsidR="007E4452" w:rsidRPr="005303D7">
        <w:rPr>
          <w:rFonts w:ascii="Calibri" w:hAnsi="Calibri" w:cs="Calibri"/>
          <w:sz w:val="20"/>
          <w:szCs w:val="20"/>
          <w:lang w:val="en-US"/>
        </w:rPr>
        <w:t>time series</w:t>
      </w:r>
      <w:r w:rsidRPr="005303D7">
        <w:rPr>
          <w:rFonts w:ascii="Calibri" w:hAnsi="Calibri" w:cs="Calibri"/>
          <w:sz w:val="20"/>
          <w:szCs w:val="20"/>
          <w:lang w:val="en-US"/>
        </w:rPr>
        <w:t>, including live births and stillbirths, only data for Siaya county in 2021 and 2022 were adjusted and given the median value of 2019-2020 for each year (26 deaths replace</w:t>
      </w:r>
      <w:r w:rsidR="007E4452" w:rsidRPr="005303D7">
        <w:rPr>
          <w:rFonts w:ascii="Calibri" w:hAnsi="Calibri" w:cs="Calibri"/>
          <w:sz w:val="20"/>
          <w:szCs w:val="20"/>
          <w:lang w:val="en-US"/>
        </w:rPr>
        <w:t>d</w:t>
      </w:r>
      <w:r w:rsidRPr="005303D7">
        <w:rPr>
          <w:rFonts w:ascii="Calibri" w:hAnsi="Calibri" w:cs="Calibri"/>
          <w:sz w:val="20"/>
          <w:szCs w:val="20"/>
          <w:lang w:val="en-US"/>
        </w:rPr>
        <w:t xml:space="preserve"> 9 in 2021 and 100 reported deaths in 2022). </w:t>
      </w:r>
    </w:p>
    <w:bookmarkEnd w:id="0"/>
    <w:p w14:paraId="295E6D35" w14:textId="49F0F992" w:rsidR="005B351C" w:rsidRPr="005303D7" w:rsidRDefault="005B351C" w:rsidP="005B351C">
      <w:pPr>
        <w:rPr>
          <w:rFonts w:ascii="Calibri" w:hAnsi="Calibri" w:cs="Calibri"/>
          <w:b/>
          <w:bCs/>
          <w:sz w:val="20"/>
          <w:szCs w:val="20"/>
          <w:lang w:val="en-US"/>
        </w:rPr>
      </w:pPr>
      <w:r w:rsidRPr="005303D7">
        <w:rPr>
          <w:rFonts w:ascii="Calibri" w:hAnsi="Calibri" w:cs="Calibri"/>
          <w:b/>
          <w:bCs/>
          <w:sz w:val="20"/>
          <w:szCs w:val="20"/>
          <w:lang w:val="en-US"/>
        </w:rPr>
        <w:t xml:space="preserve">Figure </w:t>
      </w:r>
      <w:r w:rsidR="00C4079F">
        <w:rPr>
          <w:rFonts w:ascii="Calibri" w:hAnsi="Calibri" w:cs="Calibri"/>
          <w:b/>
          <w:bCs/>
          <w:sz w:val="20"/>
          <w:szCs w:val="20"/>
          <w:lang w:val="en-US"/>
        </w:rPr>
        <w:t>A.2</w:t>
      </w:r>
      <w:r w:rsidRPr="005303D7">
        <w:rPr>
          <w:rFonts w:ascii="Calibri" w:hAnsi="Calibri" w:cs="Calibri"/>
          <w:b/>
          <w:bCs/>
          <w:sz w:val="20"/>
          <w:szCs w:val="20"/>
          <w:lang w:val="en-US"/>
        </w:rPr>
        <w:t>: Number of maternal deaths by year, Kenya, Nairobi and the remaining 46 counties, reported in the KHIS 2011-2022</w:t>
      </w:r>
    </w:p>
    <w:p w14:paraId="269061FF" w14:textId="77777777" w:rsidR="005B351C" w:rsidRPr="005303D7" w:rsidRDefault="005B351C" w:rsidP="005B351C">
      <w:pPr>
        <w:rPr>
          <w:rFonts w:ascii="Calibri" w:hAnsi="Calibri" w:cs="Calibri"/>
          <w:sz w:val="20"/>
          <w:szCs w:val="20"/>
          <w:lang w:val="en-US"/>
        </w:rPr>
      </w:pPr>
      <w:r w:rsidRPr="005303D7">
        <w:rPr>
          <w:rFonts w:ascii="Calibri" w:hAnsi="Calibri" w:cs="Calibri"/>
          <w:noProof/>
          <w:sz w:val="20"/>
          <w:szCs w:val="20"/>
          <w:lang w:val="en-US"/>
        </w:rPr>
        <w:drawing>
          <wp:inline distT="0" distB="0" distL="0" distR="0" wp14:anchorId="28BD683C" wp14:editId="05549BF8">
            <wp:extent cx="2905125" cy="1743075"/>
            <wp:effectExtent l="0" t="0" r="9525" b="9525"/>
            <wp:docPr id="11349110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5125" cy="1743075"/>
                    </a:xfrm>
                    <a:prstGeom prst="rect">
                      <a:avLst/>
                    </a:prstGeom>
                    <a:noFill/>
                    <a:ln>
                      <a:noFill/>
                    </a:ln>
                  </pic:spPr>
                </pic:pic>
              </a:graphicData>
            </a:graphic>
          </wp:inline>
        </w:drawing>
      </w:r>
      <w:r w:rsidRPr="005303D7">
        <w:rPr>
          <w:rFonts w:ascii="Calibri" w:hAnsi="Calibri" w:cs="Calibri"/>
          <w:sz w:val="20"/>
          <w:szCs w:val="20"/>
          <w:lang w:val="en-US"/>
        </w:rPr>
        <w:t xml:space="preserve"> </w:t>
      </w:r>
      <w:r w:rsidRPr="005303D7">
        <w:rPr>
          <w:rFonts w:ascii="Calibri" w:hAnsi="Calibri" w:cs="Calibri"/>
          <w:noProof/>
          <w:sz w:val="20"/>
          <w:szCs w:val="20"/>
          <w:lang w:val="en-US"/>
        </w:rPr>
        <w:drawing>
          <wp:inline distT="0" distB="0" distL="0" distR="0" wp14:anchorId="19F0283A" wp14:editId="2D43F637">
            <wp:extent cx="2943225" cy="1765935"/>
            <wp:effectExtent l="0" t="0" r="9525" b="5715"/>
            <wp:docPr id="3937283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3225" cy="1765935"/>
                    </a:xfrm>
                    <a:prstGeom prst="rect">
                      <a:avLst/>
                    </a:prstGeom>
                    <a:noFill/>
                    <a:ln>
                      <a:noFill/>
                    </a:ln>
                  </pic:spPr>
                </pic:pic>
              </a:graphicData>
            </a:graphic>
          </wp:inline>
        </w:drawing>
      </w:r>
    </w:p>
    <w:p w14:paraId="0C0C4204" w14:textId="77777777" w:rsidR="005B351C" w:rsidRPr="005303D7" w:rsidRDefault="005B351C" w:rsidP="005B351C">
      <w:pPr>
        <w:rPr>
          <w:rFonts w:ascii="Calibri" w:hAnsi="Calibri" w:cs="Calibri"/>
          <w:sz w:val="20"/>
          <w:szCs w:val="20"/>
          <w:lang w:val="en-US"/>
        </w:rPr>
      </w:pPr>
      <w:r w:rsidRPr="005303D7">
        <w:rPr>
          <w:rFonts w:ascii="Calibri" w:hAnsi="Calibri" w:cs="Calibri"/>
          <w:noProof/>
          <w:sz w:val="20"/>
          <w:szCs w:val="20"/>
          <w:lang w:val="en-US"/>
        </w:rPr>
        <w:lastRenderedPageBreak/>
        <w:drawing>
          <wp:inline distT="0" distB="0" distL="0" distR="0" wp14:anchorId="234957DA" wp14:editId="4E7DDAEC">
            <wp:extent cx="5943600" cy="3227696"/>
            <wp:effectExtent l="0" t="0" r="0" b="0"/>
            <wp:docPr id="3406087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512" cy="3230907"/>
                    </a:xfrm>
                    <a:prstGeom prst="rect">
                      <a:avLst/>
                    </a:prstGeom>
                    <a:noFill/>
                    <a:ln>
                      <a:noFill/>
                    </a:ln>
                  </pic:spPr>
                </pic:pic>
              </a:graphicData>
            </a:graphic>
          </wp:inline>
        </w:drawing>
      </w:r>
    </w:p>
    <w:p w14:paraId="4D4D46C7" w14:textId="57D700BA" w:rsidR="005B351C" w:rsidRPr="005303D7" w:rsidRDefault="005B351C" w:rsidP="005B351C">
      <w:pPr>
        <w:rPr>
          <w:rFonts w:ascii="Calibri" w:hAnsi="Calibri" w:cs="Calibri"/>
          <w:sz w:val="20"/>
          <w:szCs w:val="20"/>
          <w:lang w:val="en-US"/>
        </w:rPr>
      </w:pPr>
      <w:r w:rsidRPr="005303D7">
        <w:rPr>
          <w:rFonts w:ascii="Calibri" w:hAnsi="Calibri" w:cs="Calibri"/>
          <w:sz w:val="20"/>
          <w:szCs w:val="20"/>
          <w:lang w:val="en-US"/>
        </w:rPr>
        <w:t>For stillbirths there were 2</w:t>
      </w:r>
      <w:r w:rsidR="007E4452" w:rsidRPr="005303D7">
        <w:rPr>
          <w:rFonts w:ascii="Calibri" w:hAnsi="Calibri" w:cs="Calibri"/>
          <w:sz w:val="20"/>
          <w:szCs w:val="20"/>
          <w:lang w:val="en-US"/>
        </w:rPr>
        <w:t>8</w:t>
      </w:r>
      <w:r w:rsidRPr="005303D7">
        <w:rPr>
          <w:rFonts w:ascii="Calibri" w:hAnsi="Calibri" w:cs="Calibri"/>
          <w:sz w:val="20"/>
          <w:szCs w:val="20"/>
          <w:lang w:val="en-US"/>
        </w:rPr>
        <w:t xml:space="preserve"> annual values that differed at least 100% </w:t>
      </w:r>
      <w:r w:rsidR="007E4452" w:rsidRPr="005303D7">
        <w:rPr>
          <w:rFonts w:ascii="Calibri" w:hAnsi="Calibri" w:cs="Calibri"/>
          <w:sz w:val="20"/>
          <w:szCs w:val="20"/>
          <w:lang w:val="en-US"/>
        </w:rPr>
        <w:t>from</w:t>
      </w:r>
      <w:r w:rsidRPr="005303D7">
        <w:rPr>
          <w:rFonts w:ascii="Calibri" w:hAnsi="Calibri" w:cs="Calibri"/>
          <w:sz w:val="20"/>
          <w:szCs w:val="20"/>
          <w:lang w:val="en-US"/>
        </w:rPr>
        <w:t xml:space="preserve"> the expected value and eight county years with at least 200% difference. We inspected time series, and made corrections for eight counties, by imputing </w:t>
      </w:r>
      <w:r w:rsidR="00C4079F">
        <w:rPr>
          <w:rFonts w:ascii="Calibri" w:hAnsi="Calibri" w:cs="Calibri"/>
          <w:sz w:val="20"/>
          <w:szCs w:val="20"/>
          <w:lang w:val="en-US"/>
        </w:rPr>
        <w:t>t</w:t>
      </w:r>
      <w:r w:rsidRPr="005303D7">
        <w:rPr>
          <w:rFonts w:ascii="Calibri" w:hAnsi="Calibri" w:cs="Calibri"/>
          <w:sz w:val="20"/>
          <w:szCs w:val="20"/>
          <w:lang w:val="en-US"/>
        </w:rPr>
        <w:t xml:space="preserve">he median </w:t>
      </w:r>
      <w:r w:rsidR="007E4452" w:rsidRPr="005303D7">
        <w:rPr>
          <w:rFonts w:ascii="Calibri" w:hAnsi="Calibri" w:cs="Calibri"/>
          <w:sz w:val="20"/>
          <w:szCs w:val="20"/>
          <w:lang w:val="en-US"/>
        </w:rPr>
        <w:t xml:space="preserve">expected </w:t>
      </w:r>
      <w:r w:rsidRPr="005303D7">
        <w:rPr>
          <w:rFonts w:ascii="Calibri" w:hAnsi="Calibri" w:cs="Calibri"/>
          <w:sz w:val="20"/>
          <w:szCs w:val="20"/>
          <w:lang w:val="en-US"/>
        </w:rPr>
        <w:t>value for the year with the extreme value.</w:t>
      </w:r>
    </w:p>
    <w:p w14:paraId="28A12A65" w14:textId="598AD244" w:rsidR="005B351C" w:rsidRPr="005303D7" w:rsidRDefault="005B351C" w:rsidP="005B351C">
      <w:pPr>
        <w:rPr>
          <w:rFonts w:ascii="Calibri" w:hAnsi="Calibri" w:cs="Calibri"/>
          <w:b/>
          <w:bCs/>
          <w:sz w:val="20"/>
          <w:szCs w:val="20"/>
          <w:lang w:val="en-US"/>
        </w:rPr>
      </w:pPr>
      <w:r w:rsidRPr="005303D7">
        <w:rPr>
          <w:rFonts w:ascii="Calibri" w:hAnsi="Calibri" w:cs="Calibri"/>
          <w:b/>
          <w:bCs/>
          <w:sz w:val="20"/>
          <w:szCs w:val="20"/>
          <w:lang w:val="en-US"/>
        </w:rPr>
        <w:t xml:space="preserve">Figure </w:t>
      </w:r>
      <w:r w:rsidR="00C4079F">
        <w:rPr>
          <w:rFonts w:ascii="Calibri" w:hAnsi="Calibri" w:cs="Calibri"/>
          <w:b/>
          <w:bCs/>
          <w:sz w:val="20"/>
          <w:szCs w:val="20"/>
          <w:lang w:val="en-US"/>
        </w:rPr>
        <w:t>A.</w:t>
      </w:r>
      <w:r w:rsidRPr="005303D7">
        <w:rPr>
          <w:rFonts w:ascii="Calibri" w:hAnsi="Calibri" w:cs="Calibri"/>
          <w:b/>
          <w:bCs/>
          <w:sz w:val="20"/>
          <w:szCs w:val="20"/>
        </w:rPr>
        <w:t>3</w:t>
      </w:r>
      <w:r w:rsidRPr="005303D7">
        <w:rPr>
          <w:rFonts w:ascii="Calibri" w:hAnsi="Calibri" w:cs="Calibri"/>
          <w:b/>
          <w:bCs/>
          <w:sz w:val="20"/>
          <w:szCs w:val="20"/>
          <w:lang w:val="en-US"/>
        </w:rPr>
        <w:t>: Number of stillbirths by year, Kenya, Nairobi and the remaining 46 counties, reported in the KHIS 2011-2022</w:t>
      </w:r>
    </w:p>
    <w:p w14:paraId="4FAAEDD8" w14:textId="77777777" w:rsidR="005B351C" w:rsidRPr="005303D7" w:rsidRDefault="005B351C" w:rsidP="005B351C">
      <w:pPr>
        <w:rPr>
          <w:rFonts w:ascii="Calibri" w:hAnsi="Calibri" w:cs="Calibri"/>
          <w:sz w:val="20"/>
          <w:szCs w:val="20"/>
          <w:lang w:val="en-US"/>
        </w:rPr>
      </w:pPr>
      <w:r w:rsidRPr="005303D7">
        <w:rPr>
          <w:rFonts w:ascii="Calibri" w:hAnsi="Calibri" w:cs="Calibri"/>
          <w:noProof/>
          <w:sz w:val="20"/>
          <w:szCs w:val="20"/>
          <w:lang w:val="en-US"/>
        </w:rPr>
        <w:drawing>
          <wp:inline distT="0" distB="0" distL="0" distR="0" wp14:anchorId="7A26A47D" wp14:editId="37814799">
            <wp:extent cx="2889250" cy="1733550"/>
            <wp:effectExtent l="0" t="0" r="6350" b="0"/>
            <wp:docPr id="15419049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9250" cy="1733550"/>
                    </a:xfrm>
                    <a:prstGeom prst="rect">
                      <a:avLst/>
                    </a:prstGeom>
                    <a:noFill/>
                    <a:ln>
                      <a:noFill/>
                    </a:ln>
                  </pic:spPr>
                </pic:pic>
              </a:graphicData>
            </a:graphic>
          </wp:inline>
        </w:drawing>
      </w:r>
      <w:r w:rsidRPr="005303D7">
        <w:rPr>
          <w:rFonts w:ascii="Calibri" w:hAnsi="Calibri" w:cs="Calibri"/>
          <w:sz w:val="20"/>
          <w:szCs w:val="20"/>
          <w:lang w:val="en-US"/>
        </w:rPr>
        <w:t xml:space="preserve"> </w:t>
      </w:r>
      <w:r w:rsidRPr="005303D7">
        <w:rPr>
          <w:rFonts w:ascii="Calibri" w:hAnsi="Calibri" w:cs="Calibri"/>
          <w:noProof/>
          <w:sz w:val="20"/>
          <w:szCs w:val="20"/>
          <w:lang w:val="en-US"/>
        </w:rPr>
        <w:drawing>
          <wp:inline distT="0" distB="0" distL="0" distR="0" wp14:anchorId="75A4798B" wp14:editId="41D7B5D8">
            <wp:extent cx="2940050" cy="1764030"/>
            <wp:effectExtent l="0" t="0" r="0" b="7620"/>
            <wp:docPr id="9857815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0050" cy="1764030"/>
                    </a:xfrm>
                    <a:prstGeom prst="rect">
                      <a:avLst/>
                    </a:prstGeom>
                    <a:noFill/>
                    <a:ln>
                      <a:noFill/>
                    </a:ln>
                  </pic:spPr>
                </pic:pic>
              </a:graphicData>
            </a:graphic>
          </wp:inline>
        </w:drawing>
      </w:r>
    </w:p>
    <w:p w14:paraId="6B734A43" w14:textId="77777777" w:rsidR="005B351C" w:rsidRPr="005303D7" w:rsidRDefault="005B351C" w:rsidP="005B351C">
      <w:pPr>
        <w:rPr>
          <w:rFonts w:ascii="Calibri" w:hAnsi="Calibri" w:cs="Calibri"/>
          <w:sz w:val="20"/>
          <w:szCs w:val="20"/>
          <w:lang w:val="en-US"/>
        </w:rPr>
      </w:pPr>
      <w:r w:rsidRPr="005303D7">
        <w:rPr>
          <w:rFonts w:ascii="Calibri" w:hAnsi="Calibri" w:cs="Calibri"/>
          <w:noProof/>
          <w:sz w:val="20"/>
          <w:szCs w:val="20"/>
          <w:lang w:val="en-US"/>
        </w:rPr>
        <w:lastRenderedPageBreak/>
        <w:drawing>
          <wp:inline distT="0" distB="0" distL="0" distR="0" wp14:anchorId="0B67EC20" wp14:editId="2CDA3422">
            <wp:extent cx="5943600" cy="3566160"/>
            <wp:effectExtent l="0" t="0" r="0" b="0"/>
            <wp:docPr id="2891892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34F1D5C7" w14:textId="77777777" w:rsidR="0031502F" w:rsidRDefault="0031502F">
      <w:pPr>
        <w:rPr>
          <w:rFonts w:ascii="Calibri" w:hAnsi="Calibri" w:cs="Calibri"/>
          <w:b/>
          <w:bCs/>
          <w:sz w:val="20"/>
          <w:szCs w:val="20"/>
          <w:lang w:val="en-US"/>
        </w:rPr>
      </w:pPr>
      <w:r>
        <w:rPr>
          <w:rFonts w:ascii="Calibri" w:hAnsi="Calibri" w:cs="Calibri"/>
          <w:b/>
          <w:bCs/>
          <w:sz w:val="20"/>
          <w:szCs w:val="20"/>
          <w:lang w:val="en-US"/>
        </w:rPr>
        <w:br w:type="page"/>
      </w:r>
    </w:p>
    <w:p w14:paraId="377661EA" w14:textId="11DBB66B" w:rsidR="005B351C" w:rsidRPr="005303D7" w:rsidRDefault="005B351C" w:rsidP="007E4452">
      <w:pPr>
        <w:shd w:val="clear" w:color="auto" w:fill="CAEDFB" w:themeFill="accent4" w:themeFillTint="33"/>
        <w:rPr>
          <w:rFonts w:ascii="Calibri" w:hAnsi="Calibri" w:cs="Calibri"/>
          <w:b/>
          <w:bCs/>
          <w:sz w:val="20"/>
          <w:szCs w:val="20"/>
          <w:lang w:val="en-US"/>
        </w:rPr>
      </w:pPr>
      <w:bookmarkStart w:id="1" w:name="_Hlk175483814"/>
      <w:r w:rsidRPr="005303D7">
        <w:rPr>
          <w:rFonts w:ascii="Calibri" w:hAnsi="Calibri" w:cs="Calibri"/>
          <w:b/>
          <w:bCs/>
          <w:sz w:val="20"/>
          <w:szCs w:val="20"/>
          <w:lang w:val="en-US"/>
        </w:rPr>
        <w:lastRenderedPageBreak/>
        <w:t>Appendix B: Ratio stillbirths to maternal deaths in health facilit</w:t>
      </w:r>
      <w:r w:rsidR="00BC381F" w:rsidRPr="005303D7">
        <w:rPr>
          <w:rFonts w:ascii="Calibri" w:hAnsi="Calibri" w:cs="Calibri"/>
          <w:b/>
          <w:bCs/>
          <w:sz w:val="20"/>
          <w:szCs w:val="20"/>
          <w:lang w:val="en-US"/>
        </w:rPr>
        <w:t>ies</w:t>
      </w:r>
      <w:r w:rsidR="00D45EEE">
        <w:rPr>
          <w:rFonts w:ascii="Calibri" w:hAnsi="Calibri" w:cs="Calibri"/>
          <w:b/>
          <w:bCs/>
          <w:sz w:val="20"/>
          <w:szCs w:val="20"/>
          <w:lang w:val="en-US"/>
        </w:rPr>
        <w:t xml:space="preserve"> – expected values</w:t>
      </w:r>
    </w:p>
    <w:bookmarkEnd w:id="1"/>
    <w:p w14:paraId="40FFF537" w14:textId="77777777" w:rsidR="00BC381F" w:rsidRPr="005303D7" w:rsidRDefault="00BC381F" w:rsidP="00BC381F">
      <w:pPr>
        <w:rPr>
          <w:sz w:val="20"/>
          <w:szCs w:val="20"/>
        </w:rPr>
      </w:pPr>
      <w:r w:rsidRPr="005303D7">
        <w:rPr>
          <w:sz w:val="20"/>
          <w:szCs w:val="20"/>
        </w:rPr>
        <w:t>Maternal deaths, stillbirths and early neonatal death have several common causes, particularly during the perinatal period and related to maternal health.  The quality of maternal care is a critical determinant of mortality risks for women, fetus and neonate. Therefore, we expect a positive association between the mortality rates.</w:t>
      </w:r>
    </w:p>
    <w:p w14:paraId="366F209D" w14:textId="77777777" w:rsidR="00BC381F" w:rsidRPr="005303D7" w:rsidRDefault="00BC381F" w:rsidP="00BC381F">
      <w:pPr>
        <w:rPr>
          <w:rFonts w:cstheme="minorHAnsi"/>
          <w:sz w:val="20"/>
          <w:szCs w:val="20"/>
        </w:rPr>
      </w:pPr>
      <w:r w:rsidRPr="005303D7">
        <w:rPr>
          <w:rFonts w:cstheme="minorHAnsi"/>
          <w:sz w:val="20"/>
          <w:szCs w:val="20"/>
        </w:rPr>
        <w:t>At the population level, maternal mortality ratios are highly correlated with stillbirth and neonatal mortality rates.</w:t>
      </w:r>
      <w:r w:rsidRPr="005303D7">
        <w:rPr>
          <w:rStyle w:val="FootnoteReference"/>
          <w:rFonts w:cstheme="minorHAnsi"/>
          <w:sz w:val="20"/>
          <w:szCs w:val="20"/>
        </w:rPr>
        <w:footnoteReference w:id="1"/>
      </w:r>
      <w:r w:rsidRPr="005303D7">
        <w:rPr>
          <w:rFonts w:cstheme="minorHAnsi"/>
          <w:sz w:val="20"/>
          <w:szCs w:val="20"/>
        </w:rPr>
        <w:t xml:space="preserve"> The ratio of stillbirth and neonatal deaths combined to maternal deaths increased from less than 20, to over 75 as mortality declined in historical data from today’s high-income countries and in the UN estimates.</w:t>
      </w:r>
      <w:r w:rsidRPr="005303D7">
        <w:rPr>
          <w:rStyle w:val="FootnoteReference"/>
          <w:rFonts w:cstheme="minorHAnsi"/>
          <w:sz w:val="20"/>
          <w:szCs w:val="20"/>
        </w:rPr>
        <w:footnoteReference w:id="2"/>
      </w:r>
      <w:r w:rsidRPr="005303D7">
        <w:rPr>
          <w:rFonts w:cstheme="minorHAnsi"/>
          <w:sz w:val="20"/>
          <w:szCs w:val="20"/>
        </w:rPr>
        <w:t xml:space="preserve"> </w:t>
      </w:r>
    </w:p>
    <w:p w14:paraId="6042F482" w14:textId="3A4114EA" w:rsidR="00BC381F" w:rsidRPr="005303D7" w:rsidRDefault="00BC381F" w:rsidP="00BC381F">
      <w:pPr>
        <w:rPr>
          <w:rFonts w:cstheme="minorHAnsi"/>
          <w:sz w:val="20"/>
          <w:szCs w:val="20"/>
        </w:rPr>
      </w:pPr>
      <w:r w:rsidRPr="005303D7">
        <w:rPr>
          <w:rFonts w:cstheme="minorHAnsi"/>
          <w:sz w:val="20"/>
          <w:szCs w:val="20"/>
        </w:rPr>
        <w:t>Th</w:t>
      </w:r>
      <w:r w:rsidR="00C10AA8">
        <w:rPr>
          <w:rFonts w:cstheme="minorHAnsi"/>
          <w:sz w:val="20"/>
          <w:szCs w:val="20"/>
        </w:rPr>
        <w:t>e</w:t>
      </w:r>
      <w:r w:rsidRPr="005303D7">
        <w:rPr>
          <w:rFonts w:cstheme="minorHAnsi"/>
          <w:sz w:val="20"/>
          <w:szCs w:val="20"/>
        </w:rPr>
        <w:t xml:space="preserve"> country reporting of neonatal deaths before discharge is highly variable in most DHIS2 and needs a separate assessment. It is not included in this assessment. </w:t>
      </w:r>
    </w:p>
    <w:p w14:paraId="03AB1864" w14:textId="77777777" w:rsidR="00BC381F" w:rsidRPr="005303D7" w:rsidRDefault="00BC381F" w:rsidP="00BC381F">
      <w:pPr>
        <w:rPr>
          <w:rFonts w:cstheme="minorHAnsi"/>
          <w:sz w:val="20"/>
          <w:szCs w:val="20"/>
        </w:rPr>
      </w:pPr>
      <w:r w:rsidRPr="005303D7">
        <w:rPr>
          <w:rFonts w:cstheme="minorHAnsi"/>
          <w:sz w:val="20"/>
          <w:szCs w:val="20"/>
        </w:rPr>
        <w:t>The main inclusion criteria for published studies include: (1) a systematic effort to maximize the completeness of the data on maternal deaths and stillbirths (2) We did not a priori exclude studies that provided an intervention but consider them on a case-by-case basis to assess the suitability for inclusion (3) at least 5000 livebirths (4) no tertiary hospital.</w:t>
      </w:r>
    </w:p>
    <w:p w14:paraId="55D35CCA" w14:textId="77777777" w:rsidR="00BC381F" w:rsidRPr="005303D7" w:rsidRDefault="00BC381F" w:rsidP="00BC381F">
      <w:pPr>
        <w:rPr>
          <w:rFonts w:cstheme="minorHAnsi"/>
          <w:sz w:val="20"/>
          <w:szCs w:val="20"/>
        </w:rPr>
      </w:pPr>
      <w:r w:rsidRPr="005303D7">
        <w:rPr>
          <w:rFonts w:cstheme="minorHAnsi"/>
          <w:sz w:val="20"/>
          <w:szCs w:val="20"/>
        </w:rPr>
        <w:t>The range of the ratio stillbirths to maternal deaths in health facilities was large, from about 5 to 30 stillbirths per maternal death:</w:t>
      </w:r>
    </w:p>
    <w:p w14:paraId="289B8E85"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t>Dar es Salaam, 5 facilities, maternity registers plus data quality component, 2020, 36758 livebirths: MMR was 111 per 100,000 births, stillbirth 27.7 per 1,000 births; ratio 25.</w:t>
      </w:r>
      <w:r w:rsidRPr="005303D7">
        <w:rPr>
          <w:rStyle w:val="FootnoteReference"/>
          <w:rFonts w:cstheme="minorHAnsi"/>
          <w:sz w:val="20"/>
          <w:szCs w:val="20"/>
        </w:rPr>
        <w:footnoteReference w:id="3"/>
      </w:r>
    </w:p>
    <w:p w14:paraId="72B755B0"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t>Dar es Salaam, 22 facilities, registers, interventions, over 70,000 livebirths each year, 2012, 2015 and 2019, MMR 150-80-77 and SBR 27-26-21, ratios 18, 33 and 27.</w:t>
      </w:r>
      <w:r w:rsidRPr="005303D7">
        <w:rPr>
          <w:rStyle w:val="FootnoteReference"/>
          <w:rFonts w:cstheme="minorHAnsi"/>
          <w:sz w:val="20"/>
          <w:szCs w:val="20"/>
        </w:rPr>
        <w:footnoteReference w:id="4"/>
      </w:r>
    </w:p>
    <w:p w14:paraId="7E5F24D0"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t xml:space="preserve">Njombe district, Tanzania: 20 facilities in 2 districts, using DHIS2 data, 2016-2018, with interventions: combining the 3 years 8442 live births, 5 maternal deaths (MMR 59), and a ratio </w:t>
      </w:r>
      <w:proofErr w:type="gramStart"/>
      <w:r w:rsidRPr="005303D7">
        <w:rPr>
          <w:rFonts w:cstheme="minorHAnsi"/>
          <w:sz w:val="20"/>
          <w:szCs w:val="20"/>
        </w:rPr>
        <w:t>of  9</w:t>
      </w:r>
      <w:proofErr w:type="gramEnd"/>
      <w:r w:rsidRPr="005303D7">
        <w:rPr>
          <w:rFonts w:cstheme="minorHAnsi"/>
          <w:sz w:val="20"/>
          <w:szCs w:val="20"/>
        </w:rPr>
        <w:t>.</w:t>
      </w:r>
      <w:r w:rsidRPr="005303D7">
        <w:rPr>
          <w:rStyle w:val="FootnoteReference"/>
          <w:rFonts w:cstheme="minorHAnsi"/>
          <w:sz w:val="20"/>
          <w:szCs w:val="20"/>
        </w:rPr>
        <w:footnoteReference w:id="5"/>
      </w:r>
    </w:p>
    <w:p w14:paraId="231444B6"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t>Upper East region in Ghana, 24 facilities, 3 districts, using DHIS2 data, 2016-2018, with interventions: combining the 3 years, 28,112 livebirths, MMR 263, SBR 23, ratio 10.</w:t>
      </w:r>
      <w:r w:rsidRPr="005303D7">
        <w:rPr>
          <w:rStyle w:val="FootnoteReference"/>
          <w:rFonts w:cstheme="minorHAnsi"/>
          <w:sz w:val="20"/>
          <w:szCs w:val="20"/>
        </w:rPr>
        <w:footnoteReference w:id="6"/>
      </w:r>
    </w:p>
    <w:p w14:paraId="5B9CCB6A"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t>Tanzania, 6 regions, 36 facilities, hospitals and health centres, 2021 baseline, 67690 deliveries, MMR 244, SBR 14.6, ratio 6.</w:t>
      </w:r>
      <w:r w:rsidRPr="005303D7">
        <w:rPr>
          <w:rStyle w:val="FootnoteReference"/>
          <w:rFonts w:cstheme="minorHAnsi"/>
          <w:sz w:val="20"/>
          <w:szCs w:val="20"/>
        </w:rPr>
        <w:footnoteReference w:id="7"/>
      </w:r>
      <w:r w:rsidRPr="005303D7">
        <w:rPr>
          <w:rFonts w:cstheme="minorHAnsi"/>
          <w:sz w:val="20"/>
          <w:szCs w:val="20"/>
        </w:rPr>
        <w:t xml:space="preserve"> The repeat assessment a year later showed a major decline in MMR (to 72) but not SBR, resulting in a ratio increase to 27.</w:t>
      </w:r>
    </w:p>
    <w:p w14:paraId="29347E6C"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t>Kigoma Tanzania: all health facilities in one region, interventions, 2013 and 2018, 38,367 and 85045 live births, resp., MMR 303 and 174, SBR 27 and 13, ratios 9 and 7.</w:t>
      </w:r>
      <w:r w:rsidRPr="005303D7">
        <w:rPr>
          <w:rStyle w:val="FootnoteReference"/>
          <w:rFonts w:cstheme="minorHAnsi"/>
          <w:sz w:val="20"/>
          <w:szCs w:val="20"/>
        </w:rPr>
        <w:footnoteReference w:id="8"/>
      </w:r>
    </w:p>
    <w:p w14:paraId="5DE2B1B3"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lastRenderedPageBreak/>
        <w:t>Uganda, 128 facilities, routine reporting + data quality component, interventions, 2011-12, 2012-13 and 2016, over 30,000 LB, MMR from 534 to 354 and 203, SBR 31, 25 and 27. Ratio 6, 7 and 9.</w:t>
      </w:r>
      <w:r w:rsidRPr="005303D7">
        <w:rPr>
          <w:rStyle w:val="FootnoteReference"/>
          <w:rFonts w:cstheme="minorHAnsi"/>
          <w:sz w:val="20"/>
          <w:szCs w:val="20"/>
        </w:rPr>
        <w:footnoteReference w:id="9"/>
      </w:r>
      <w:r w:rsidRPr="005303D7">
        <w:rPr>
          <w:rFonts w:cstheme="minorHAnsi"/>
          <w:sz w:val="20"/>
          <w:szCs w:val="20"/>
        </w:rPr>
        <w:t xml:space="preserve"> </w:t>
      </w:r>
    </w:p>
    <w:p w14:paraId="5CC81045" w14:textId="77777777" w:rsidR="00BC381F" w:rsidRPr="005303D7" w:rsidRDefault="00BC381F" w:rsidP="00BC381F">
      <w:pPr>
        <w:pStyle w:val="ListParagraph"/>
        <w:numPr>
          <w:ilvl w:val="0"/>
          <w:numId w:val="2"/>
        </w:numPr>
        <w:rPr>
          <w:rFonts w:cstheme="minorHAnsi"/>
          <w:sz w:val="20"/>
          <w:szCs w:val="20"/>
        </w:rPr>
      </w:pPr>
      <w:r w:rsidRPr="005303D7">
        <w:rPr>
          <w:rFonts w:cstheme="minorHAnsi"/>
          <w:sz w:val="20"/>
          <w:szCs w:val="20"/>
        </w:rPr>
        <w:t>Zambia, 120 facilities, same years and approach as Uganda, interventions: 2011-12, 2012-13 and 2016, over 20,000 LB: MMR 310, 202, 231 and SBR 31, 25, 20. Ratios 10, 13 and 9.</w:t>
      </w:r>
      <w:r w:rsidRPr="005303D7">
        <w:rPr>
          <w:rStyle w:val="FootnoteReference"/>
          <w:rFonts w:cstheme="minorHAnsi"/>
          <w:sz w:val="20"/>
          <w:szCs w:val="20"/>
        </w:rPr>
        <w:footnoteReference w:id="10"/>
      </w:r>
      <w:r w:rsidRPr="005303D7">
        <w:rPr>
          <w:rFonts w:cstheme="minorHAnsi"/>
          <w:sz w:val="20"/>
          <w:szCs w:val="20"/>
        </w:rPr>
        <w:t xml:space="preserve"> </w:t>
      </w:r>
      <w:r w:rsidRPr="005303D7">
        <w:rPr>
          <w:rStyle w:val="FootnoteReference"/>
          <w:rFonts w:cstheme="minorHAnsi"/>
          <w:sz w:val="20"/>
          <w:szCs w:val="20"/>
        </w:rPr>
        <w:footnoteReference w:id="11"/>
      </w:r>
    </w:p>
    <w:p w14:paraId="022504A8" w14:textId="5622DBC8" w:rsidR="00BC381F" w:rsidRDefault="00BC381F" w:rsidP="00BC381F">
      <w:pPr>
        <w:rPr>
          <w:rFonts w:cstheme="minorHAnsi"/>
          <w:sz w:val="20"/>
          <w:szCs w:val="20"/>
        </w:rPr>
      </w:pPr>
      <w:r w:rsidRPr="005303D7">
        <w:rPr>
          <w:rFonts w:cstheme="minorHAnsi"/>
          <w:sz w:val="20"/>
          <w:szCs w:val="20"/>
        </w:rPr>
        <w:t>There are major differences between the study sites, but less variability between years within the same studies. The major exception was the 6-district study in Tanzania where the ratio increased from 6 to 27 due to a plunging MMR but not SBR. Combining the results for all years (before and after intervention) from the main studies shows that 6 of the 7 studies have a ratio of stillbirth to maternal deaths in health facilities within the range of 7 to 11, with only Dar es Salaam as a major exception (ratio of 24).</w:t>
      </w:r>
    </w:p>
    <w:p w14:paraId="3804591E" w14:textId="201D76FC" w:rsidR="00C4079F" w:rsidRPr="00C4079F" w:rsidRDefault="00C4079F" w:rsidP="00BC381F">
      <w:pPr>
        <w:rPr>
          <w:rFonts w:cstheme="minorHAnsi"/>
          <w:b/>
          <w:bCs/>
          <w:sz w:val="20"/>
          <w:szCs w:val="20"/>
        </w:rPr>
      </w:pPr>
      <w:r w:rsidRPr="00C4079F">
        <w:rPr>
          <w:rFonts w:cstheme="minorHAnsi"/>
          <w:b/>
          <w:bCs/>
          <w:sz w:val="20"/>
          <w:szCs w:val="20"/>
        </w:rPr>
        <w:t>Figure B1.</w:t>
      </w:r>
      <w:r>
        <w:rPr>
          <w:rFonts w:cstheme="minorHAnsi"/>
          <w:b/>
          <w:bCs/>
          <w:sz w:val="20"/>
          <w:szCs w:val="20"/>
        </w:rPr>
        <w:t xml:space="preserve"> </w:t>
      </w:r>
      <w:r w:rsidRPr="00C4079F">
        <w:rPr>
          <w:rFonts w:cstheme="minorHAnsi"/>
          <w:b/>
          <w:bCs/>
          <w:sz w:val="20"/>
          <w:szCs w:val="20"/>
        </w:rPr>
        <w:t>Ratio of stillbirths to maternal deaths, health facility studies, sub-Saharan Africa</w:t>
      </w:r>
    </w:p>
    <w:p w14:paraId="15663992" w14:textId="77777777" w:rsidR="00BC381F" w:rsidRDefault="00BC381F" w:rsidP="00BC381F">
      <w:pPr>
        <w:rPr>
          <w:rFonts w:cstheme="minorHAnsi"/>
          <w:sz w:val="20"/>
          <w:szCs w:val="20"/>
        </w:rPr>
      </w:pPr>
      <w:r w:rsidRPr="005303D7">
        <w:rPr>
          <w:rFonts w:cstheme="minorHAnsi"/>
          <w:noProof/>
          <w:sz w:val="20"/>
          <w:szCs w:val="20"/>
        </w:rPr>
        <w:drawing>
          <wp:inline distT="0" distB="0" distL="0" distR="0" wp14:anchorId="1BB73A95" wp14:editId="50AFD268">
            <wp:extent cx="3134751" cy="2094932"/>
            <wp:effectExtent l="0" t="0" r="8890" b="635"/>
            <wp:docPr id="1574286390"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86390" name="Picture 1" descr="A graph with blue dot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4852" cy="2101683"/>
                    </a:xfrm>
                    <a:prstGeom prst="rect">
                      <a:avLst/>
                    </a:prstGeom>
                    <a:noFill/>
                  </pic:spPr>
                </pic:pic>
              </a:graphicData>
            </a:graphic>
          </wp:inline>
        </w:drawing>
      </w:r>
    </w:p>
    <w:p w14:paraId="63074BFF" w14:textId="2CF03A7D" w:rsidR="00C4079F" w:rsidRPr="005303D7" w:rsidRDefault="00C4079F" w:rsidP="00BC381F">
      <w:pPr>
        <w:rPr>
          <w:rFonts w:cstheme="minorHAnsi"/>
          <w:sz w:val="20"/>
          <w:szCs w:val="20"/>
        </w:rPr>
      </w:pPr>
      <w:r>
        <w:rPr>
          <w:rFonts w:cstheme="minorHAnsi"/>
          <w:sz w:val="20"/>
          <w:szCs w:val="20"/>
        </w:rPr>
        <w:t>Table B.1: Mortality levels and ratios in selected studies</w:t>
      </w:r>
    </w:p>
    <w:tbl>
      <w:tblPr>
        <w:tblStyle w:val="TableGrid"/>
        <w:tblW w:w="5000" w:type="pct"/>
        <w:tblLook w:val="04A0" w:firstRow="1" w:lastRow="0" w:firstColumn="1" w:lastColumn="0" w:noHBand="0" w:noVBand="1"/>
      </w:tblPr>
      <w:tblGrid>
        <w:gridCol w:w="1820"/>
        <w:gridCol w:w="2206"/>
        <w:gridCol w:w="2366"/>
        <w:gridCol w:w="2958"/>
      </w:tblGrid>
      <w:tr w:rsidR="00BC381F" w:rsidRPr="005303D7" w14:paraId="2A32E507" w14:textId="77777777" w:rsidTr="00C4079F">
        <w:trPr>
          <w:trHeight w:val="240"/>
        </w:trPr>
        <w:tc>
          <w:tcPr>
            <w:tcW w:w="1279" w:type="pct"/>
            <w:noWrap/>
            <w:hideMark/>
          </w:tcPr>
          <w:p w14:paraId="0DBB4147" w14:textId="77777777" w:rsidR="00BC381F" w:rsidRPr="005303D7" w:rsidRDefault="00BC381F" w:rsidP="00077BB4">
            <w:pPr>
              <w:rPr>
                <w:rFonts w:ascii="Times New Roman" w:eastAsia="Times New Roman" w:hAnsi="Times New Roman" w:cs="Times New Roman"/>
                <w:kern w:val="0"/>
                <w:sz w:val="20"/>
                <w:szCs w:val="20"/>
                <w:lang w:eastAsia="en-CA"/>
                <w14:ligatures w14:val="none"/>
              </w:rPr>
            </w:pPr>
          </w:p>
        </w:tc>
        <w:tc>
          <w:tcPr>
            <w:tcW w:w="1150" w:type="pct"/>
            <w:noWrap/>
            <w:hideMark/>
          </w:tcPr>
          <w:p w14:paraId="63C3ECD9"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MMR per 100,000 births</w:t>
            </w:r>
          </w:p>
        </w:tc>
        <w:tc>
          <w:tcPr>
            <w:tcW w:w="1693" w:type="pct"/>
            <w:noWrap/>
            <w:hideMark/>
          </w:tcPr>
          <w:p w14:paraId="6E62398A"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Stillbirths per 1000 births</w:t>
            </w:r>
          </w:p>
        </w:tc>
        <w:tc>
          <w:tcPr>
            <w:tcW w:w="879" w:type="pct"/>
            <w:noWrap/>
            <w:hideMark/>
          </w:tcPr>
          <w:p w14:paraId="494654E0"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Ratio stillbirths to maternal death</w:t>
            </w:r>
          </w:p>
        </w:tc>
      </w:tr>
      <w:tr w:rsidR="00BC381F" w:rsidRPr="005303D7" w14:paraId="5C84AD89" w14:textId="77777777" w:rsidTr="00C4079F">
        <w:trPr>
          <w:trHeight w:val="240"/>
        </w:trPr>
        <w:tc>
          <w:tcPr>
            <w:tcW w:w="1279" w:type="pct"/>
            <w:noWrap/>
            <w:hideMark/>
          </w:tcPr>
          <w:p w14:paraId="7D88F43D"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Dar es Salaam</w:t>
            </w:r>
          </w:p>
        </w:tc>
        <w:tc>
          <w:tcPr>
            <w:tcW w:w="1150" w:type="pct"/>
            <w:noWrap/>
            <w:hideMark/>
          </w:tcPr>
          <w:p w14:paraId="0A0EB8EE"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103</w:t>
            </w:r>
          </w:p>
        </w:tc>
        <w:tc>
          <w:tcPr>
            <w:tcW w:w="1693" w:type="pct"/>
            <w:noWrap/>
            <w:hideMark/>
          </w:tcPr>
          <w:p w14:paraId="71D9442C"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25.1</w:t>
            </w:r>
          </w:p>
        </w:tc>
        <w:tc>
          <w:tcPr>
            <w:tcW w:w="879" w:type="pct"/>
            <w:noWrap/>
            <w:hideMark/>
          </w:tcPr>
          <w:p w14:paraId="3719314A"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24.2</w:t>
            </w:r>
          </w:p>
        </w:tc>
      </w:tr>
      <w:tr w:rsidR="00BC381F" w:rsidRPr="005303D7" w14:paraId="5609017B" w14:textId="77777777" w:rsidTr="00C4079F">
        <w:trPr>
          <w:trHeight w:val="240"/>
        </w:trPr>
        <w:tc>
          <w:tcPr>
            <w:tcW w:w="1279" w:type="pct"/>
            <w:noWrap/>
            <w:hideMark/>
          </w:tcPr>
          <w:p w14:paraId="69024FD0"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Njombe, Tanzania</w:t>
            </w:r>
          </w:p>
        </w:tc>
        <w:tc>
          <w:tcPr>
            <w:tcW w:w="1150" w:type="pct"/>
            <w:noWrap/>
            <w:hideMark/>
          </w:tcPr>
          <w:p w14:paraId="18BCBFBF"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200</w:t>
            </w:r>
          </w:p>
        </w:tc>
        <w:tc>
          <w:tcPr>
            <w:tcW w:w="1693" w:type="pct"/>
            <w:noWrap/>
            <w:hideMark/>
          </w:tcPr>
          <w:p w14:paraId="1C14CC6B"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17.8</w:t>
            </w:r>
          </w:p>
        </w:tc>
        <w:tc>
          <w:tcPr>
            <w:tcW w:w="879" w:type="pct"/>
            <w:noWrap/>
            <w:hideMark/>
          </w:tcPr>
          <w:p w14:paraId="64F2EA07"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8.9</w:t>
            </w:r>
          </w:p>
        </w:tc>
      </w:tr>
      <w:tr w:rsidR="00BC381F" w:rsidRPr="005303D7" w14:paraId="20B09D8A" w14:textId="77777777" w:rsidTr="00C4079F">
        <w:trPr>
          <w:trHeight w:val="240"/>
        </w:trPr>
        <w:tc>
          <w:tcPr>
            <w:tcW w:w="1279" w:type="pct"/>
            <w:noWrap/>
            <w:hideMark/>
          </w:tcPr>
          <w:p w14:paraId="328ABDF3"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6 districts, Tanzania</w:t>
            </w:r>
          </w:p>
        </w:tc>
        <w:tc>
          <w:tcPr>
            <w:tcW w:w="1150" w:type="pct"/>
            <w:noWrap/>
            <w:hideMark/>
          </w:tcPr>
          <w:p w14:paraId="0FA5ED32"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153</w:t>
            </w:r>
          </w:p>
        </w:tc>
        <w:tc>
          <w:tcPr>
            <w:tcW w:w="1693" w:type="pct"/>
            <w:noWrap/>
            <w:hideMark/>
          </w:tcPr>
          <w:p w14:paraId="6B894970"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16.9</w:t>
            </w:r>
          </w:p>
        </w:tc>
        <w:tc>
          <w:tcPr>
            <w:tcW w:w="879" w:type="pct"/>
            <w:noWrap/>
            <w:hideMark/>
          </w:tcPr>
          <w:p w14:paraId="0CD34953"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11.0</w:t>
            </w:r>
          </w:p>
        </w:tc>
      </w:tr>
      <w:tr w:rsidR="00BC381F" w:rsidRPr="005303D7" w14:paraId="000D9FE8" w14:textId="77777777" w:rsidTr="00C4079F">
        <w:trPr>
          <w:trHeight w:val="240"/>
        </w:trPr>
        <w:tc>
          <w:tcPr>
            <w:tcW w:w="1279" w:type="pct"/>
            <w:noWrap/>
            <w:hideMark/>
          </w:tcPr>
          <w:p w14:paraId="32988D4D"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Kigoma, Tanzania</w:t>
            </w:r>
          </w:p>
        </w:tc>
        <w:tc>
          <w:tcPr>
            <w:tcW w:w="1150" w:type="pct"/>
            <w:noWrap/>
            <w:hideMark/>
          </w:tcPr>
          <w:p w14:paraId="21719878"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210</w:t>
            </w:r>
          </w:p>
        </w:tc>
        <w:tc>
          <w:tcPr>
            <w:tcW w:w="1693" w:type="pct"/>
            <w:noWrap/>
            <w:hideMark/>
          </w:tcPr>
          <w:p w14:paraId="1DF2F0BD"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17.1</w:t>
            </w:r>
          </w:p>
        </w:tc>
        <w:tc>
          <w:tcPr>
            <w:tcW w:w="879" w:type="pct"/>
            <w:noWrap/>
            <w:hideMark/>
          </w:tcPr>
          <w:p w14:paraId="0C0A3E88"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8.1</w:t>
            </w:r>
          </w:p>
        </w:tc>
      </w:tr>
      <w:tr w:rsidR="00BC381F" w:rsidRPr="005303D7" w14:paraId="68211B10" w14:textId="77777777" w:rsidTr="00C4079F">
        <w:trPr>
          <w:trHeight w:val="240"/>
        </w:trPr>
        <w:tc>
          <w:tcPr>
            <w:tcW w:w="1279" w:type="pct"/>
            <w:noWrap/>
            <w:hideMark/>
          </w:tcPr>
          <w:p w14:paraId="25BC391C"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Upper East, Ghana</w:t>
            </w:r>
          </w:p>
        </w:tc>
        <w:tc>
          <w:tcPr>
            <w:tcW w:w="1150" w:type="pct"/>
            <w:noWrap/>
            <w:hideMark/>
          </w:tcPr>
          <w:p w14:paraId="40E7B8FF"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257</w:t>
            </w:r>
          </w:p>
        </w:tc>
        <w:tc>
          <w:tcPr>
            <w:tcW w:w="1693" w:type="pct"/>
            <w:noWrap/>
            <w:hideMark/>
          </w:tcPr>
          <w:p w14:paraId="14B0DD3D"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23.3</w:t>
            </w:r>
          </w:p>
        </w:tc>
        <w:tc>
          <w:tcPr>
            <w:tcW w:w="879" w:type="pct"/>
            <w:noWrap/>
            <w:hideMark/>
          </w:tcPr>
          <w:p w14:paraId="60243564"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9.1</w:t>
            </w:r>
          </w:p>
        </w:tc>
      </w:tr>
      <w:tr w:rsidR="00BC381F" w:rsidRPr="005303D7" w14:paraId="700192F2" w14:textId="77777777" w:rsidTr="00C4079F">
        <w:trPr>
          <w:trHeight w:val="240"/>
        </w:trPr>
        <w:tc>
          <w:tcPr>
            <w:tcW w:w="1279" w:type="pct"/>
            <w:noWrap/>
            <w:hideMark/>
          </w:tcPr>
          <w:p w14:paraId="59181791"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3 districts, Uganda</w:t>
            </w:r>
          </w:p>
        </w:tc>
        <w:tc>
          <w:tcPr>
            <w:tcW w:w="1150" w:type="pct"/>
            <w:noWrap/>
            <w:hideMark/>
          </w:tcPr>
          <w:p w14:paraId="0C4CFEF4"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292</w:t>
            </w:r>
          </w:p>
        </w:tc>
        <w:tc>
          <w:tcPr>
            <w:tcW w:w="1693" w:type="pct"/>
            <w:noWrap/>
            <w:hideMark/>
          </w:tcPr>
          <w:p w14:paraId="00DD91FD"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26.3</w:t>
            </w:r>
          </w:p>
        </w:tc>
        <w:tc>
          <w:tcPr>
            <w:tcW w:w="879" w:type="pct"/>
            <w:noWrap/>
            <w:hideMark/>
          </w:tcPr>
          <w:p w14:paraId="4F3644FE"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7.1</w:t>
            </w:r>
          </w:p>
        </w:tc>
      </w:tr>
      <w:tr w:rsidR="00BC381F" w:rsidRPr="005303D7" w14:paraId="6CE308BA" w14:textId="77777777" w:rsidTr="00C4079F">
        <w:trPr>
          <w:trHeight w:val="240"/>
        </w:trPr>
        <w:tc>
          <w:tcPr>
            <w:tcW w:w="1279" w:type="pct"/>
            <w:noWrap/>
            <w:hideMark/>
          </w:tcPr>
          <w:p w14:paraId="076F4EF2" w14:textId="77777777" w:rsidR="00BC381F" w:rsidRPr="005303D7" w:rsidRDefault="00BC381F" w:rsidP="00077BB4">
            <w:pPr>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3 districts, Zambia</w:t>
            </w:r>
          </w:p>
        </w:tc>
        <w:tc>
          <w:tcPr>
            <w:tcW w:w="1150" w:type="pct"/>
            <w:noWrap/>
            <w:hideMark/>
          </w:tcPr>
          <w:p w14:paraId="5434454C"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226</w:t>
            </w:r>
          </w:p>
        </w:tc>
        <w:tc>
          <w:tcPr>
            <w:tcW w:w="1693" w:type="pct"/>
            <w:noWrap/>
            <w:hideMark/>
          </w:tcPr>
          <w:p w14:paraId="745354F7"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23.8</w:t>
            </w:r>
          </w:p>
        </w:tc>
        <w:tc>
          <w:tcPr>
            <w:tcW w:w="879" w:type="pct"/>
            <w:noWrap/>
            <w:hideMark/>
          </w:tcPr>
          <w:p w14:paraId="3BEF7833" w14:textId="77777777" w:rsidR="00BC381F" w:rsidRPr="005303D7" w:rsidRDefault="00BC381F" w:rsidP="00077BB4">
            <w:pPr>
              <w:jc w:val="right"/>
              <w:rPr>
                <w:rFonts w:ascii="Calibri" w:eastAsia="Times New Roman" w:hAnsi="Calibri" w:cs="Calibri"/>
                <w:color w:val="000000"/>
                <w:kern w:val="0"/>
                <w:sz w:val="20"/>
                <w:szCs w:val="20"/>
                <w:lang w:eastAsia="en-CA"/>
                <w14:ligatures w14:val="none"/>
              </w:rPr>
            </w:pPr>
            <w:r w:rsidRPr="005303D7">
              <w:rPr>
                <w:rFonts w:ascii="Calibri" w:eastAsia="Times New Roman" w:hAnsi="Calibri" w:cs="Calibri"/>
                <w:color w:val="000000"/>
                <w:kern w:val="0"/>
                <w:sz w:val="20"/>
                <w:szCs w:val="20"/>
                <w:lang w:eastAsia="en-CA"/>
                <w14:ligatures w14:val="none"/>
              </w:rPr>
              <w:t>10.2</w:t>
            </w:r>
          </w:p>
        </w:tc>
      </w:tr>
    </w:tbl>
    <w:p w14:paraId="0C3A5529" w14:textId="77777777" w:rsidR="00C4079F" w:rsidRDefault="00C4079F" w:rsidP="00BC381F">
      <w:pPr>
        <w:rPr>
          <w:sz w:val="20"/>
          <w:szCs w:val="20"/>
          <w:lang w:val="en-US"/>
        </w:rPr>
      </w:pPr>
    </w:p>
    <w:p w14:paraId="178782E8" w14:textId="0A3BAB65" w:rsidR="00BC381F" w:rsidRPr="005303D7" w:rsidRDefault="00BC381F" w:rsidP="00BC381F">
      <w:pPr>
        <w:rPr>
          <w:sz w:val="20"/>
          <w:szCs w:val="20"/>
          <w:lang w:val="en-US"/>
        </w:rPr>
      </w:pPr>
      <w:r w:rsidRPr="005303D7">
        <w:rPr>
          <w:sz w:val="20"/>
          <w:szCs w:val="20"/>
          <w:lang w:val="en-US"/>
        </w:rPr>
        <w:t>Based on a range of historical and recent population-based and health facility studies, we consider</w:t>
      </w:r>
      <w:r w:rsidR="0031502F">
        <w:rPr>
          <w:sz w:val="20"/>
          <w:szCs w:val="20"/>
          <w:lang w:val="en-US"/>
        </w:rPr>
        <w:t>ed</w:t>
      </w:r>
      <w:r w:rsidRPr="005303D7">
        <w:rPr>
          <w:sz w:val="20"/>
          <w:szCs w:val="20"/>
          <w:lang w:val="en-US"/>
        </w:rPr>
        <w:t xml:space="preserve"> a </w:t>
      </w:r>
      <w:r w:rsidR="0031502F">
        <w:rPr>
          <w:sz w:val="20"/>
          <w:szCs w:val="20"/>
          <w:lang w:val="en-US"/>
        </w:rPr>
        <w:t xml:space="preserve">broad </w:t>
      </w:r>
      <w:r w:rsidRPr="005303D7">
        <w:rPr>
          <w:sz w:val="20"/>
          <w:szCs w:val="20"/>
          <w:lang w:val="en-US"/>
        </w:rPr>
        <w:t>range of stillbirths to maternal deaths between 6-</w:t>
      </w:r>
      <w:r w:rsidR="0031502F">
        <w:rPr>
          <w:sz w:val="20"/>
          <w:szCs w:val="20"/>
          <w:lang w:val="en-US"/>
        </w:rPr>
        <w:t>30</w:t>
      </w:r>
      <w:r w:rsidRPr="005303D7">
        <w:rPr>
          <w:sz w:val="20"/>
          <w:szCs w:val="20"/>
          <w:lang w:val="en-US"/>
        </w:rPr>
        <w:t xml:space="preserve"> as a plausible range for the ratio.</w:t>
      </w:r>
      <w:r w:rsidRPr="005303D7">
        <w:rPr>
          <w:sz w:val="20"/>
          <w:szCs w:val="20"/>
          <w:vertAlign w:val="superscript"/>
          <w:lang w:val="en-US"/>
        </w:rPr>
        <w:footnoteReference w:id="12"/>
      </w:r>
      <w:r w:rsidRPr="005303D7">
        <w:rPr>
          <w:sz w:val="20"/>
          <w:szCs w:val="20"/>
          <w:lang w:val="en-US"/>
        </w:rPr>
        <w:t xml:space="preserve"> A low ratio would be due</w:t>
      </w:r>
      <w:r w:rsidR="008744C2">
        <w:rPr>
          <w:sz w:val="20"/>
          <w:szCs w:val="20"/>
          <w:lang w:val="en-US"/>
        </w:rPr>
        <w:t xml:space="preserve"> to</w:t>
      </w:r>
      <w:r w:rsidRPr="005303D7">
        <w:rPr>
          <w:sz w:val="20"/>
          <w:szCs w:val="20"/>
          <w:lang w:val="en-US"/>
        </w:rPr>
        <w:t xml:space="preserve"> underreporting of stillbirths but not maternal deaths, while a high ratio would most likely be major underreporting </w:t>
      </w:r>
      <w:r w:rsidRPr="005303D7">
        <w:rPr>
          <w:sz w:val="20"/>
          <w:szCs w:val="20"/>
          <w:lang w:val="en-US"/>
        </w:rPr>
        <w:lastRenderedPageBreak/>
        <w:t>of maternal deaths.  If maternal deaths are more likely to occur in hospital than stillbirths, given that problems are more “visible”, then the institutional ratios are expected to be lower than population ratios.</w:t>
      </w:r>
    </w:p>
    <w:p w14:paraId="3B575370" w14:textId="58FB4B09" w:rsidR="005303D7" w:rsidRPr="005303D7" w:rsidRDefault="005303D7">
      <w:pPr>
        <w:rPr>
          <w:sz w:val="20"/>
          <w:szCs w:val="20"/>
          <w:lang w:val="en-US"/>
        </w:rPr>
      </w:pPr>
      <w:r w:rsidRPr="005303D7">
        <w:rPr>
          <w:sz w:val="20"/>
          <w:szCs w:val="20"/>
          <w:lang w:val="en-US"/>
        </w:rPr>
        <w:br w:type="page"/>
      </w:r>
    </w:p>
    <w:p w14:paraId="51B3EF5A" w14:textId="3B1EAF0A" w:rsidR="005303D7" w:rsidRPr="005303D7" w:rsidRDefault="005303D7" w:rsidP="005303D7">
      <w:pPr>
        <w:shd w:val="clear" w:color="auto" w:fill="CAEDFB" w:themeFill="accent4" w:themeFillTint="33"/>
        <w:rPr>
          <w:b/>
          <w:bCs/>
          <w:sz w:val="20"/>
          <w:szCs w:val="20"/>
          <w:lang w:val="en-US"/>
        </w:rPr>
      </w:pPr>
      <w:r w:rsidRPr="005303D7">
        <w:rPr>
          <w:b/>
          <w:bCs/>
          <w:sz w:val="20"/>
          <w:szCs w:val="20"/>
          <w:lang w:val="en-US"/>
        </w:rPr>
        <w:lastRenderedPageBreak/>
        <w:t>Appendix C: Ratio of community to institutional maternal mortality ratio</w:t>
      </w:r>
      <w:r w:rsidR="00D45EEE">
        <w:rPr>
          <w:b/>
          <w:bCs/>
          <w:sz w:val="20"/>
          <w:szCs w:val="20"/>
          <w:lang w:val="en-US"/>
        </w:rPr>
        <w:t xml:space="preserve"> – expected values</w:t>
      </w:r>
    </w:p>
    <w:p w14:paraId="2E5C3A73" w14:textId="43A951CD" w:rsidR="005303D7" w:rsidRPr="005303D7" w:rsidRDefault="005303D7" w:rsidP="005303D7">
      <w:pPr>
        <w:rPr>
          <w:sz w:val="20"/>
          <w:szCs w:val="20"/>
          <w:lang w:val="en-US"/>
        </w:rPr>
      </w:pPr>
      <w:r w:rsidRPr="005303D7">
        <w:rPr>
          <w:sz w:val="20"/>
          <w:szCs w:val="20"/>
          <w:lang w:val="en-US"/>
        </w:rPr>
        <w:t>As the coverage of deliveries by health facilities increases, the institutional maternal mortality ratio (iMMR) becomes a critical input into the estimation of population levels of maternal mortality (pMMR). The pMMR is the sum of the iMMR and the community MMR (cMMR), weighted by the coverage of live births in institutions. Therefore, the computation of the pMMR from iMMR depends on the ratio cMMR / iMMR.</w:t>
      </w:r>
    </w:p>
    <w:p w14:paraId="233B18B5" w14:textId="77777777" w:rsidR="005303D7" w:rsidRPr="005303D7" w:rsidRDefault="005303D7" w:rsidP="005303D7">
      <w:pPr>
        <w:rPr>
          <w:sz w:val="20"/>
          <w:szCs w:val="20"/>
          <w:lang w:val="en-US"/>
        </w:rPr>
      </w:pPr>
      <w:r w:rsidRPr="005303D7">
        <w:rPr>
          <w:sz w:val="20"/>
          <w:szCs w:val="20"/>
          <w:lang w:val="en-US"/>
        </w:rPr>
        <w:t>The cMMR is often unknown and difficult to estimate. Most surveys, including the DHS sibling survival history, do not include a question on place at death. Only a limited number of studies have data on place at death and can be used to estimate the ratio.</w:t>
      </w:r>
    </w:p>
    <w:p w14:paraId="2D2FA3CF" w14:textId="77777777" w:rsidR="005303D7" w:rsidRDefault="005303D7" w:rsidP="005303D7">
      <w:pPr>
        <w:rPr>
          <w:sz w:val="20"/>
          <w:szCs w:val="20"/>
          <w:lang w:val="en-US"/>
        </w:rPr>
      </w:pPr>
      <w:r w:rsidRPr="005303D7">
        <w:rPr>
          <w:sz w:val="20"/>
          <w:szCs w:val="20"/>
          <w:lang w:val="en-US"/>
        </w:rPr>
        <w:t>The Figure and Table below summarizes the results of studies in 6 countries in sub-Saharan Africa and 2 countries in South Asia that allowed the computation of the ratios.</w:t>
      </w:r>
    </w:p>
    <w:p w14:paraId="55FDFBBD" w14:textId="7FBA3193" w:rsidR="00C4079F" w:rsidRPr="005303D7" w:rsidRDefault="00C4079F" w:rsidP="005303D7">
      <w:pPr>
        <w:rPr>
          <w:sz w:val="20"/>
          <w:szCs w:val="20"/>
          <w:lang w:val="en-US"/>
        </w:rPr>
      </w:pPr>
      <w:r>
        <w:rPr>
          <w:sz w:val="20"/>
          <w:szCs w:val="20"/>
          <w:lang w:val="en-US"/>
        </w:rPr>
        <w:t>Figure C.1: Ratio community to institutional maternal mortality ratio by institutional birth coverage</w:t>
      </w:r>
    </w:p>
    <w:p w14:paraId="17ABFDB0" w14:textId="77777777" w:rsidR="005303D7" w:rsidRPr="005303D7" w:rsidRDefault="005303D7" w:rsidP="005303D7">
      <w:pPr>
        <w:rPr>
          <w:sz w:val="20"/>
          <w:szCs w:val="20"/>
          <w:lang w:val="en-US"/>
        </w:rPr>
      </w:pPr>
      <w:r w:rsidRPr="005303D7">
        <w:rPr>
          <w:noProof/>
          <w:sz w:val="20"/>
          <w:szCs w:val="20"/>
          <w:lang w:val="en-US"/>
        </w:rPr>
        <w:drawing>
          <wp:inline distT="0" distB="0" distL="0" distR="0" wp14:anchorId="125BB669" wp14:editId="63718DD8">
            <wp:extent cx="3893483" cy="2464904"/>
            <wp:effectExtent l="0" t="0" r="0" b="0"/>
            <wp:docPr id="295266817" name="Picture 1" descr="A graph with blue dot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66817" name="Picture 1" descr="A graph with blue dots and a lin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6738" cy="2473296"/>
                    </a:xfrm>
                    <a:prstGeom prst="rect">
                      <a:avLst/>
                    </a:prstGeom>
                    <a:noFill/>
                  </pic:spPr>
                </pic:pic>
              </a:graphicData>
            </a:graphic>
          </wp:inline>
        </w:drawing>
      </w:r>
    </w:p>
    <w:p w14:paraId="3C301956" w14:textId="77777777" w:rsidR="005303D7" w:rsidRPr="005303D7" w:rsidRDefault="005303D7" w:rsidP="005303D7">
      <w:pPr>
        <w:rPr>
          <w:sz w:val="20"/>
          <w:szCs w:val="20"/>
          <w:lang w:val="en-US"/>
        </w:rPr>
      </w:pPr>
      <w:r w:rsidRPr="005303D7">
        <w:rPr>
          <w:noProof/>
          <w:sz w:val="20"/>
          <w:szCs w:val="20"/>
        </w:rPr>
        <w:drawing>
          <wp:inline distT="0" distB="0" distL="0" distR="0" wp14:anchorId="165B7E0C" wp14:editId="4EFF5F63">
            <wp:extent cx="5943600" cy="3135630"/>
            <wp:effectExtent l="0" t="0" r="0" b="7620"/>
            <wp:docPr id="1655266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35630"/>
                    </a:xfrm>
                    <a:prstGeom prst="rect">
                      <a:avLst/>
                    </a:prstGeom>
                    <a:noFill/>
                    <a:ln>
                      <a:noFill/>
                    </a:ln>
                  </pic:spPr>
                </pic:pic>
              </a:graphicData>
            </a:graphic>
          </wp:inline>
        </w:drawing>
      </w:r>
    </w:p>
    <w:p w14:paraId="1C48CE43" w14:textId="77777777" w:rsidR="005303D7" w:rsidRPr="005303D7" w:rsidRDefault="005303D7" w:rsidP="005303D7">
      <w:pPr>
        <w:rPr>
          <w:sz w:val="20"/>
          <w:szCs w:val="20"/>
          <w:lang w:val="en-US"/>
        </w:rPr>
      </w:pPr>
    </w:p>
    <w:p w14:paraId="301DA7E6" w14:textId="77777777" w:rsidR="005303D7" w:rsidRPr="005303D7" w:rsidRDefault="005303D7" w:rsidP="00D45EEE">
      <w:pPr>
        <w:rPr>
          <w:b/>
          <w:bCs/>
          <w:sz w:val="20"/>
          <w:szCs w:val="20"/>
          <w:lang w:val="en-US"/>
        </w:rPr>
      </w:pPr>
      <w:r w:rsidRPr="005303D7">
        <w:rPr>
          <w:b/>
          <w:bCs/>
          <w:sz w:val="20"/>
          <w:szCs w:val="20"/>
          <w:lang w:val="en-US"/>
        </w:rPr>
        <w:t>Mozambique</w:t>
      </w:r>
    </w:p>
    <w:p w14:paraId="7CBEE7EF" w14:textId="77777777" w:rsidR="005303D7" w:rsidRPr="005303D7" w:rsidRDefault="005303D7" w:rsidP="005303D7">
      <w:pPr>
        <w:rPr>
          <w:sz w:val="20"/>
          <w:szCs w:val="20"/>
          <w:lang w:val="en-US"/>
        </w:rPr>
      </w:pPr>
      <w:r w:rsidRPr="005303D7">
        <w:rPr>
          <w:sz w:val="20"/>
          <w:szCs w:val="20"/>
          <w:lang w:val="en-US"/>
        </w:rPr>
        <w:t>The sample vital statistics system (COMSA) found that 46% of maternal deaths occurred in health facilities in 2019-2020.</w:t>
      </w:r>
      <w:r w:rsidRPr="005303D7">
        <w:rPr>
          <w:rStyle w:val="FootnoteReference"/>
          <w:sz w:val="20"/>
          <w:szCs w:val="20"/>
          <w:lang w:val="en-US"/>
        </w:rPr>
        <w:footnoteReference w:id="13"/>
      </w:r>
      <w:r w:rsidRPr="005303D7">
        <w:rPr>
          <w:sz w:val="20"/>
          <w:szCs w:val="20"/>
          <w:lang w:val="en-US"/>
        </w:rPr>
        <w:t xml:space="preserve">  The DHS 2022/23 showed that 64.6% of live births were in health facilities. The pMMR in the DHS for the seven years preceding the survey was 233 per 100,000 live births.</w:t>
      </w:r>
      <w:r w:rsidRPr="005303D7">
        <w:rPr>
          <w:rStyle w:val="FootnoteReference"/>
          <w:sz w:val="20"/>
          <w:szCs w:val="20"/>
          <w:lang w:val="en-US"/>
        </w:rPr>
        <w:footnoteReference w:id="14"/>
      </w:r>
      <w:r w:rsidRPr="005303D7">
        <w:rPr>
          <w:sz w:val="20"/>
          <w:szCs w:val="20"/>
          <w:lang w:val="en-US"/>
        </w:rPr>
        <w:t xml:space="preserve"> The COMSA reported a much lower MMR for 2019-2020: 119.</w:t>
      </w:r>
      <w:r w:rsidRPr="005303D7">
        <w:rPr>
          <w:rStyle w:val="FootnoteReference"/>
          <w:sz w:val="20"/>
          <w:szCs w:val="20"/>
          <w:lang w:val="en-US"/>
        </w:rPr>
        <w:footnoteReference w:id="15"/>
      </w:r>
      <w:r w:rsidRPr="005303D7">
        <w:rPr>
          <w:sz w:val="20"/>
          <w:szCs w:val="20"/>
          <w:lang w:val="en-US"/>
        </w:rPr>
        <w:t xml:space="preserve">  The ratio cMMR to iMMR is 2.1.</w:t>
      </w:r>
    </w:p>
    <w:p w14:paraId="42D4C3AB" w14:textId="77777777" w:rsidR="005303D7" w:rsidRPr="005303D7" w:rsidRDefault="005303D7" w:rsidP="005303D7">
      <w:pPr>
        <w:rPr>
          <w:sz w:val="20"/>
          <w:szCs w:val="20"/>
          <w:lang w:val="en-US"/>
        </w:rPr>
      </w:pPr>
      <w:r w:rsidRPr="005303D7">
        <w:rPr>
          <w:sz w:val="20"/>
          <w:szCs w:val="20"/>
          <w:lang w:val="en-US"/>
        </w:rPr>
        <w:t>The 2007 census included a follow-up survey with verbal autopsy. The PMMR was estimated at 500 per 100,000 live births. 37% of maternal deaths occurred in hospitals.</w:t>
      </w:r>
      <w:r w:rsidRPr="005303D7">
        <w:rPr>
          <w:rStyle w:val="FootnoteReference"/>
          <w:sz w:val="20"/>
          <w:szCs w:val="20"/>
          <w:lang w:val="en-US"/>
        </w:rPr>
        <w:footnoteReference w:id="16"/>
      </w:r>
      <w:r w:rsidRPr="005303D7">
        <w:rPr>
          <w:sz w:val="20"/>
          <w:szCs w:val="20"/>
          <w:lang w:val="en-US"/>
        </w:rPr>
        <w:t xml:space="preserve"> Based on the DHS 2003 and DHS 2011, we estimated 54% of live births occurred at health facilities. The ratio is then 2.1.</w:t>
      </w:r>
    </w:p>
    <w:p w14:paraId="77635D18" w14:textId="77777777" w:rsidR="005303D7" w:rsidRPr="005303D7" w:rsidRDefault="005303D7" w:rsidP="00D45EEE">
      <w:pPr>
        <w:rPr>
          <w:b/>
          <w:bCs/>
          <w:sz w:val="20"/>
          <w:szCs w:val="20"/>
          <w:lang w:val="en-US"/>
        </w:rPr>
      </w:pPr>
      <w:r w:rsidRPr="005303D7">
        <w:rPr>
          <w:b/>
          <w:bCs/>
          <w:sz w:val="20"/>
          <w:szCs w:val="20"/>
          <w:lang w:val="en-US"/>
        </w:rPr>
        <w:t>Tanzania</w:t>
      </w:r>
    </w:p>
    <w:p w14:paraId="39F76A17" w14:textId="77777777" w:rsidR="005303D7" w:rsidRPr="005303D7" w:rsidRDefault="005303D7" w:rsidP="005303D7">
      <w:pPr>
        <w:rPr>
          <w:sz w:val="20"/>
          <w:szCs w:val="20"/>
          <w:lang w:val="en-US"/>
        </w:rPr>
      </w:pPr>
      <w:r w:rsidRPr="005303D7">
        <w:rPr>
          <w:sz w:val="20"/>
          <w:szCs w:val="20"/>
          <w:lang w:val="en-US"/>
        </w:rPr>
        <w:t>In Tanzania, three studies allow an assessment of the ratio. The first is a survey in southern Tanzania (Lindi-Mtwara) in 2013.</w:t>
      </w:r>
      <w:r w:rsidRPr="005303D7">
        <w:rPr>
          <w:rStyle w:val="FootnoteReference"/>
          <w:sz w:val="20"/>
          <w:szCs w:val="20"/>
          <w:lang w:val="en-US"/>
        </w:rPr>
        <w:footnoteReference w:id="17"/>
      </w:r>
      <w:r w:rsidRPr="005303D7">
        <w:rPr>
          <w:sz w:val="20"/>
          <w:szCs w:val="20"/>
          <w:lang w:val="en-US"/>
        </w:rPr>
        <w:t xml:space="preserve">  The pMMR was estimated at 500. Out of 37 maternal deaths reported in the survey for mid-2011 to mid-2013, 77% occurred in health facilities. According to the TDHS 2016, the institutional live birth rate was 81% in Lindi and Mtwara for the three-year period before the survey. The cMMR/iMMR ratio was 1.2.</w:t>
      </w:r>
    </w:p>
    <w:p w14:paraId="63ADBE4F" w14:textId="482BCD3F" w:rsidR="005303D7" w:rsidRPr="005303D7" w:rsidRDefault="005303D7" w:rsidP="005303D7">
      <w:pPr>
        <w:rPr>
          <w:sz w:val="20"/>
          <w:szCs w:val="20"/>
          <w:lang w:val="en-US"/>
        </w:rPr>
      </w:pPr>
      <w:r w:rsidRPr="005303D7">
        <w:rPr>
          <w:sz w:val="20"/>
          <w:szCs w:val="20"/>
          <w:lang w:val="en-US"/>
        </w:rPr>
        <w:t>The second study is the Magu Health and Demographic Surveillance system in northwest Tanzania. The MMR for 2015-2022 was 280 per 100,000 live births.  According to the verbal autopsies, 75% of the 24 maternal deaths during 2015-2022 occurred in health facilities. The institutional live birth rate was 88% for 2019-2020, higher than the regional average of 80% in TDHS 2022 and 53% in TDHS 2016. Here, we use 84% coverage. The ratio was 1.8.</w:t>
      </w:r>
    </w:p>
    <w:p w14:paraId="1B6AC141" w14:textId="77777777" w:rsidR="005303D7" w:rsidRPr="005303D7" w:rsidRDefault="005303D7" w:rsidP="005303D7">
      <w:pPr>
        <w:rPr>
          <w:sz w:val="20"/>
          <w:szCs w:val="20"/>
          <w:lang w:val="en-US"/>
        </w:rPr>
      </w:pPr>
      <w:r w:rsidRPr="005303D7">
        <w:rPr>
          <w:sz w:val="20"/>
          <w:szCs w:val="20"/>
          <w:lang w:val="en-US"/>
        </w:rPr>
        <w:t xml:space="preserve">The </w:t>
      </w:r>
      <w:proofErr w:type="spellStart"/>
      <w:r w:rsidRPr="005303D7">
        <w:rPr>
          <w:sz w:val="20"/>
          <w:szCs w:val="20"/>
          <w:lang w:val="en-US"/>
        </w:rPr>
        <w:t>Sumve</w:t>
      </w:r>
      <w:proofErr w:type="spellEnd"/>
      <w:r w:rsidRPr="005303D7">
        <w:rPr>
          <w:sz w:val="20"/>
          <w:szCs w:val="20"/>
          <w:lang w:val="en-US"/>
        </w:rPr>
        <w:t xml:space="preserve"> survey in northwest Tanzania was conducted by DHS to improve the survey instruments.</w:t>
      </w:r>
      <w:r w:rsidRPr="005303D7">
        <w:rPr>
          <w:rStyle w:val="FootnoteReference"/>
          <w:sz w:val="20"/>
          <w:szCs w:val="20"/>
          <w:lang w:val="en-US"/>
        </w:rPr>
        <w:footnoteReference w:id="18"/>
      </w:r>
      <w:r w:rsidRPr="005303D7">
        <w:rPr>
          <w:sz w:val="20"/>
          <w:szCs w:val="20"/>
          <w:lang w:val="en-US"/>
        </w:rPr>
        <w:t xml:space="preserve"> In </w:t>
      </w:r>
      <w:proofErr w:type="gramStart"/>
      <w:r w:rsidRPr="005303D7">
        <w:rPr>
          <w:sz w:val="20"/>
          <w:szCs w:val="20"/>
          <w:lang w:val="en-US"/>
        </w:rPr>
        <w:t>this rural areas</w:t>
      </w:r>
      <w:proofErr w:type="gramEnd"/>
      <w:r w:rsidRPr="005303D7">
        <w:rPr>
          <w:sz w:val="20"/>
          <w:szCs w:val="20"/>
          <w:lang w:val="en-US"/>
        </w:rPr>
        <w:t xml:space="preserve"> the pMMR was estimated at 463 per 100,000 live births, with 38% of live births in health facilities and 36% of maternal deaths in health facilities. The CMMR/iMMR ratio was 1.1.</w:t>
      </w:r>
    </w:p>
    <w:p w14:paraId="6984AB4F" w14:textId="77777777" w:rsidR="005303D7" w:rsidRPr="005303D7" w:rsidRDefault="005303D7" w:rsidP="00D45EEE">
      <w:pPr>
        <w:rPr>
          <w:b/>
          <w:bCs/>
          <w:sz w:val="20"/>
          <w:szCs w:val="20"/>
          <w:lang w:val="en-US"/>
        </w:rPr>
      </w:pPr>
      <w:r w:rsidRPr="005303D7">
        <w:rPr>
          <w:b/>
          <w:bCs/>
          <w:sz w:val="20"/>
          <w:szCs w:val="20"/>
          <w:lang w:val="en-US"/>
        </w:rPr>
        <w:t>Uganda</w:t>
      </w:r>
    </w:p>
    <w:p w14:paraId="21ACE798" w14:textId="77777777" w:rsidR="005303D7" w:rsidRPr="005303D7" w:rsidRDefault="005303D7" w:rsidP="005303D7">
      <w:pPr>
        <w:rPr>
          <w:sz w:val="20"/>
          <w:szCs w:val="20"/>
          <w:lang w:val="en-US"/>
        </w:rPr>
      </w:pPr>
      <w:r w:rsidRPr="005303D7">
        <w:rPr>
          <w:sz w:val="20"/>
          <w:szCs w:val="20"/>
          <w:lang w:val="en-US"/>
        </w:rPr>
        <w:t>This was part of an intervention study with baseline and endline data collection. In 4 districts, a RAMOS study was conducted in 2011-2012 and again in 2016 (Jan-Dec) to measure population MMR, as well as health facility assessments (105 facilities). The RAMOS in 2011 used community registers to identify deaths for the preceding 18 months, followed up with a verbal autopsy interview. In 2016, household interviews were conducted to capture all relevant deaths since Jan 2016.  Live births were estimated from other sources.</w:t>
      </w:r>
    </w:p>
    <w:p w14:paraId="013D694C" w14:textId="77777777" w:rsidR="005303D7" w:rsidRPr="005303D7" w:rsidRDefault="005303D7" w:rsidP="005303D7">
      <w:pPr>
        <w:rPr>
          <w:sz w:val="20"/>
          <w:szCs w:val="20"/>
          <w:lang w:val="en-US"/>
        </w:rPr>
      </w:pPr>
      <w:r w:rsidRPr="005303D7">
        <w:rPr>
          <w:sz w:val="20"/>
          <w:szCs w:val="20"/>
          <w:lang w:val="en-US"/>
        </w:rPr>
        <w:lastRenderedPageBreak/>
        <w:t xml:space="preserve">The institutional delivery rate increased from 45.5% to 66.8%, while the iMMR declined from 534 to 300. The pMMR was 452 at baseline and 255 at endline.  The cMMR can be computed from these data: 384 and 164, respectively. This results in ratios of 0.7 and 0.5. </w:t>
      </w:r>
    </w:p>
    <w:p w14:paraId="2BFD2921" w14:textId="77777777" w:rsidR="005303D7" w:rsidRPr="005303D7" w:rsidRDefault="005303D7" w:rsidP="005303D7">
      <w:pPr>
        <w:rPr>
          <w:sz w:val="20"/>
          <w:szCs w:val="20"/>
          <w:lang w:val="en-US"/>
        </w:rPr>
      </w:pPr>
      <w:r w:rsidRPr="005303D7">
        <w:rPr>
          <w:sz w:val="20"/>
          <w:szCs w:val="20"/>
          <w:lang w:val="en-US"/>
        </w:rPr>
        <w:t>For 2011-12 the place of death is also provided. 48% of maternal deaths were in health facilities which with a coverage of live births of 45.5% corresponds with a cMMR/iMMR ratio of 0.9.</w:t>
      </w:r>
    </w:p>
    <w:p w14:paraId="2A1FAA63" w14:textId="77777777" w:rsidR="005303D7" w:rsidRPr="005303D7" w:rsidRDefault="005303D7" w:rsidP="00D45EEE">
      <w:pPr>
        <w:rPr>
          <w:b/>
          <w:bCs/>
          <w:sz w:val="20"/>
          <w:szCs w:val="20"/>
          <w:lang w:val="en-US"/>
        </w:rPr>
      </w:pPr>
      <w:r w:rsidRPr="005303D7">
        <w:rPr>
          <w:b/>
          <w:bCs/>
          <w:sz w:val="20"/>
          <w:szCs w:val="20"/>
          <w:lang w:val="en-US"/>
        </w:rPr>
        <w:t>Zambia</w:t>
      </w:r>
    </w:p>
    <w:p w14:paraId="1BD85D50" w14:textId="77777777" w:rsidR="005303D7" w:rsidRPr="005303D7" w:rsidRDefault="005303D7" w:rsidP="005303D7">
      <w:pPr>
        <w:rPr>
          <w:sz w:val="20"/>
          <w:szCs w:val="20"/>
          <w:lang w:val="en-US"/>
        </w:rPr>
      </w:pPr>
      <w:r w:rsidRPr="005303D7">
        <w:rPr>
          <w:sz w:val="20"/>
          <w:szCs w:val="20"/>
          <w:lang w:val="en-US"/>
        </w:rPr>
        <w:t xml:space="preserve">This was part of an intervention study with baseline and endline data collection. </w:t>
      </w:r>
      <w:r w:rsidRPr="005303D7">
        <w:rPr>
          <w:sz w:val="20"/>
          <w:szCs w:val="20"/>
        </w:rPr>
        <w:t xml:space="preserve">In 4 districts, community-level maternal mortality data were collected using household population censuses conducted in 2012 and 2017, using deaths in the last 12 months. The suspected underreporting of deaths was adjusted using demographic methods. </w:t>
      </w:r>
      <w:r w:rsidRPr="005303D7">
        <w:rPr>
          <w:sz w:val="20"/>
          <w:szCs w:val="20"/>
          <w:lang w:val="en-US"/>
        </w:rPr>
        <w:t>Live births were estimated from other sources.</w:t>
      </w:r>
    </w:p>
    <w:p w14:paraId="568090E1" w14:textId="77777777" w:rsidR="005303D7" w:rsidRPr="005303D7" w:rsidRDefault="005303D7" w:rsidP="005303D7">
      <w:pPr>
        <w:rPr>
          <w:sz w:val="20"/>
          <w:szCs w:val="20"/>
          <w:lang w:val="en-US"/>
        </w:rPr>
      </w:pPr>
      <w:r w:rsidRPr="005303D7">
        <w:rPr>
          <w:sz w:val="20"/>
          <w:szCs w:val="20"/>
          <w:lang w:val="en-US"/>
        </w:rPr>
        <w:t xml:space="preserve">The institutional delivery rate increased from 63% to 90%, while the iMMR declined from 370 to 231. The pMMR was 480 in baseline and 284 at endline.  The cMMR was high as can be computed from these data: 664 and 772, respectively. This results in ratios of 1.8 and 3.3. </w:t>
      </w:r>
    </w:p>
    <w:p w14:paraId="1D42DC86" w14:textId="77777777" w:rsidR="005303D7" w:rsidRPr="005303D7" w:rsidRDefault="005303D7" w:rsidP="005303D7">
      <w:pPr>
        <w:rPr>
          <w:sz w:val="20"/>
          <w:szCs w:val="20"/>
          <w:lang w:val="en-US"/>
        </w:rPr>
      </w:pPr>
      <w:r w:rsidRPr="005303D7">
        <w:rPr>
          <w:sz w:val="20"/>
          <w:szCs w:val="20"/>
          <w:lang w:val="en-US"/>
        </w:rPr>
        <w:t xml:space="preserve">Using the data on place of death, 70% died in health facilities in both rounds, but the percent of births in health facilities increased from 63% to 90%. This means that the ratio was 0.9 in 2010-11 and 4.0 in 2016.  </w:t>
      </w:r>
    </w:p>
    <w:p w14:paraId="2912B522" w14:textId="77777777" w:rsidR="005303D7" w:rsidRPr="005303D7" w:rsidRDefault="005303D7" w:rsidP="00D45EEE">
      <w:pPr>
        <w:rPr>
          <w:b/>
          <w:bCs/>
          <w:sz w:val="20"/>
          <w:szCs w:val="20"/>
          <w:lang w:val="en-US"/>
        </w:rPr>
      </w:pPr>
      <w:r w:rsidRPr="005303D7">
        <w:rPr>
          <w:b/>
          <w:bCs/>
          <w:sz w:val="20"/>
          <w:szCs w:val="20"/>
          <w:lang w:val="en-US"/>
        </w:rPr>
        <w:t>Zimbabwe</w:t>
      </w:r>
    </w:p>
    <w:p w14:paraId="4DBB9285" w14:textId="77777777" w:rsidR="005303D7" w:rsidRPr="005303D7" w:rsidRDefault="005303D7" w:rsidP="005303D7">
      <w:pPr>
        <w:rPr>
          <w:sz w:val="20"/>
          <w:szCs w:val="20"/>
          <w:lang w:val="en-US"/>
        </w:rPr>
      </w:pPr>
      <w:r w:rsidRPr="005303D7">
        <w:rPr>
          <w:sz w:val="20"/>
          <w:szCs w:val="20"/>
          <w:lang w:val="en-US"/>
        </w:rPr>
        <w:t>A RAMOS study was conducted in 11 districts in 2007-08 and 2018-19.</w:t>
      </w:r>
      <w:r w:rsidRPr="005303D7">
        <w:rPr>
          <w:rStyle w:val="FootnoteReference"/>
          <w:sz w:val="20"/>
          <w:szCs w:val="20"/>
          <w:lang w:val="en-US"/>
        </w:rPr>
        <w:footnoteReference w:id="19"/>
      </w:r>
      <w:r w:rsidRPr="005303D7">
        <w:rPr>
          <w:sz w:val="20"/>
          <w:szCs w:val="20"/>
          <w:lang w:val="en-US"/>
        </w:rPr>
        <w:t xml:space="preserve"> The second RAMOS was affected by major underreporting of community deaths and substantial adjustment was made to increase the number of maternal deaths, using the proportions of community to institutional maternal deaths from the first RAMOS to make the adjustments.</w:t>
      </w:r>
      <w:r w:rsidRPr="005303D7">
        <w:rPr>
          <w:rStyle w:val="FootnoteReference"/>
          <w:sz w:val="20"/>
          <w:szCs w:val="20"/>
          <w:lang w:val="en-US"/>
        </w:rPr>
        <w:footnoteReference w:id="20"/>
      </w:r>
    </w:p>
    <w:p w14:paraId="2FF0E8DC" w14:textId="536DD6DE" w:rsidR="005303D7" w:rsidRPr="005303D7" w:rsidRDefault="005303D7" w:rsidP="005303D7">
      <w:pPr>
        <w:rPr>
          <w:sz w:val="20"/>
          <w:szCs w:val="20"/>
          <w:lang w:val="en-US"/>
        </w:rPr>
      </w:pPr>
      <w:r w:rsidRPr="005303D7">
        <w:rPr>
          <w:sz w:val="20"/>
          <w:szCs w:val="20"/>
          <w:lang w:val="en-US"/>
        </w:rPr>
        <w:t>The institutional birth rate increased from 65% to 86%, the percent maternal deaths in health facilities was 68% in the first RAMOS.  The MMR in the first RAMOS was 649, the ratio cMMR/iMMR 0.9.  In the unadjusted data in the second RAMOS, 81% of maternal deaths occurred in health facilities which would correspond with a ratio of 1.4. Using the same proportion of maternal deaths in health facilities as in the first RAMOS (68%), the ratio is 2.8.</w:t>
      </w:r>
    </w:p>
    <w:p w14:paraId="48221304" w14:textId="77777777" w:rsidR="005303D7" w:rsidRPr="005303D7" w:rsidRDefault="005303D7" w:rsidP="00D45EEE">
      <w:pPr>
        <w:rPr>
          <w:b/>
          <w:bCs/>
          <w:sz w:val="20"/>
          <w:szCs w:val="20"/>
          <w:lang w:val="en-US"/>
        </w:rPr>
      </w:pPr>
      <w:r w:rsidRPr="005303D7">
        <w:rPr>
          <w:b/>
          <w:bCs/>
          <w:sz w:val="20"/>
          <w:szCs w:val="20"/>
          <w:lang w:val="en-US"/>
        </w:rPr>
        <w:t>Sierra Leone</w:t>
      </w:r>
    </w:p>
    <w:p w14:paraId="5E406B26" w14:textId="77777777" w:rsidR="005303D7" w:rsidRPr="005303D7" w:rsidRDefault="005303D7" w:rsidP="005303D7">
      <w:pPr>
        <w:rPr>
          <w:sz w:val="20"/>
          <w:szCs w:val="20"/>
          <w:lang w:val="en-US"/>
        </w:rPr>
      </w:pPr>
      <w:r w:rsidRPr="005303D7">
        <w:rPr>
          <w:sz w:val="20"/>
          <w:szCs w:val="20"/>
          <w:lang w:val="en-US"/>
        </w:rPr>
        <w:t>A sample registration system was run from 2018-2020.</w:t>
      </w:r>
      <w:r w:rsidRPr="005303D7">
        <w:rPr>
          <w:rStyle w:val="FootnoteReference"/>
          <w:sz w:val="20"/>
          <w:szCs w:val="20"/>
          <w:lang w:val="en-US"/>
        </w:rPr>
        <w:footnoteReference w:id="21"/>
      </w:r>
      <w:r w:rsidRPr="005303D7">
        <w:rPr>
          <w:sz w:val="20"/>
          <w:szCs w:val="20"/>
          <w:lang w:val="en-US"/>
        </w:rPr>
        <w:t xml:space="preserve"> The MMR was 510, and 75% of maternal deaths were reported to be in health facilities (maybe less because on the way may have been included). The DHS 2019 shows that 83% were institutional live births.  The ratio is 1.3.</w:t>
      </w:r>
    </w:p>
    <w:p w14:paraId="685B83D1" w14:textId="77777777" w:rsidR="005303D7" w:rsidRPr="005303D7" w:rsidRDefault="005303D7" w:rsidP="00D45EEE">
      <w:pPr>
        <w:rPr>
          <w:b/>
          <w:bCs/>
          <w:sz w:val="20"/>
          <w:szCs w:val="20"/>
          <w:lang w:val="en-US"/>
        </w:rPr>
      </w:pPr>
      <w:r w:rsidRPr="005303D7">
        <w:rPr>
          <w:b/>
          <w:bCs/>
          <w:sz w:val="20"/>
          <w:szCs w:val="20"/>
          <w:lang w:val="en-US"/>
        </w:rPr>
        <w:t>Other</w:t>
      </w:r>
    </w:p>
    <w:p w14:paraId="19DCE22A" w14:textId="77777777" w:rsidR="005303D7" w:rsidRPr="005303D7" w:rsidRDefault="005303D7" w:rsidP="005303D7">
      <w:pPr>
        <w:rPr>
          <w:sz w:val="20"/>
          <w:szCs w:val="20"/>
          <w:lang w:val="en-US"/>
        </w:rPr>
      </w:pPr>
      <w:r w:rsidRPr="005303D7">
        <w:rPr>
          <w:sz w:val="20"/>
          <w:szCs w:val="20"/>
          <w:lang w:val="en-US"/>
        </w:rPr>
        <w:t xml:space="preserve">National surveys in Bangladesh and Pakistan used deaths in the household in the last 3 years to estimate MMR. </w:t>
      </w:r>
    </w:p>
    <w:p w14:paraId="49DD14B0" w14:textId="77777777" w:rsidR="005303D7" w:rsidRPr="005303D7" w:rsidRDefault="005303D7" w:rsidP="005303D7">
      <w:pPr>
        <w:rPr>
          <w:sz w:val="20"/>
          <w:szCs w:val="20"/>
          <w:lang w:val="en-US"/>
        </w:rPr>
      </w:pPr>
      <w:r w:rsidRPr="005303D7">
        <w:rPr>
          <w:sz w:val="20"/>
          <w:szCs w:val="20"/>
          <w:lang w:val="en-US"/>
        </w:rPr>
        <w:t xml:space="preserve">In Bangladesh 2016 62% of maternal deaths occurred in health facilities, 19% at home and 19% on the way. The coverage of facility births was 47%, and MMR 196. The ratio is 0.5. </w:t>
      </w:r>
    </w:p>
    <w:p w14:paraId="416F7CF4" w14:textId="77777777" w:rsidR="005303D7" w:rsidRDefault="005303D7" w:rsidP="005303D7">
      <w:pPr>
        <w:rPr>
          <w:sz w:val="20"/>
          <w:szCs w:val="20"/>
          <w:lang w:val="en-US"/>
        </w:rPr>
      </w:pPr>
      <w:r w:rsidRPr="005303D7">
        <w:rPr>
          <w:sz w:val="20"/>
          <w:szCs w:val="20"/>
          <w:lang w:val="en-US"/>
        </w:rPr>
        <w:lastRenderedPageBreak/>
        <w:t>In Pakistan 2019, 58% of maternal deaths took place in health facilities, 18% at home, 22% in transit and 2.5% other.  Institutional birth coverage was 71%, resulting in a ratio of 1.8.</w:t>
      </w:r>
    </w:p>
    <w:p w14:paraId="53F4FA3D" w14:textId="77777777" w:rsidR="008C6A0B" w:rsidRDefault="008C6A0B">
      <w:pPr>
        <w:rPr>
          <w:rFonts w:ascii="Calibri" w:hAnsi="Calibri" w:cs="Calibri"/>
          <w:b/>
          <w:bCs/>
          <w:sz w:val="20"/>
          <w:szCs w:val="20"/>
          <w:lang w:val="en-US"/>
        </w:rPr>
      </w:pPr>
      <w:r>
        <w:rPr>
          <w:rFonts w:ascii="Calibri" w:hAnsi="Calibri" w:cs="Calibri"/>
          <w:b/>
          <w:bCs/>
          <w:sz w:val="20"/>
          <w:szCs w:val="20"/>
          <w:lang w:val="en-US"/>
        </w:rPr>
        <w:br w:type="page"/>
      </w:r>
    </w:p>
    <w:p w14:paraId="3A13A412" w14:textId="5353E13E" w:rsidR="00D45EEE" w:rsidRPr="005303D7" w:rsidRDefault="00D45EEE" w:rsidP="00D45EEE">
      <w:pPr>
        <w:shd w:val="clear" w:color="auto" w:fill="CAEDFB" w:themeFill="accent4" w:themeFillTint="33"/>
        <w:rPr>
          <w:rFonts w:ascii="Calibri" w:hAnsi="Calibri" w:cs="Calibri"/>
          <w:b/>
          <w:bCs/>
          <w:sz w:val="20"/>
          <w:szCs w:val="20"/>
          <w:lang w:val="en-US"/>
        </w:rPr>
      </w:pPr>
      <w:r w:rsidRPr="005303D7">
        <w:rPr>
          <w:rFonts w:ascii="Calibri" w:hAnsi="Calibri" w:cs="Calibri"/>
          <w:b/>
          <w:bCs/>
          <w:sz w:val="20"/>
          <w:szCs w:val="20"/>
          <w:lang w:val="en-US"/>
        </w:rPr>
        <w:lastRenderedPageBreak/>
        <w:t xml:space="preserve">Appendix </w:t>
      </w:r>
      <w:r>
        <w:rPr>
          <w:rFonts w:ascii="Calibri" w:hAnsi="Calibri" w:cs="Calibri"/>
          <w:b/>
          <w:bCs/>
          <w:sz w:val="20"/>
          <w:szCs w:val="20"/>
          <w:lang w:val="en-US"/>
        </w:rPr>
        <w:t>D</w:t>
      </w:r>
      <w:r w:rsidRPr="005303D7">
        <w:rPr>
          <w:rFonts w:ascii="Calibri" w:hAnsi="Calibri" w:cs="Calibri"/>
          <w:b/>
          <w:bCs/>
          <w:sz w:val="20"/>
          <w:szCs w:val="20"/>
          <w:lang w:val="en-US"/>
        </w:rPr>
        <w:t xml:space="preserve">: </w:t>
      </w:r>
      <w:r>
        <w:rPr>
          <w:rFonts w:ascii="Calibri" w:hAnsi="Calibri" w:cs="Calibri"/>
          <w:b/>
          <w:bCs/>
          <w:sz w:val="20"/>
          <w:szCs w:val="20"/>
          <w:lang w:val="en-US"/>
        </w:rPr>
        <w:t>Associations between institutional live births coverage and county characteristics</w:t>
      </w:r>
    </w:p>
    <w:p w14:paraId="06E24318" w14:textId="5684DEA7" w:rsidR="00D45EEE" w:rsidRDefault="00D45EEE" w:rsidP="00D45EEE">
      <w:pPr>
        <w:rPr>
          <w:b/>
          <w:bCs/>
          <w:sz w:val="20"/>
          <w:szCs w:val="20"/>
          <w:lang w:val="en-US"/>
        </w:rPr>
      </w:pPr>
      <w:r>
        <w:rPr>
          <w:b/>
          <w:bCs/>
          <w:sz w:val="20"/>
          <w:szCs w:val="20"/>
          <w:lang w:val="en-US"/>
        </w:rPr>
        <w:t>Coverage of live births in health facilities has increased in all counties (Figure) and is strongly associated with all county characteristics (Table).</w:t>
      </w:r>
    </w:p>
    <w:p w14:paraId="350E8F24" w14:textId="3F904D5D" w:rsidR="00D45EEE" w:rsidRPr="005303D7" w:rsidRDefault="00D45EEE" w:rsidP="00D45EEE">
      <w:pPr>
        <w:rPr>
          <w:b/>
          <w:bCs/>
          <w:sz w:val="20"/>
          <w:szCs w:val="20"/>
          <w:lang w:val="en-US"/>
        </w:rPr>
      </w:pPr>
      <w:r w:rsidRPr="005303D7">
        <w:rPr>
          <w:b/>
          <w:bCs/>
          <w:sz w:val="20"/>
          <w:szCs w:val="20"/>
          <w:lang w:val="en-US"/>
        </w:rPr>
        <w:t>Figure</w:t>
      </w:r>
      <w:r w:rsidR="00C4079F">
        <w:rPr>
          <w:b/>
          <w:bCs/>
          <w:sz w:val="20"/>
          <w:szCs w:val="20"/>
          <w:lang w:val="en-US"/>
        </w:rPr>
        <w:t xml:space="preserve"> D</w:t>
      </w:r>
      <w:r w:rsidRPr="005303D7">
        <w:rPr>
          <w:b/>
          <w:bCs/>
          <w:sz w:val="20"/>
          <w:szCs w:val="20"/>
          <w:lang w:val="en-US"/>
        </w:rPr>
        <w:t>.</w:t>
      </w:r>
      <w:r w:rsidR="00C4079F">
        <w:rPr>
          <w:b/>
          <w:bCs/>
          <w:sz w:val="20"/>
          <w:szCs w:val="20"/>
          <w:lang w:val="en-US"/>
        </w:rPr>
        <w:t>1</w:t>
      </w:r>
      <w:r w:rsidRPr="005303D7">
        <w:rPr>
          <w:b/>
          <w:bCs/>
          <w:sz w:val="20"/>
          <w:szCs w:val="20"/>
          <w:lang w:val="en-US"/>
        </w:rPr>
        <w:t xml:space="preserve"> Institutional coverage of live births (%) in the two years preceding the survey, counties, DHS 2014 and DHS 2022, Kenya</w:t>
      </w:r>
    </w:p>
    <w:p w14:paraId="0A963A17" w14:textId="77777777" w:rsidR="00D45EEE" w:rsidRPr="005303D7" w:rsidRDefault="00D45EEE" w:rsidP="00D45EEE">
      <w:pPr>
        <w:rPr>
          <w:sz w:val="20"/>
          <w:szCs w:val="20"/>
          <w:lang w:val="en-US"/>
        </w:rPr>
      </w:pPr>
      <w:r w:rsidRPr="005303D7">
        <w:rPr>
          <w:noProof/>
          <w:sz w:val="20"/>
          <w:szCs w:val="20"/>
          <w:lang w:val="en-US"/>
        </w:rPr>
        <w:drawing>
          <wp:inline distT="0" distB="0" distL="0" distR="0" wp14:anchorId="1982246E" wp14:editId="3601DA2E">
            <wp:extent cx="4226943" cy="2659380"/>
            <wp:effectExtent l="0" t="0" r="2540" b="7620"/>
            <wp:docPr id="959937615" name="Picture 3"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37615" name="Picture 3" descr="A graph with blue dot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9618" cy="2667355"/>
                    </a:xfrm>
                    <a:prstGeom prst="rect">
                      <a:avLst/>
                    </a:prstGeom>
                    <a:noFill/>
                  </pic:spPr>
                </pic:pic>
              </a:graphicData>
            </a:graphic>
          </wp:inline>
        </w:drawing>
      </w:r>
    </w:p>
    <w:p w14:paraId="403F27F2" w14:textId="18E0E782" w:rsidR="00D45EEE" w:rsidRPr="005303D7" w:rsidRDefault="00D45EEE" w:rsidP="00D45EEE">
      <w:pPr>
        <w:rPr>
          <w:rFonts w:ascii="Calibri" w:hAnsi="Calibri" w:cs="Calibri"/>
          <w:b/>
          <w:bCs/>
          <w:sz w:val="20"/>
          <w:szCs w:val="20"/>
          <w:lang w:val="en-US"/>
        </w:rPr>
      </w:pPr>
      <w:r>
        <w:rPr>
          <w:rFonts w:ascii="Calibri" w:hAnsi="Calibri" w:cs="Calibri"/>
          <w:b/>
          <w:bCs/>
          <w:sz w:val="20"/>
          <w:szCs w:val="20"/>
          <w:lang w:val="en-US"/>
        </w:rPr>
        <w:t>Figure</w:t>
      </w:r>
      <w:r w:rsidR="00C4079F">
        <w:rPr>
          <w:rFonts w:ascii="Calibri" w:hAnsi="Calibri" w:cs="Calibri"/>
          <w:b/>
          <w:bCs/>
          <w:sz w:val="20"/>
          <w:szCs w:val="20"/>
          <w:lang w:val="en-US"/>
        </w:rPr>
        <w:t xml:space="preserve"> D</w:t>
      </w:r>
      <w:r>
        <w:rPr>
          <w:rFonts w:ascii="Calibri" w:hAnsi="Calibri" w:cs="Calibri"/>
          <w:b/>
          <w:bCs/>
          <w:sz w:val="20"/>
          <w:szCs w:val="20"/>
          <w:lang w:val="en-US"/>
        </w:rPr>
        <w:t>.</w:t>
      </w:r>
      <w:r w:rsidR="00C4079F">
        <w:rPr>
          <w:rFonts w:ascii="Calibri" w:hAnsi="Calibri" w:cs="Calibri"/>
          <w:b/>
          <w:bCs/>
          <w:sz w:val="20"/>
          <w:szCs w:val="20"/>
          <w:lang w:val="en-US"/>
        </w:rPr>
        <w:t>2</w:t>
      </w:r>
      <w:r>
        <w:rPr>
          <w:rFonts w:ascii="Calibri" w:hAnsi="Calibri" w:cs="Calibri"/>
          <w:b/>
          <w:bCs/>
          <w:sz w:val="20"/>
          <w:szCs w:val="20"/>
          <w:lang w:val="en-US"/>
        </w:rPr>
        <w:t xml:space="preserve"> Institutional live birth coverage (DHS 2022) by district poverty headcount (KNBS, 2021) by county</w:t>
      </w:r>
    </w:p>
    <w:p w14:paraId="51EC5378" w14:textId="77777777" w:rsidR="00D45EEE" w:rsidRPr="005303D7" w:rsidRDefault="00D45EEE" w:rsidP="00D45EEE">
      <w:pPr>
        <w:rPr>
          <w:rFonts w:ascii="Calibri" w:hAnsi="Calibri" w:cs="Calibri"/>
          <w:b/>
          <w:bCs/>
          <w:sz w:val="20"/>
          <w:szCs w:val="20"/>
          <w:lang w:val="en-US"/>
        </w:rPr>
      </w:pPr>
      <w:r w:rsidRPr="005303D7">
        <w:rPr>
          <w:noProof/>
          <w:sz w:val="20"/>
          <w:szCs w:val="20"/>
        </w:rPr>
        <w:drawing>
          <wp:inline distT="0" distB="0" distL="0" distR="0" wp14:anchorId="40F856EC" wp14:editId="1D7EAD3B">
            <wp:extent cx="4244196" cy="3067050"/>
            <wp:effectExtent l="0" t="0" r="4445" b="0"/>
            <wp:docPr id="4016293" name="Chart 1">
              <a:extLst xmlns:a="http://schemas.openxmlformats.org/drawingml/2006/main">
                <a:ext uri="{FF2B5EF4-FFF2-40B4-BE49-F238E27FC236}">
                  <a16:creationId xmlns:a16="http://schemas.microsoft.com/office/drawing/2014/main" id="{A0F34F5D-AD74-448D-B62C-B37E5F3EDA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3553C5D" w14:textId="77777777" w:rsidR="00D45EEE" w:rsidRPr="005303D7" w:rsidRDefault="00D45EEE" w:rsidP="00D45EEE">
      <w:pPr>
        <w:rPr>
          <w:rFonts w:ascii="Calibri" w:hAnsi="Calibri" w:cs="Calibri"/>
          <w:sz w:val="20"/>
          <w:szCs w:val="20"/>
          <w:lang w:val="en-US"/>
        </w:rPr>
      </w:pPr>
      <w:r w:rsidRPr="005303D7">
        <w:rPr>
          <w:rFonts w:ascii="Calibri" w:hAnsi="Calibri" w:cs="Calibri"/>
          <w:sz w:val="20"/>
          <w:szCs w:val="20"/>
          <w:lang w:val="en-US"/>
        </w:rPr>
        <w:t>Coverage of live births is strongly associated with the poverty headcount ratio by county. Narok is a major outlier with a delivery coverage (69.6%) that is much lower than expected on the basis its poverty headcount (22%). It is possible that the poverty in Narok is underestimated.</w:t>
      </w:r>
    </w:p>
    <w:p w14:paraId="1FD66B4E" w14:textId="2565AC67" w:rsidR="00D45EEE" w:rsidRDefault="00D45EEE" w:rsidP="00D45EEE">
      <w:pPr>
        <w:rPr>
          <w:rFonts w:ascii="Calibri" w:hAnsi="Calibri" w:cs="Calibri"/>
          <w:sz w:val="20"/>
          <w:szCs w:val="20"/>
          <w:lang w:val="en-US"/>
        </w:rPr>
      </w:pPr>
      <w:r w:rsidRPr="005303D7">
        <w:rPr>
          <w:rFonts w:ascii="Calibri" w:hAnsi="Calibri" w:cs="Calibri"/>
          <w:sz w:val="20"/>
          <w:szCs w:val="20"/>
          <w:lang w:val="en-US"/>
        </w:rPr>
        <w:lastRenderedPageBreak/>
        <w:t>The correlation matrix shows the strong association of all indicators with the coverage of live births in counties. Less poverty, more female education, lower fertility, are strongly associated with coverage, while health workers density and hospital beds density are moderately strongly associated with coverage.</w:t>
      </w:r>
    </w:p>
    <w:p w14:paraId="64E42A99" w14:textId="638C2786" w:rsidR="00D45EEE" w:rsidRPr="00C4079F" w:rsidRDefault="00D45EEE" w:rsidP="00D45EEE">
      <w:pPr>
        <w:rPr>
          <w:rFonts w:ascii="Calibri" w:hAnsi="Calibri" w:cs="Calibri"/>
          <w:b/>
          <w:bCs/>
          <w:sz w:val="20"/>
          <w:szCs w:val="20"/>
          <w:lang w:val="en-US"/>
        </w:rPr>
      </w:pPr>
      <w:r w:rsidRPr="00C4079F">
        <w:rPr>
          <w:rFonts w:ascii="Calibri" w:hAnsi="Calibri" w:cs="Calibri"/>
          <w:b/>
          <w:bCs/>
          <w:sz w:val="20"/>
          <w:szCs w:val="20"/>
          <w:lang w:val="en-US"/>
        </w:rPr>
        <w:t>Table</w:t>
      </w:r>
      <w:r w:rsidR="00C4079F" w:rsidRPr="00C4079F">
        <w:rPr>
          <w:rFonts w:ascii="Calibri" w:hAnsi="Calibri" w:cs="Calibri"/>
          <w:b/>
          <w:bCs/>
          <w:sz w:val="20"/>
          <w:szCs w:val="20"/>
          <w:lang w:val="en-US"/>
        </w:rPr>
        <w:t xml:space="preserve"> D.1</w:t>
      </w:r>
      <w:r w:rsidRPr="00C4079F">
        <w:rPr>
          <w:rFonts w:ascii="Calibri" w:hAnsi="Calibri" w:cs="Calibri"/>
          <w:b/>
          <w:bCs/>
          <w:sz w:val="20"/>
          <w:szCs w:val="20"/>
          <w:lang w:val="en-US"/>
        </w:rPr>
        <w:t xml:space="preserve">. Correlation matrix of </w:t>
      </w:r>
      <w:r w:rsidR="00C4079F" w:rsidRPr="00C4079F">
        <w:rPr>
          <w:rFonts w:ascii="Calibri" w:hAnsi="Calibri" w:cs="Calibri"/>
          <w:b/>
          <w:bCs/>
          <w:sz w:val="20"/>
          <w:szCs w:val="20"/>
          <w:lang w:val="en-US"/>
        </w:rPr>
        <w:t>coverage of live births with county characteristics</w:t>
      </w:r>
    </w:p>
    <w:tbl>
      <w:tblPr>
        <w:tblStyle w:val="TableGrid"/>
        <w:tblW w:w="9445" w:type="dxa"/>
        <w:tblLook w:val="04A0" w:firstRow="1" w:lastRow="0" w:firstColumn="1" w:lastColumn="0" w:noHBand="0" w:noVBand="1"/>
      </w:tblPr>
      <w:tblGrid>
        <w:gridCol w:w="3862"/>
        <w:gridCol w:w="853"/>
        <w:gridCol w:w="852"/>
        <w:gridCol w:w="926"/>
        <w:gridCol w:w="852"/>
        <w:gridCol w:w="1001"/>
        <w:gridCol w:w="1102"/>
      </w:tblGrid>
      <w:tr w:rsidR="00D45EEE" w:rsidRPr="005303D7" w14:paraId="297985EA" w14:textId="77777777" w:rsidTr="001C0AC6">
        <w:trPr>
          <w:trHeight w:val="240"/>
        </w:trPr>
        <w:tc>
          <w:tcPr>
            <w:tcW w:w="3862" w:type="dxa"/>
            <w:noWrap/>
            <w:hideMark/>
          </w:tcPr>
          <w:p w14:paraId="7FDF492D" w14:textId="77777777" w:rsidR="00D45EEE" w:rsidRPr="005303D7" w:rsidRDefault="00D45EEE" w:rsidP="00077BB4">
            <w:pPr>
              <w:rPr>
                <w:rFonts w:ascii="Calibri" w:hAnsi="Calibri" w:cs="Calibri"/>
                <w:sz w:val="20"/>
                <w:szCs w:val="20"/>
              </w:rPr>
            </w:pPr>
          </w:p>
        </w:tc>
        <w:tc>
          <w:tcPr>
            <w:tcW w:w="853" w:type="dxa"/>
            <w:noWrap/>
            <w:hideMark/>
          </w:tcPr>
          <w:p w14:paraId="34074C3E"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delcov</w:t>
            </w:r>
          </w:p>
        </w:tc>
        <w:tc>
          <w:tcPr>
            <w:tcW w:w="852" w:type="dxa"/>
            <w:noWrap/>
            <w:hideMark/>
          </w:tcPr>
          <w:p w14:paraId="1704BAF8"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poverty</w:t>
            </w:r>
          </w:p>
        </w:tc>
        <w:tc>
          <w:tcPr>
            <w:tcW w:w="923" w:type="dxa"/>
            <w:noWrap/>
            <w:hideMark/>
          </w:tcPr>
          <w:p w14:paraId="2B858AC5"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educfem</w:t>
            </w:r>
          </w:p>
        </w:tc>
        <w:tc>
          <w:tcPr>
            <w:tcW w:w="852" w:type="dxa"/>
            <w:noWrap/>
            <w:hideMark/>
          </w:tcPr>
          <w:p w14:paraId="3D2976C4"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tfrdhs</w:t>
            </w:r>
            <w:bookmarkStart w:id="2" w:name="_GoBack"/>
            <w:bookmarkEnd w:id="2"/>
          </w:p>
        </w:tc>
        <w:tc>
          <w:tcPr>
            <w:tcW w:w="1001" w:type="dxa"/>
            <w:noWrap/>
            <w:hideMark/>
          </w:tcPr>
          <w:p w14:paraId="7ABE16D0"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hrh2022</w:t>
            </w:r>
          </w:p>
        </w:tc>
        <w:tc>
          <w:tcPr>
            <w:tcW w:w="1102" w:type="dxa"/>
            <w:noWrap/>
            <w:hideMark/>
          </w:tcPr>
          <w:p w14:paraId="697E330E"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beds2022</w:t>
            </w:r>
          </w:p>
        </w:tc>
      </w:tr>
      <w:tr w:rsidR="00D45EEE" w:rsidRPr="005303D7" w14:paraId="2F51DDE9" w14:textId="77777777" w:rsidTr="001C0AC6">
        <w:trPr>
          <w:trHeight w:val="240"/>
        </w:trPr>
        <w:tc>
          <w:tcPr>
            <w:tcW w:w="3862" w:type="dxa"/>
            <w:noWrap/>
            <w:hideMark/>
          </w:tcPr>
          <w:p w14:paraId="36133614"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Coverage of live births</w:t>
            </w:r>
          </w:p>
        </w:tc>
        <w:tc>
          <w:tcPr>
            <w:tcW w:w="853" w:type="dxa"/>
            <w:noWrap/>
            <w:hideMark/>
          </w:tcPr>
          <w:p w14:paraId="1A0E6F77"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1</w:t>
            </w:r>
          </w:p>
        </w:tc>
        <w:tc>
          <w:tcPr>
            <w:tcW w:w="852" w:type="dxa"/>
            <w:noWrap/>
            <w:hideMark/>
          </w:tcPr>
          <w:p w14:paraId="36D6E5AC" w14:textId="77777777" w:rsidR="00D45EEE" w:rsidRPr="005303D7" w:rsidRDefault="00D45EEE" w:rsidP="00077BB4">
            <w:pPr>
              <w:jc w:val="right"/>
              <w:rPr>
                <w:rFonts w:ascii="Calibri" w:hAnsi="Calibri" w:cs="Calibri"/>
                <w:sz w:val="20"/>
                <w:szCs w:val="20"/>
              </w:rPr>
            </w:pPr>
          </w:p>
        </w:tc>
        <w:tc>
          <w:tcPr>
            <w:tcW w:w="923" w:type="dxa"/>
            <w:noWrap/>
            <w:hideMark/>
          </w:tcPr>
          <w:p w14:paraId="6D35CF39" w14:textId="77777777" w:rsidR="00D45EEE" w:rsidRPr="005303D7" w:rsidRDefault="00D45EEE" w:rsidP="00077BB4">
            <w:pPr>
              <w:jc w:val="right"/>
              <w:rPr>
                <w:rFonts w:ascii="Calibri" w:hAnsi="Calibri" w:cs="Calibri"/>
                <w:sz w:val="20"/>
                <w:szCs w:val="20"/>
              </w:rPr>
            </w:pPr>
          </w:p>
        </w:tc>
        <w:tc>
          <w:tcPr>
            <w:tcW w:w="852" w:type="dxa"/>
            <w:noWrap/>
            <w:hideMark/>
          </w:tcPr>
          <w:p w14:paraId="445BB272"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 </w:t>
            </w:r>
          </w:p>
        </w:tc>
        <w:tc>
          <w:tcPr>
            <w:tcW w:w="1001" w:type="dxa"/>
            <w:noWrap/>
            <w:hideMark/>
          </w:tcPr>
          <w:p w14:paraId="0CD99942" w14:textId="77777777" w:rsidR="00D45EEE" w:rsidRPr="005303D7" w:rsidRDefault="00D45EEE" w:rsidP="00077BB4">
            <w:pPr>
              <w:jc w:val="right"/>
              <w:rPr>
                <w:rFonts w:ascii="Calibri" w:hAnsi="Calibri" w:cs="Calibri"/>
                <w:sz w:val="20"/>
                <w:szCs w:val="20"/>
              </w:rPr>
            </w:pPr>
          </w:p>
        </w:tc>
        <w:tc>
          <w:tcPr>
            <w:tcW w:w="1102" w:type="dxa"/>
            <w:noWrap/>
            <w:hideMark/>
          </w:tcPr>
          <w:p w14:paraId="12D9244A" w14:textId="77777777" w:rsidR="00D45EEE" w:rsidRPr="005303D7" w:rsidRDefault="00D45EEE" w:rsidP="00077BB4">
            <w:pPr>
              <w:jc w:val="right"/>
              <w:rPr>
                <w:rFonts w:ascii="Calibri" w:hAnsi="Calibri" w:cs="Calibri"/>
                <w:sz w:val="20"/>
                <w:szCs w:val="20"/>
              </w:rPr>
            </w:pPr>
          </w:p>
        </w:tc>
      </w:tr>
      <w:tr w:rsidR="00D45EEE" w:rsidRPr="005303D7" w14:paraId="6C5A1C67" w14:textId="77777777" w:rsidTr="001C0AC6">
        <w:trPr>
          <w:trHeight w:val="240"/>
        </w:trPr>
        <w:tc>
          <w:tcPr>
            <w:tcW w:w="3862" w:type="dxa"/>
            <w:noWrap/>
            <w:hideMark/>
          </w:tcPr>
          <w:p w14:paraId="72BB01DE"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Poverty level</w:t>
            </w:r>
          </w:p>
        </w:tc>
        <w:tc>
          <w:tcPr>
            <w:tcW w:w="853" w:type="dxa"/>
            <w:noWrap/>
            <w:hideMark/>
          </w:tcPr>
          <w:p w14:paraId="0B4393C5"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-0.8226</w:t>
            </w:r>
          </w:p>
        </w:tc>
        <w:tc>
          <w:tcPr>
            <w:tcW w:w="852" w:type="dxa"/>
            <w:noWrap/>
            <w:hideMark/>
          </w:tcPr>
          <w:p w14:paraId="3A889242"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1</w:t>
            </w:r>
          </w:p>
        </w:tc>
        <w:tc>
          <w:tcPr>
            <w:tcW w:w="923" w:type="dxa"/>
            <w:noWrap/>
            <w:hideMark/>
          </w:tcPr>
          <w:p w14:paraId="245FAF77" w14:textId="77777777" w:rsidR="00D45EEE" w:rsidRPr="005303D7" w:rsidRDefault="00D45EEE" w:rsidP="00077BB4">
            <w:pPr>
              <w:jc w:val="right"/>
              <w:rPr>
                <w:rFonts w:ascii="Calibri" w:hAnsi="Calibri" w:cs="Calibri"/>
                <w:sz w:val="20"/>
                <w:szCs w:val="20"/>
              </w:rPr>
            </w:pPr>
          </w:p>
        </w:tc>
        <w:tc>
          <w:tcPr>
            <w:tcW w:w="852" w:type="dxa"/>
            <w:noWrap/>
            <w:hideMark/>
          </w:tcPr>
          <w:p w14:paraId="05DB38A2"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 </w:t>
            </w:r>
          </w:p>
        </w:tc>
        <w:tc>
          <w:tcPr>
            <w:tcW w:w="1001" w:type="dxa"/>
            <w:noWrap/>
            <w:hideMark/>
          </w:tcPr>
          <w:p w14:paraId="46184E82" w14:textId="77777777" w:rsidR="00D45EEE" w:rsidRPr="005303D7" w:rsidRDefault="00D45EEE" w:rsidP="00077BB4">
            <w:pPr>
              <w:jc w:val="right"/>
              <w:rPr>
                <w:rFonts w:ascii="Calibri" w:hAnsi="Calibri" w:cs="Calibri"/>
                <w:sz w:val="20"/>
                <w:szCs w:val="20"/>
              </w:rPr>
            </w:pPr>
          </w:p>
        </w:tc>
        <w:tc>
          <w:tcPr>
            <w:tcW w:w="1102" w:type="dxa"/>
            <w:noWrap/>
            <w:hideMark/>
          </w:tcPr>
          <w:p w14:paraId="2D8898C9" w14:textId="77777777" w:rsidR="00D45EEE" w:rsidRPr="005303D7" w:rsidRDefault="00D45EEE" w:rsidP="00077BB4">
            <w:pPr>
              <w:jc w:val="right"/>
              <w:rPr>
                <w:rFonts w:ascii="Calibri" w:hAnsi="Calibri" w:cs="Calibri"/>
                <w:sz w:val="20"/>
                <w:szCs w:val="20"/>
              </w:rPr>
            </w:pPr>
          </w:p>
        </w:tc>
      </w:tr>
      <w:tr w:rsidR="00D45EEE" w:rsidRPr="005303D7" w14:paraId="4FC92056" w14:textId="77777777" w:rsidTr="001C0AC6">
        <w:trPr>
          <w:trHeight w:val="240"/>
        </w:trPr>
        <w:tc>
          <w:tcPr>
            <w:tcW w:w="3862" w:type="dxa"/>
            <w:noWrap/>
            <w:hideMark/>
          </w:tcPr>
          <w:p w14:paraId="58007CE6"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Female education (secondary or higher)</w:t>
            </w:r>
          </w:p>
        </w:tc>
        <w:tc>
          <w:tcPr>
            <w:tcW w:w="853" w:type="dxa"/>
            <w:noWrap/>
            <w:hideMark/>
          </w:tcPr>
          <w:p w14:paraId="25C46989"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0.8347</w:t>
            </w:r>
          </w:p>
        </w:tc>
        <w:tc>
          <w:tcPr>
            <w:tcW w:w="852" w:type="dxa"/>
            <w:noWrap/>
            <w:hideMark/>
          </w:tcPr>
          <w:p w14:paraId="7B116869"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-0.7819</w:t>
            </w:r>
          </w:p>
        </w:tc>
        <w:tc>
          <w:tcPr>
            <w:tcW w:w="923" w:type="dxa"/>
            <w:noWrap/>
            <w:hideMark/>
          </w:tcPr>
          <w:p w14:paraId="65DF7476"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1</w:t>
            </w:r>
          </w:p>
        </w:tc>
        <w:tc>
          <w:tcPr>
            <w:tcW w:w="852" w:type="dxa"/>
            <w:noWrap/>
            <w:hideMark/>
          </w:tcPr>
          <w:p w14:paraId="4883B77F"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 </w:t>
            </w:r>
          </w:p>
        </w:tc>
        <w:tc>
          <w:tcPr>
            <w:tcW w:w="1001" w:type="dxa"/>
            <w:noWrap/>
            <w:hideMark/>
          </w:tcPr>
          <w:p w14:paraId="00235ACF" w14:textId="77777777" w:rsidR="00D45EEE" w:rsidRPr="005303D7" w:rsidRDefault="00D45EEE" w:rsidP="00077BB4">
            <w:pPr>
              <w:jc w:val="right"/>
              <w:rPr>
                <w:rFonts w:ascii="Calibri" w:hAnsi="Calibri" w:cs="Calibri"/>
                <w:sz w:val="20"/>
                <w:szCs w:val="20"/>
              </w:rPr>
            </w:pPr>
          </w:p>
        </w:tc>
        <w:tc>
          <w:tcPr>
            <w:tcW w:w="1102" w:type="dxa"/>
            <w:noWrap/>
            <w:hideMark/>
          </w:tcPr>
          <w:p w14:paraId="675F583E" w14:textId="77777777" w:rsidR="00D45EEE" w:rsidRPr="005303D7" w:rsidRDefault="00D45EEE" w:rsidP="00077BB4">
            <w:pPr>
              <w:jc w:val="right"/>
              <w:rPr>
                <w:rFonts w:ascii="Calibri" w:hAnsi="Calibri" w:cs="Calibri"/>
                <w:sz w:val="20"/>
                <w:szCs w:val="20"/>
              </w:rPr>
            </w:pPr>
          </w:p>
        </w:tc>
      </w:tr>
      <w:tr w:rsidR="00D45EEE" w:rsidRPr="005303D7" w14:paraId="40D94723" w14:textId="77777777" w:rsidTr="001C0AC6">
        <w:trPr>
          <w:trHeight w:val="240"/>
        </w:trPr>
        <w:tc>
          <w:tcPr>
            <w:tcW w:w="3862" w:type="dxa"/>
            <w:noWrap/>
            <w:hideMark/>
          </w:tcPr>
          <w:p w14:paraId="71EA54FC"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Total fertility rate (DHS 2022)</w:t>
            </w:r>
          </w:p>
        </w:tc>
        <w:tc>
          <w:tcPr>
            <w:tcW w:w="853" w:type="dxa"/>
            <w:noWrap/>
            <w:hideMark/>
          </w:tcPr>
          <w:p w14:paraId="45CB4E45"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-0.9019</w:t>
            </w:r>
          </w:p>
        </w:tc>
        <w:tc>
          <w:tcPr>
            <w:tcW w:w="852" w:type="dxa"/>
            <w:noWrap/>
            <w:hideMark/>
          </w:tcPr>
          <w:p w14:paraId="23867753"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0.7761</w:t>
            </w:r>
          </w:p>
        </w:tc>
        <w:tc>
          <w:tcPr>
            <w:tcW w:w="923" w:type="dxa"/>
            <w:noWrap/>
            <w:hideMark/>
          </w:tcPr>
          <w:p w14:paraId="789C5EDA"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-0.8489</w:t>
            </w:r>
          </w:p>
        </w:tc>
        <w:tc>
          <w:tcPr>
            <w:tcW w:w="852" w:type="dxa"/>
            <w:noWrap/>
            <w:hideMark/>
          </w:tcPr>
          <w:p w14:paraId="21EFB7C6"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1</w:t>
            </w:r>
          </w:p>
        </w:tc>
        <w:tc>
          <w:tcPr>
            <w:tcW w:w="1001" w:type="dxa"/>
            <w:noWrap/>
            <w:hideMark/>
          </w:tcPr>
          <w:p w14:paraId="0469F409" w14:textId="77777777" w:rsidR="00D45EEE" w:rsidRPr="005303D7" w:rsidRDefault="00D45EEE" w:rsidP="00077BB4">
            <w:pPr>
              <w:jc w:val="right"/>
              <w:rPr>
                <w:rFonts w:ascii="Calibri" w:hAnsi="Calibri" w:cs="Calibri"/>
                <w:sz w:val="20"/>
                <w:szCs w:val="20"/>
              </w:rPr>
            </w:pPr>
          </w:p>
        </w:tc>
        <w:tc>
          <w:tcPr>
            <w:tcW w:w="1102" w:type="dxa"/>
            <w:noWrap/>
            <w:hideMark/>
          </w:tcPr>
          <w:p w14:paraId="6FC3AD39" w14:textId="77777777" w:rsidR="00D45EEE" w:rsidRPr="005303D7" w:rsidRDefault="00D45EEE" w:rsidP="00077BB4">
            <w:pPr>
              <w:jc w:val="right"/>
              <w:rPr>
                <w:rFonts w:ascii="Calibri" w:hAnsi="Calibri" w:cs="Calibri"/>
                <w:sz w:val="20"/>
                <w:szCs w:val="20"/>
              </w:rPr>
            </w:pPr>
          </w:p>
        </w:tc>
      </w:tr>
      <w:tr w:rsidR="00D45EEE" w:rsidRPr="005303D7" w14:paraId="5C6803E2" w14:textId="77777777" w:rsidTr="001C0AC6">
        <w:trPr>
          <w:trHeight w:val="240"/>
        </w:trPr>
        <w:tc>
          <w:tcPr>
            <w:tcW w:w="3862" w:type="dxa"/>
            <w:noWrap/>
            <w:hideMark/>
          </w:tcPr>
          <w:p w14:paraId="6A8AE50D"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Health workforce density (doctors, nurses, midwives)</w:t>
            </w:r>
          </w:p>
        </w:tc>
        <w:tc>
          <w:tcPr>
            <w:tcW w:w="853" w:type="dxa"/>
            <w:noWrap/>
            <w:hideMark/>
          </w:tcPr>
          <w:p w14:paraId="6D820DAB"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0.4812</w:t>
            </w:r>
          </w:p>
        </w:tc>
        <w:tc>
          <w:tcPr>
            <w:tcW w:w="852" w:type="dxa"/>
            <w:noWrap/>
            <w:hideMark/>
          </w:tcPr>
          <w:p w14:paraId="3153532E"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-0.5224</w:t>
            </w:r>
          </w:p>
        </w:tc>
        <w:tc>
          <w:tcPr>
            <w:tcW w:w="923" w:type="dxa"/>
            <w:noWrap/>
            <w:hideMark/>
          </w:tcPr>
          <w:p w14:paraId="64AAE180"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0.5435</w:t>
            </w:r>
          </w:p>
        </w:tc>
        <w:tc>
          <w:tcPr>
            <w:tcW w:w="852" w:type="dxa"/>
            <w:noWrap/>
            <w:hideMark/>
          </w:tcPr>
          <w:p w14:paraId="0A99EAE2"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-0.4832</w:t>
            </w:r>
          </w:p>
        </w:tc>
        <w:tc>
          <w:tcPr>
            <w:tcW w:w="1001" w:type="dxa"/>
            <w:noWrap/>
            <w:hideMark/>
          </w:tcPr>
          <w:p w14:paraId="4DD48B7C"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1</w:t>
            </w:r>
          </w:p>
        </w:tc>
        <w:tc>
          <w:tcPr>
            <w:tcW w:w="1102" w:type="dxa"/>
            <w:noWrap/>
            <w:hideMark/>
          </w:tcPr>
          <w:p w14:paraId="6DF7F467" w14:textId="77777777" w:rsidR="00D45EEE" w:rsidRPr="005303D7" w:rsidRDefault="00D45EEE" w:rsidP="00077BB4">
            <w:pPr>
              <w:jc w:val="right"/>
              <w:rPr>
                <w:rFonts w:ascii="Calibri" w:hAnsi="Calibri" w:cs="Calibri"/>
                <w:sz w:val="20"/>
                <w:szCs w:val="20"/>
              </w:rPr>
            </w:pPr>
          </w:p>
        </w:tc>
      </w:tr>
      <w:tr w:rsidR="00D45EEE" w:rsidRPr="005303D7" w14:paraId="32B39D33" w14:textId="77777777" w:rsidTr="001C0AC6">
        <w:trPr>
          <w:trHeight w:val="240"/>
        </w:trPr>
        <w:tc>
          <w:tcPr>
            <w:tcW w:w="3862" w:type="dxa"/>
            <w:noWrap/>
            <w:hideMark/>
          </w:tcPr>
          <w:p w14:paraId="1D69E7AB" w14:textId="77777777" w:rsidR="00D45EEE" w:rsidRPr="005303D7" w:rsidRDefault="00D45EEE" w:rsidP="00077BB4">
            <w:pPr>
              <w:rPr>
                <w:rFonts w:ascii="Calibri" w:hAnsi="Calibri" w:cs="Calibri"/>
                <w:sz w:val="20"/>
                <w:szCs w:val="20"/>
              </w:rPr>
            </w:pPr>
            <w:r w:rsidRPr="005303D7">
              <w:rPr>
                <w:rFonts w:ascii="Calibri" w:hAnsi="Calibri" w:cs="Calibri"/>
                <w:sz w:val="20"/>
                <w:szCs w:val="20"/>
              </w:rPr>
              <w:t xml:space="preserve">Hospital beds density </w:t>
            </w:r>
          </w:p>
        </w:tc>
        <w:tc>
          <w:tcPr>
            <w:tcW w:w="853" w:type="dxa"/>
            <w:noWrap/>
            <w:hideMark/>
          </w:tcPr>
          <w:p w14:paraId="02E95A8D"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0.4118</w:t>
            </w:r>
          </w:p>
        </w:tc>
        <w:tc>
          <w:tcPr>
            <w:tcW w:w="852" w:type="dxa"/>
            <w:noWrap/>
            <w:hideMark/>
          </w:tcPr>
          <w:p w14:paraId="4D437504"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-0.457</w:t>
            </w:r>
          </w:p>
        </w:tc>
        <w:tc>
          <w:tcPr>
            <w:tcW w:w="923" w:type="dxa"/>
            <w:noWrap/>
            <w:hideMark/>
          </w:tcPr>
          <w:p w14:paraId="2FECF139"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0.5221</w:t>
            </w:r>
          </w:p>
        </w:tc>
        <w:tc>
          <w:tcPr>
            <w:tcW w:w="852" w:type="dxa"/>
            <w:noWrap/>
            <w:hideMark/>
          </w:tcPr>
          <w:p w14:paraId="2FEEEF39"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-0.4265</w:t>
            </w:r>
          </w:p>
        </w:tc>
        <w:tc>
          <w:tcPr>
            <w:tcW w:w="1001" w:type="dxa"/>
            <w:noWrap/>
            <w:hideMark/>
          </w:tcPr>
          <w:p w14:paraId="7C5C3D89"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0.8809</w:t>
            </w:r>
          </w:p>
        </w:tc>
        <w:tc>
          <w:tcPr>
            <w:tcW w:w="1102" w:type="dxa"/>
            <w:noWrap/>
            <w:hideMark/>
          </w:tcPr>
          <w:p w14:paraId="79B1BD2F" w14:textId="77777777" w:rsidR="00D45EEE" w:rsidRPr="005303D7" w:rsidRDefault="00D45EEE" w:rsidP="00077BB4">
            <w:pPr>
              <w:jc w:val="right"/>
              <w:rPr>
                <w:rFonts w:ascii="Calibri" w:hAnsi="Calibri" w:cs="Calibri"/>
                <w:sz w:val="20"/>
                <w:szCs w:val="20"/>
              </w:rPr>
            </w:pPr>
            <w:r w:rsidRPr="005303D7">
              <w:rPr>
                <w:rFonts w:ascii="Calibri" w:hAnsi="Calibri" w:cs="Calibri"/>
                <w:sz w:val="20"/>
                <w:szCs w:val="20"/>
              </w:rPr>
              <w:t>1</w:t>
            </w:r>
          </w:p>
        </w:tc>
      </w:tr>
    </w:tbl>
    <w:p w14:paraId="2FA28160" w14:textId="77777777" w:rsidR="00D45EEE" w:rsidRPr="005303D7" w:rsidRDefault="00D45EEE" w:rsidP="00D45EEE">
      <w:pPr>
        <w:rPr>
          <w:rFonts w:ascii="Calibri" w:hAnsi="Calibri" w:cs="Calibri"/>
          <w:sz w:val="20"/>
          <w:szCs w:val="20"/>
          <w:lang w:val="en-US"/>
        </w:rPr>
      </w:pPr>
    </w:p>
    <w:p w14:paraId="5CA6E500" w14:textId="77777777" w:rsidR="008C6A0B" w:rsidRDefault="008C6A0B">
      <w:pPr>
        <w:rPr>
          <w:b/>
          <w:bCs/>
          <w:sz w:val="20"/>
          <w:szCs w:val="20"/>
          <w:lang w:val="en-US"/>
        </w:rPr>
      </w:pPr>
      <w:r>
        <w:rPr>
          <w:b/>
          <w:bCs/>
          <w:sz w:val="20"/>
          <w:szCs w:val="20"/>
          <w:lang w:val="en-US"/>
        </w:rPr>
        <w:br w:type="page"/>
      </w:r>
    </w:p>
    <w:p w14:paraId="11B949D1" w14:textId="4B57624F" w:rsidR="00D45EEE" w:rsidRPr="00D45EEE" w:rsidRDefault="00D45EEE" w:rsidP="00D45EEE">
      <w:pPr>
        <w:shd w:val="clear" w:color="auto" w:fill="CAEDFB" w:themeFill="accent4" w:themeFillTint="33"/>
        <w:rPr>
          <w:rFonts w:ascii="Calibri" w:hAnsi="Calibri" w:cs="Calibri"/>
          <w:b/>
          <w:bCs/>
          <w:sz w:val="20"/>
          <w:szCs w:val="20"/>
        </w:rPr>
      </w:pPr>
      <w:r w:rsidRPr="00D45EEE">
        <w:rPr>
          <w:rFonts w:ascii="Calibri" w:hAnsi="Calibri" w:cs="Calibri"/>
          <w:b/>
          <w:bCs/>
          <w:sz w:val="20"/>
          <w:szCs w:val="20"/>
        </w:rPr>
        <w:lastRenderedPageBreak/>
        <w:t xml:space="preserve">Appendix </w:t>
      </w:r>
      <w:r w:rsidR="008C6A0B">
        <w:rPr>
          <w:rFonts w:ascii="Calibri" w:hAnsi="Calibri" w:cs="Calibri"/>
          <w:b/>
          <w:bCs/>
          <w:sz w:val="20"/>
          <w:szCs w:val="20"/>
        </w:rPr>
        <w:t>E</w:t>
      </w:r>
      <w:r w:rsidRPr="00D45EEE">
        <w:rPr>
          <w:rFonts w:ascii="Calibri" w:hAnsi="Calibri" w:cs="Calibri"/>
          <w:b/>
          <w:bCs/>
          <w:sz w:val="20"/>
          <w:szCs w:val="20"/>
        </w:rPr>
        <w:t>: association MMR and SBR in health facilities, 2019-2022</w:t>
      </w:r>
    </w:p>
    <w:p w14:paraId="07A3302D" w14:textId="220F75DC" w:rsidR="00D45EEE" w:rsidRDefault="00D45EEE" w:rsidP="00D45EEE">
      <w:pPr>
        <w:rPr>
          <w:rFonts w:ascii="Calibri" w:hAnsi="Calibri" w:cs="Calibri"/>
          <w:sz w:val="20"/>
          <w:szCs w:val="20"/>
        </w:rPr>
      </w:pPr>
      <w:r w:rsidRPr="00D45EEE">
        <w:rPr>
          <w:rFonts w:ascii="Calibri" w:hAnsi="Calibri" w:cs="Calibri"/>
          <w:sz w:val="20"/>
          <w:szCs w:val="20"/>
        </w:rPr>
        <w:t xml:space="preserve">Maternal mortality was positively associated with stillbirth mortality but with considerable variation. Counties in green are part of group 4 (delivery coverage &gt;= 95%) and in </w:t>
      </w:r>
      <w:r>
        <w:rPr>
          <w:rFonts w:ascii="Calibri" w:hAnsi="Calibri" w:cs="Calibri"/>
          <w:sz w:val="20"/>
          <w:szCs w:val="20"/>
        </w:rPr>
        <w:t xml:space="preserve">orange </w:t>
      </w:r>
      <w:r w:rsidRPr="00D45EEE">
        <w:rPr>
          <w:rFonts w:ascii="Calibri" w:hAnsi="Calibri" w:cs="Calibri"/>
          <w:sz w:val="20"/>
          <w:szCs w:val="20"/>
        </w:rPr>
        <w:t>are part of group 1 (&lt;60% coverage).</w:t>
      </w:r>
    </w:p>
    <w:p w14:paraId="154CFA5C" w14:textId="3508F602" w:rsidR="00C4079F" w:rsidRPr="00D45EEE" w:rsidRDefault="00C4079F" w:rsidP="00D45EEE">
      <w:pPr>
        <w:rPr>
          <w:rFonts w:ascii="Calibri" w:hAnsi="Calibri" w:cs="Calibri"/>
          <w:sz w:val="20"/>
          <w:szCs w:val="20"/>
        </w:rPr>
      </w:pPr>
      <w:r>
        <w:rPr>
          <w:rFonts w:ascii="Calibri" w:hAnsi="Calibri" w:cs="Calibri"/>
          <w:sz w:val="20"/>
          <w:szCs w:val="20"/>
        </w:rPr>
        <w:t>Figure F.1 Maternal mortality ratio per 100,000 live births by stillbirth rate per 1,000 births, by county, KHIS data</w:t>
      </w:r>
    </w:p>
    <w:p w14:paraId="0C518DDA" w14:textId="77777777" w:rsidR="00D45EEE" w:rsidRPr="005303D7" w:rsidRDefault="00D45EEE" w:rsidP="00D45EEE">
      <w:pPr>
        <w:rPr>
          <w:rFonts w:ascii="Calibri" w:hAnsi="Calibri" w:cs="Calibri"/>
          <w:b/>
          <w:bCs/>
          <w:sz w:val="20"/>
          <w:szCs w:val="20"/>
          <w:lang w:val="en-US"/>
        </w:rPr>
      </w:pPr>
      <w:r w:rsidRPr="005303D7">
        <w:rPr>
          <w:noProof/>
          <w:sz w:val="20"/>
          <w:szCs w:val="20"/>
          <w:lang w:val="en-US"/>
        </w:rPr>
        <w:drawing>
          <wp:inline distT="0" distB="0" distL="0" distR="0" wp14:anchorId="253E4C1B" wp14:editId="0BBC6DAF">
            <wp:extent cx="5819250" cy="4274203"/>
            <wp:effectExtent l="0" t="0" r="0" b="0"/>
            <wp:docPr id="958164219" name="Picture 6" descr="A diagram of a net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64219" name="Picture 6" descr="A diagram of a network&#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2113" cy="4276306"/>
                    </a:xfrm>
                    <a:prstGeom prst="rect">
                      <a:avLst/>
                    </a:prstGeom>
                    <a:noFill/>
                  </pic:spPr>
                </pic:pic>
              </a:graphicData>
            </a:graphic>
          </wp:inline>
        </w:drawing>
      </w:r>
    </w:p>
    <w:p w14:paraId="2FBB9D24" w14:textId="3D571805" w:rsidR="00D45EEE" w:rsidRPr="00D45EEE" w:rsidRDefault="00D45EEE" w:rsidP="00D45EEE">
      <w:pPr>
        <w:rPr>
          <w:rFonts w:ascii="Calibri" w:hAnsi="Calibri" w:cs="Calibri"/>
          <w:b/>
          <w:bCs/>
          <w:sz w:val="20"/>
          <w:szCs w:val="20"/>
          <w:lang w:val="en-US"/>
        </w:rPr>
      </w:pPr>
      <w:r w:rsidRPr="00D45EEE">
        <w:rPr>
          <w:rFonts w:ascii="Calibri" w:hAnsi="Calibri" w:cs="Calibri"/>
          <w:b/>
          <w:bCs/>
          <w:sz w:val="20"/>
          <w:szCs w:val="20"/>
          <w:lang w:val="en-US"/>
        </w:rPr>
        <w:t>Table</w:t>
      </w:r>
      <w:r w:rsidR="00C4079F">
        <w:rPr>
          <w:rFonts w:ascii="Calibri" w:hAnsi="Calibri" w:cs="Calibri"/>
          <w:b/>
          <w:bCs/>
          <w:sz w:val="20"/>
          <w:szCs w:val="20"/>
          <w:lang w:val="en-US"/>
        </w:rPr>
        <w:t xml:space="preserve"> F.2</w:t>
      </w:r>
      <w:r w:rsidRPr="00D45EEE">
        <w:rPr>
          <w:rFonts w:ascii="Calibri" w:hAnsi="Calibri" w:cs="Calibri"/>
          <w:b/>
          <w:bCs/>
          <w:sz w:val="20"/>
          <w:szCs w:val="20"/>
          <w:lang w:val="en-US"/>
        </w:rPr>
        <w:t>: County maternal mortality ratio per 100,000 live birth and stillbirths per 1,000 births, 2011-2014, 2015-18, 2019-22 with relative change between the first and last periods, KHIS data.</w:t>
      </w:r>
    </w:p>
    <w:tbl>
      <w:tblPr>
        <w:tblStyle w:val="GridTable1Light-Accent4"/>
        <w:tblW w:w="8700" w:type="dxa"/>
        <w:tblLook w:val="04A0" w:firstRow="1" w:lastRow="0" w:firstColumn="1" w:lastColumn="0" w:noHBand="0" w:noVBand="1"/>
      </w:tblPr>
      <w:tblGrid>
        <w:gridCol w:w="1600"/>
        <w:gridCol w:w="820"/>
        <w:gridCol w:w="820"/>
        <w:gridCol w:w="820"/>
        <w:gridCol w:w="920"/>
        <w:gridCol w:w="340"/>
        <w:gridCol w:w="820"/>
        <w:gridCol w:w="820"/>
        <w:gridCol w:w="820"/>
        <w:gridCol w:w="920"/>
      </w:tblGrid>
      <w:tr w:rsidR="00D45EEE" w:rsidRPr="005303D7" w14:paraId="11253360" w14:textId="77777777" w:rsidTr="00077BB4">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4B8849B7"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hideMark/>
          </w:tcPr>
          <w:p w14:paraId="4680D0F0" w14:textId="77777777" w:rsidR="00D45EEE" w:rsidRPr="00D45EEE" w:rsidRDefault="00D45EEE" w:rsidP="00077B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MMR 2011-14</w:t>
            </w:r>
          </w:p>
        </w:tc>
        <w:tc>
          <w:tcPr>
            <w:tcW w:w="820" w:type="dxa"/>
            <w:hideMark/>
          </w:tcPr>
          <w:p w14:paraId="56DC70C3" w14:textId="77777777" w:rsidR="00D45EEE" w:rsidRPr="00D45EEE" w:rsidRDefault="00D45EEE" w:rsidP="00077B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MMR 2015-18</w:t>
            </w:r>
          </w:p>
        </w:tc>
        <w:tc>
          <w:tcPr>
            <w:tcW w:w="820" w:type="dxa"/>
            <w:hideMark/>
          </w:tcPr>
          <w:p w14:paraId="61DEC00E" w14:textId="77777777" w:rsidR="00D45EEE" w:rsidRPr="00D45EEE" w:rsidRDefault="00D45EEE" w:rsidP="00077B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MMR 2019-22</w:t>
            </w:r>
          </w:p>
        </w:tc>
        <w:tc>
          <w:tcPr>
            <w:tcW w:w="920" w:type="dxa"/>
            <w:hideMark/>
          </w:tcPr>
          <w:p w14:paraId="397AC369" w14:textId="77777777" w:rsidR="00D45EEE" w:rsidRPr="00D45EEE" w:rsidRDefault="00D45EEE" w:rsidP="00077B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%change</w:t>
            </w:r>
          </w:p>
        </w:tc>
        <w:tc>
          <w:tcPr>
            <w:tcW w:w="340" w:type="dxa"/>
            <w:hideMark/>
          </w:tcPr>
          <w:p w14:paraId="35A76352" w14:textId="77777777" w:rsidR="00D45EEE" w:rsidRPr="00D45EEE" w:rsidRDefault="00D45EEE" w:rsidP="00077B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hideMark/>
          </w:tcPr>
          <w:p w14:paraId="719A01E6" w14:textId="77777777" w:rsidR="00D45EEE" w:rsidRPr="00D45EEE" w:rsidRDefault="00D45EEE" w:rsidP="00077B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SBR 2011-14</w:t>
            </w:r>
          </w:p>
        </w:tc>
        <w:tc>
          <w:tcPr>
            <w:tcW w:w="820" w:type="dxa"/>
            <w:hideMark/>
          </w:tcPr>
          <w:p w14:paraId="3C47CED7" w14:textId="77777777" w:rsidR="00D45EEE" w:rsidRPr="00D45EEE" w:rsidRDefault="00D45EEE" w:rsidP="00077B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SBR 2015-18</w:t>
            </w:r>
          </w:p>
        </w:tc>
        <w:tc>
          <w:tcPr>
            <w:tcW w:w="820" w:type="dxa"/>
            <w:hideMark/>
          </w:tcPr>
          <w:p w14:paraId="29D6D25E" w14:textId="77777777" w:rsidR="00D45EEE" w:rsidRPr="00D45EEE" w:rsidRDefault="00D45EEE" w:rsidP="00077B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SBR 2019-22</w:t>
            </w:r>
          </w:p>
        </w:tc>
        <w:tc>
          <w:tcPr>
            <w:tcW w:w="920" w:type="dxa"/>
            <w:hideMark/>
          </w:tcPr>
          <w:p w14:paraId="315125D5" w14:textId="77777777" w:rsidR="00D45EEE" w:rsidRPr="00D45EEE" w:rsidRDefault="00D45EEE" w:rsidP="00077B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%change</w:t>
            </w:r>
          </w:p>
        </w:tc>
      </w:tr>
      <w:tr w:rsidR="00D45EEE" w:rsidRPr="005303D7" w14:paraId="39AA193C"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5B3098EE"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Baringo</w:t>
            </w:r>
          </w:p>
        </w:tc>
        <w:tc>
          <w:tcPr>
            <w:tcW w:w="820" w:type="dxa"/>
            <w:noWrap/>
            <w:hideMark/>
          </w:tcPr>
          <w:p w14:paraId="7267BEF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138</w:t>
            </w:r>
          </w:p>
        </w:tc>
        <w:tc>
          <w:tcPr>
            <w:tcW w:w="820" w:type="dxa"/>
            <w:noWrap/>
            <w:hideMark/>
          </w:tcPr>
          <w:p w14:paraId="111722F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82</w:t>
            </w:r>
          </w:p>
        </w:tc>
        <w:tc>
          <w:tcPr>
            <w:tcW w:w="820" w:type="dxa"/>
            <w:noWrap/>
            <w:hideMark/>
          </w:tcPr>
          <w:p w14:paraId="3FA6228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56</w:t>
            </w:r>
          </w:p>
        </w:tc>
        <w:tc>
          <w:tcPr>
            <w:tcW w:w="920" w:type="dxa"/>
            <w:noWrap/>
            <w:hideMark/>
          </w:tcPr>
          <w:p w14:paraId="6388182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59</w:t>
            </w:r>
          </w:p>
        </w:tc>
        <w:tc>
          <w:tcPr>
            <w:tcW w:w="340" w:type="dxa"/>
            <w:noWrap/>
            <w:hideMark/>
          </w:tcPr>
          <w:p w14:paraId="771321A0"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33FDDD5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w:t>
            </w:r>
          </w:p>
        </w:tc>
        <w:tc>
          <w:tcPr>
            <w:tcW w:w="820" w:type="dxa"/>
            <w:noWrap/>
            <w:hideMark/>
          </w:tcPr>
          <w:p w14:paraId="2D20B01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5A0F39C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920" w:type="dxa"/>
            <w:noWrap/>
            <w:hideMark/>
          </w:tcPr>
          <w:p w14:paraId="1527F9E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31</w:t>
            </w:r>
          </w:p>
        </w:tc>
      </w:tr>
      <w:tr w:rsidR="00D45EEE" w:rsidRPr="005303D7" w14:paraId="318BDABE"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4D96ED3C"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Bomet</w:t>
            </w:r>
          </w:p>
        </w:tc>
        <w:tc>
          <w:tcPr>
            <w:tcW w:w="820" w:type="dxa"/>
            <w:noWrap/>
            <w:hideMark/>
          </w:tcPr>
          <w:p w14:paraId="3217F9D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192</w:t>
            </w:r>
          </w:p>
        </w:tc>
        <w:tc>
          <w:tcPr>
            <w:tcW w:w="820" w:type="dxa"/>
            <w:noWrap/>
            <w:hideMark/>
          </w:tcPr>
          <w:p w14:paraId="5CD8FEF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112</w:t>
            </w:r>
          </w:p>
        </w:tc>
        <w:tc>
          <w:tcPr>
            <w:tcW w:w="820" w:type="dxa"/>
            <w:noWrap/>
            <w:hideMark/>
          </w:tcPr>
          <w:p w14:paraId="0BBAB46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89</w:t>
            </w:r>
          </w:p>
        </w:tc>
        <w:tc>
          <w:tcPr>
            <w:tcW w:w="920" w:type="dxa"/>
            <w:noWrap/>
            <w:hideMark/>
          </w:tcPr>
          <w:p w14:paraId="14A7CFB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53</w:t>
            </w:r>
          </w:p>
        </w:tc>
        <w:tc>
          <w:tcPr>
            <w:tcW w:w="340" w:type="dxa"/>
            <w:noWrap/>
            <w:hideMark/>
          </w:tcPr>
          <w:p w14:paraId="04D8D32A"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0D29956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820" w:type="dxa"/>
            <w:noWrap/>
            <w:hideMark/>
          </w:tcPr>
          <w:p w14:paraId="0F554B2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c>
          <w:tcPr>
            <w:tcW w:w="820" w:type="dxa"/>
            <w:noWrap/>
            <w:hideMark/>
          </w:tcPr>
          <w:p w14:paraId="56314D5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3C700C1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w:t>
            </w:r>
          </w:p>
        </w:tc>
      </w:tr>
      <w:tr w:rsidR="00D45EEE" w:rsidRPr="005303D7" w14:paraId="6E9FA684"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5D537A72"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Bungoma</w:t>
            </w:r>
          </w:p>
        </w:tc>
        <w:tc>
          <w:tcPr>
            <w:tcW w:w="820" w:type="dxa"/>
            <w:noWrap/>
            <w:hideMark/>
          </w:tcPr>
          <w:p w14:paraId="668D55E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158</w:t>
            </w:r>
          </w:p>
        </w:tc>
        <w:tc>
          <w:tcPr>
            <w:tcW w:w="820" w:type="dxa"/>
            <w:noWrap/>
            <w:hideMark/>
          </w:tcPr>
          <w:p w14:paraId="5726889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82</w:t>
            </w:r>
          </w:p>
        </w:tc>
        <w:tc>
          <w:tcPr>
            <w:tcW w:w="820" w:type="dxa"/>
            <w:noWrap/>
            <w:hideMark/>
          </w:tcPr>
          <w:p w14:paraId="7C52EFB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74</w:t>
            </w:r>
          </w:p>
        </w:tc>
        <w:tc>
          <w:tcPr>
            <w:tcW w:w="920" w:type="dxa"/>
            <w:noWrap/>
            <w:hideMark/>
          </w:tcPr>
          <w:p w14:paraId="14C3C1D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54</w:t>
            </w:r>
          </w:p>
        </w:tc>
        <w:tc>
          <w:tcPr>
            <w:tcW w:w="340" w:type="dxa"/>
            <w:noWrap/>
            <w:hideMark/>
          </w:tcPr>
          <w:p w14:paraId="34EFED9C"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737B3C5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30</w:t>
            </w:r>
          </w:p>
        </w:tc>
        <w:tc>
          <w:tcPr>
            <w:tcW w:w="820" w:type="dxa"/>
            <w:noWrap/>
            <w:hideMark/>
          </w:tcPr>
          <w:p w14:paraId="59C7623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w:t>
            </w:r>
          </w:p>
        </w:tc>
        <w:tc>
          <w:tcPr>
            <w:tcW w:w="820" w:type="dxa"/>
            <w:noWrap/>
            <w:hideMark/>
          </w:tcPr>
          <w:p w14:paraId="5110059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14.63</w:t>
            </w:r>
          </w:p>
        </w:tc>
        <w:tc>
          <w:tcPr>
            <w:tcW w:w="920" w:type="dxa"/>
            <w:noWrap/>
            <w:hideMark/>
          </w:tcPr>
          <w:p w14:paraId="6EB3465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50</w:t>
            </w:r>
          </w:p>
        </w:tc>
      </w:tr>
      <w:tr w:rsidR="00D45EEE" w:rsidRPr="005303D7" w14:paraId="0BC3C630"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DC40777"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Busia</w:t>
            </w:r>
          </w:p>
        </w:tc>
        <w:tc>
          <w:tcPr>
            <w:tcW w:w="820" w:type="dxa"/>
            <w:noWrap/>
            <w:hideMark/>
          </w:tcPr>
          <w:p w14:paraId="645F67A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173</w:t>
            </w:r>
          </w:p>
        </w:tc>
        <w:tc>
          <w:tcPr>
            <w:tcW w:w="820" w:type="dxa"/>
            <w:noWrap/>
            <w:hideMark/>
          </w:tcPr>
          <w:p w14:paraId="3B1747A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102</w:t>
            </w:r>
          </w:p>
        </w:tc>
        <w:tc>
          <w:tcPr>
            <w:tcW w:w="820" w:type="dxa"/>
            <w:noWrap/>
            <w:hideMark/>
          </w:tcPr>
          <w:p w14:paraId="0724CC6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100</w:t>
            </w:r>
          </w:p>
        </w:tc>
        <w:tc>
          <w:tcPr>
            <w:tcW w:w="920" w:type="dxa"/>
            <w:noWrap/>
            <w:hideMark/>
          </w:tcPr>
          <w:p w14:paraId="29C2532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42</w:t>
            </w:r>
          </w:p>
        </w:tc>
        <w:tc>
          <w:tcPr>
            <w:tcW w:w="340" w:type="dxa"/>
            <w:noWrap/>
            <w:hideMark/>
          </w:tcPr>
          <w:p w14:paraId="1EFBC5F3"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3BE5AE2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33</w:t>
            </w:r>
          </w:p>
        </w:tc>
        <w:tc>
          <w:tcPr>
            <w:tcW w:w="820" w:type="dxa"/>
            <w:noWrap/>
            <w:hideMark/>
          </w:tcPr>
          <w:p w14:paraId="7556F4D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w:t>
            </w:r>
          </w:p>
        </w:tc>
        <w:tc>
          <w:tcPr>
            <w:tcW w:w="820" w:type="dxa"/>
            <w:noWrap/>
            <w:hideMark/>
          </w:tcPr>
          <w:p w14:paraId="23FAF04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920" w:type="dxa"/>
            <w:noWrap/>
            <w:hideMark/>
          </w:tcPr>
          <w:p w14:paraId="6CE0EBD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36</w:t>
            </w:r>
          </w:p>
        </w:tc>
      </w:tr>
      <w:tr w:rsidR="00D45EEE" w:rsidRPr="005303D7" w14:paraId="4943F1A6"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096CC51"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Elgeyo Marakwet</w:t>
            </w:r>
          </w:p>
        </w:tc>
        <w:tc>
          <w:tcPr>
            <w:tcW w:w="820" w:type="dxa"/>
            <w:noWrap/>
            <w:hideMark/>
          </w:tcPr>
          <w:p w14:paraId="6429380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61</w:t>
            </w:r>
          </w:p>
        </w:tc>
        <w:tc>
          <w:tcPr>
            <w:tcW w:w="820" w:type="dxa"/>
            <w:noWrap/>
            <w:hideMark/>
          </w:tcPr>
          <w:p w14:paraId="1C58826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54</w:t>
            </w:r>
          </w:p>
        </w:tc>
        <w:tc>
          <w:tcPr>
            <w:tcW w:w="820" w:type="dxa"/>
            <w:noWrap/>
            <w:hideMark/>
          </w:tcPr>
          <w:p w14:paraId="0A8E581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34</w:t>
            </w:r>
          </w:p>
        </w:tc>
        <w:tc>
          <w:tcPr>
            <w:tcW w:w="920" w:type="dxa"/>
            <w:noWrap/>
            <w:hideMark/>
          </w:tcPr>
          <w:p w14:paraId="11D5710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44</w:t>
            </w:r>
          </w:p>
        </w:tc>
        <w:tc>
          <w:tcPr>
            <w:tcW w:w="340" w:type="dxa"/>
            <w:noWrap/>
            <w:hideMark/>
          </w:tcPr>
          <w:p w14:paraId="445EB047"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7F9D623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820" w:type="dxa"/>
            <w:noWrap/>
            <w:hideMark/>
          </w:tcPr>
          <w:p w14:paraId="53CEC52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3E6F5BD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512310A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w:t>
            </w:r>
          </w:p>
        </w:tc>
      </w:tr>
      <w:tr w:rsidR="00D45EEE" w:rsidRPr="005303D7" w14:paraId="30B36A5C"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4E9A529B"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Embu</w:t>
            </w:r>
          </w:p>
        </w:tc>
        <w:tc>
          <w:tcPr>
            <w:tcW w:w="820" w:type="dxa"/>
            <w:noWrap/>
            <w:hideMark/>
          </w:tcPr>
          <w:p w14:paraId="115FF45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141</w:t>
            </w:r>
          </w:p>
        </w:tc>
        <w:tc>
          <w:tcPr>
            <w:tcW w:w="820" w:type="dxa"/>
            <w:noWrap/>
            <w:hideMark/>
          </w:tcPr>
          <w:p w14:paraId="292D033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100</w:t>
            </w:r>
          </w:p>
        </w:tc>
        <w:tc>
          <w:tcPr>
            <w:tcW w:w="820" w:type="dxa"/>
            <w:noWrap/>
            <w:hideMark/>
          </w:tcPr>
          <w:p w14:paraId="3EE0765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111</w:t>
            </w:r>
          </w:p>
        </w:tc>
        <w:tc>
          <w:tcPr>
            <w:tcW w:w="920" w:type="dxa"/>
            <w:noWrap/>
            <w:hideMark/>
          </w:tcPr>
          <w:p w14:paraId="4428FE5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340" w:type="dxa"/>
            <w:noWrap/>
            <w:hideMark/>
          </w:tcPr>
          <w:p w14:paraId="73B2FAF1"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3451E27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820" w:type="dxa"/>
            <w:noWrap/>
            <w:hideMark/>
          </w:tcPr>
          <w:p w14:paraId="446AC7D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w:t>
            </w:r>
          </w:p>
        </w:tc>
        <w:tc>
          <w:tcPr>
            <w:tcW w:w="820" w:type="dxa"/>
            <w:noWrap/>
            <w:hideMark/>
          </w:tcPr>
          <w:p w14:paraId="4F80D18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920" w:type="dxa"/>
            <w:noWrap/>
            <w:hideMark/>
          </w:tcPr>
          <w:p w14:paraId="1BF2124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r>
      <w:tr w:rsidR="00D45EEE" w:rsidRPr="005303D7" w14:paraId="0CB22524"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E0412FA"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Garissa</w:t>
            </w:r>
          </w:p>
        </w:tc>
        <w:tc>
          <w:tcPr>
            <w:tcW w:w="820" w:type="dxa"/>
            <w:noWrap/>
            <w:hideMark/>
          </w:tcPr>
          <w:p w14:paraId="2D58EC9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287</w:t>
            </w:r>
          </w:p>
        </w:tc>
        <w:tc>
          <w:tcPr>
            <w:tcW w:w="820" w:type="dxa"/>
            <w:noWrap/>
            <w:hideMark/>
          </w:tcPr>
          <w:p w14:paraId="4778584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289</w:t>
            </w:r>
          </w:p>
        </w:tc>
        <w:tc>
          <w:tcPr>
            <w:tcW w:w="820" w:type="dxa"/>
            <w:noWrap/>
            <w:hideMark/>
          </w:tcPr>
          <w:p w14:paraId="6EE09C2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271</w:t>
            </w:r>
          </w:p>
        </w:tc>
        <w:tc>
          <w:tcPr>
            <w:tcW w:w="920" w:type="dxa"/>
            <w:noWrap/>
            <w:hideMark/>
          </w:tcPr>
          <w:p w14:paraId="39D43D2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w:t>
            </w:r>
          </w:p>
        </w:tc>
        <w:tc>
          <w:tcPr>
            <w:tcW w:w="340" w:type="dxa"/>
            <w:noWrap/>
            <w:hideMark/>
          </w:tcPr>
          <w:p w14:paraId="1E3A8358"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45CD84B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7869075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820" w:type="dxa"/>
            <w:noWrap/>
            <w:hideMark/>
          </w:tcPr>
          <w:p w14:paraId="704C856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w:t>
            </w:r>
          </w:p>
        </w:tc>
        <w:tc>
          <w:tcPr>
            <w:tcW w:w="920" w:type="dxa"/>
            <w:noWrap/>
            <w:hideMark/>
          </w:tcPr>
          <w:p w14:paraId="42A69BC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r>
      <w:tr w:rsidR="00D45EEE" w:rsidRPr="005303D7" w14:paraId="10115326"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29478A61"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Homa Bay</w:t>
            </w:r>
          </w:p>
        </w:tc>
        <w:tc>
          <w:tcPr>
            <w:tcW w:w="820" w:type="dxa"/>
            <w:noWrap/>
            <w:hideMark/>
          </w:tcPr>
          <w:p w14:paraId="38947CD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126</w:t>
            </w:r>
          </w:p>
        </w:tc>
        <w:tc>
          <w:tcPr>
            <w:tcW w:w="820" w:type="dxa"/>
            <w:noWrap/>
            <w:hideMark/>
          </w:tcPr>
          <w:p w14:paraId="3385F02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91</w:t>
            </w:r>
          </w:p>
        </w:tc>
        <w:tc>
          <w:tcPr>
            <w:tcW w:w="820" w:type="dxa"/>
            <w:noWrap/>
            <w:hideMark/>
          </w:tcPr>
          <w:p w14:paraId="345B4D9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87</w:t>
            </w:r>
          </w:p>
        </w:tc>
        <w:tc>
          <w:tcPr>
            <w:tcW w:w="920" w:type="dxa"/>
            <w:noWrap/>
            <w:hideMark/>
          </w:tcPr>
          <w:p w14:paraId="2DBCFEB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31</w:t>
            </w:r>
          </w:p>
        </w:tc>
        <w:tc>
          <w:tcPr>
            <w:tcW w:w="340" w:type="dxa"/>
            <w:noWrap/>
            <w:hideMark/>
          </w:tcPr>
          <w:p w14:paraId="46837570"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3C3D18D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w:t>
            </w:r>
          </w:p>
        </w:tc>
        <w:tc>
          <w:tcPr>
            <w:tcW w:w="820" w:type="dxa"/>
            <w:noWrap/>
            <w:hideMark/>
          </w:tcPr>
          <w:p w14:paraId="0EEDB63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w:t>
            </w:r>
          </w:p>
        </w:tc>
        <w:tc>
          <w:tcPr>
            <w:tcW w:w="820" w:type="dxa"/>
            <w:noWrap/>
            <w:hideMark/>
          </w:tcPr>
          <w:p w14:paraId="5073F68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w:t>
            </w:r>
          </w:p>
        </w:tc>
        <w:tc>
          <w:tcPr>
            <w:tcW w:w="920" w:type="dxa"/>
            <w:noWrap/>
            <w:hideMark/>
          </w:tcPr>
          <w:p w14:paraId="0BC4983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44</w:t>
            </w:r>
          </w:p>
        </w:tc>
      </w:tr>
      <w:tr w:rsidR="00D45EEE" w:rsidRPr="005303D7" w14:paraId="58F66700"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3AF9D5E" w14:textId="77777777" w:rsidR="00D45EEE" w:rsidRPr="00D45EEE" w:rsidRDefault="00D45EEE" w:rsidP="00077BB4">
            <w:pPr>
              <w:rPr>
                <w:rFonts w:ascii="Calibri" w:eastAsia="Times New Roman" w:hAnsi="Calibri" w:cs="Calibri"/>
                <w:kern w:val="0"/>
                <w:sz w:val="18"/>
                <w:szCs w:val="18"/>
                <w:lang w:eastAsia="en-CA"/>
                <w14:ligatures w14:val="none"/>
              </w:rPr>
            </w:pPr>
            <w:proofErr w:type="spellStart"/>
            <w:r w:rsidRPr="00D45EEE">
              <w:rPr>
                <w:rFonts w:ascii="Calibri" w:eastAsia="Times New Roman" w:hAnsi="Calibri" w:cs="Calibri"/>
                <w:kern w:val="0"/>
                <w:sz w:val="18"/>
                <w:szCs w:val="18"/>
                <w:lang w:eastAsia="en-CA"/>
                <w14:ligatures w14:val="none"/>
              </w:rPr>
              <w:t>Isiolo</w:t>
            </w:r>
            <w:proofErr w:type="spellEnd"/>
          </w:p>
        </w:tc>
        <w:tc>
          <w:tcPr>
            <w:tcW w:w="820" w:type="dxa"/>
            <w:noWrap/>
            <w:hideMark/>
          </w:tcPr>
          <w:p w14:paraId="0334DA5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259</w:t>
            </w:r>
          </w:p>
        </w:tc>
        <w:tc>
          <w:tcPr>
            <w:tcW w:w="820" w:type="dxa"/>
            <w:noWrap/>
            <w:hideMark/>
          </w:tcPr>
          <w:p w14:paraId="1DA9287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152</w:t>
            </w:r>
          </w:p>
        </w:tc>
        <w:tc>
          <w:tcPr>
            <w:tcW w:w="820" w:type="dxa"/>
            <w:noWrap/>
            <w:hideMark/>
          </w:tcPr>
          <w:p w14:paraId="7D82A73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165</w:t>
            </w:r>
          </w:p>
        </w:tc>
        <w:tc>
          <w:tcPr>
            <w:tcW w:w="920" w:type="dxa"/>
            <w:noWrap/>
            <w:hideMark/>
          </w:tcPr>
          <w:p w14:paraId="1856B49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36</w:t>
            </w:r>
          </w:p>
        </w:tc>
        <w:tc>
          <w:tcPr>
            <w:tcW w:w="340" w:type="dxa"/>
            <w:noWrap/>
            <w:hideMark/>
          </w:tcPr>
          <w:p w14:paraId="515BC2C7"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484C1AA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c>
          <w:tcPr>
            <w:tcW w:w="820" w:type="dxa"/>
            <w:noWrap/>
            <w:hideMark/>
          </w:tcPr>
          <w:p w14:paraId="2AA7EBD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w:t>
            </w:r>
          </w:p>
        </w:tc>
        <w:tc>
          <w:tcPr>
            <w:tcW w:w="820" w:type="dxa"/>
            <w:noWrap/>
            <w:hideMark/>
          </w:tcPr>
          <w:p w14:paraId="070E4E4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920" w:type="dxa"/>
            <w:noWrap/>
            <w:hideMark/>
          </w:tcPr>
          <w:p w14:paraId="4ADE9B3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w:t>
            </w:r>
          </w:p>
        </w:tc>
      </w:tr>
      <w:tr w:rsidR="00D45EEE" w:rsidRPr="005303D7" w14:paraId="36D99D6D"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FDA3DCB"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Kajiado</w:t>
            </w:r>
          </w:p>
        </w:tc>
        <w:tc>
          <w:tcPr>
            <w:tcW w:w="820" w:type="dxa"/>
            <w:noWrap/>
            <w:hideMark/>
          </w:tcPr>
          <w:p w14:paraId="728189E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130</w:t>
            </w:r>
          </w:p>
        </w:tc>
        <w:tc>
          <w:tcPr>
            <w:tcW w:w="820" w:type="dxa"/>
            <w:noWrap/>
            <w:hideMark/>
          </w:tcPr>
          <w:p w14:paraId="6E9572F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97</w:t>
            </w:r>
          </w:p>
        </w:tc>
        <w:tc>
          <w:tcPr>
            <w:tcW w:w="820" w:type="dxa"/>
            <w:noWrap/>
            <w:hideMark/>
          </w:tcPr>
          <w:p w14:paraId="766818D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68</w:t>
            </w:r>
          </w:p>
        </w:tc>
        <w:tc>
          <w:tcPr>
            <w:tcW w:w="920" w:type="dxa"/>
            <w:noWrap/>
            <w:hideMark/>
          </w:tcPr>
          <w:p w14:paraId="128CCE7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48</w:t>
            </w:r>
          </w:p>
        </w:tc>
        <w:tc>
          <w:tcPr>
            <w:tcW w:w="340" w:type="dxa"/>
            <w:noWrap/>
            <w:hideMark/>
          </w:tcPr>
          <w:p w14:paraId="3EDA4CAE"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57BC7CB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46</w:t>
            </w:r>
          </w:p>
        </w:tc>
        <w:tc>
          <w:tcPr>
            <w:tcW w:w="820" w:type="dxa"/>
            <w:noWrap/>
            <w:hideMark/>
          </w:tcPr>
          <w:p w14:paraId="75083EB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820" w:type="dxa"/>
            <w:noWrap/>
            <w:hideMark/>
          </w:tcPr>
          <w:p w14:paraId="585B811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920" w:type="dxa"/>
            <w:noWrap/>
            <w:hideMark/>
          </w:tcPr>
          <w:p w14:paraId="49755F6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59</w:t>
            </w:r>
          </w:p>
        </w:tc>
      </w:tr>
      <w:tr w:rsidR="00D45EEE" w:rsidRPr="005303D7" w14:paraId="16B986A6"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5579427A"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lastRenderedPageBreak/>
              <w:t>Kakamega</w:t>
            </w:r>
          </w:p>
        </w:tc>
        <w:tc>
          <w:tcPr>
            <w:tcW w:w="820" w:type="dxa"/>
            <w:noWrap/>
            <w:hideMark/>
          </w:tcPr>
          <w:p w14:paraId="27F8210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153</w:t>
            </w:r>
          </w:p>
        </w:tc>
        <w:tc>
          <w:tcPr>
            <w:tcW w:w="820" w:type="dxa"/>
            <w:noWrap/>
            <w:hideMark/>
          </w:tcPr>
          <w:p w14:paraId="7517FA2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98</w:t>
            </w:r>
          </w:p>
        </w:tc>
        <w:tc>
          <w:tcPr>
            <w:tcW w:w="820" w:type="dxa"/>
            <w:noWrap/>
            <w:hideMark/>
          </w:tcPr>
          <w:p w14:paraId="33E4D0F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95</w:t>
            </w:r>
          </w:p>
        </w:tc>
        <w:tc>
          <w:tcPr>
            <w:tcW w:w="920" w:type="dxa"/>
            <w:noWrap/>
            <w:hideMark/>
          </w:tcPr>
          <w:p w14:paraId="6C312DB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38</w:t>
            </w:r>
          </w:p>
        </w:tc>
        <w:tc>
          <w:tcPr>
            <w:tcW w:w="340" w:type="dxa"/>
            <w:noWrap/>
            <w:hideMark/>
          </w:tcPr>
          <w:p w14:paraId="35B439E6"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5E1DF3C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820" w:type="dxa"/>
            <w:noWrap/>
            <w:hideMark/>
          </w:tcPr>
          <w:p w14:paraId="3E1F427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50448E4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920" w:type="dxa"/>
            <w:noWrap/>
            <w:hideMark/>
          </w:tcPr>
          <w:p w14:paraId="7113914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36</w:t>
            </w:r>
          </w:p>
        </w:tc>
      </w:tr>
      <w:tr w:rsidR="00D45EEE" w:rsidRPr="005303D7" w14:paraId="426A4D60"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66F3BC9"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Kericho</w:t>
            </w:r>
          </w:p>
        </w:tc>
        <w:tc>
          <w:tcPr>
            <w:tcW w:w="820" w:type="dxa"/>
            <w:noWrap/>
            <w:hideMark/>
          </w:tcPr>
          <w:p w14:paraId="545571A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96</w:t>
            </w:r>
          </w:p>
        </w:tc>
        <w:tc>
          <w:tcPr>
            <w:tcW w:w="820" w:type="dxa"/>
            <w:noWrap/>
            <w:hideMark/>
          </w:tcPr>
          <w:p w14:paraId="6CF6C3A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83</w:t>
            </w:r>
          </w:p>
        </w:tc>
        <w:tc>
          <w:tcPr>
            <w:tcW w:w="820" w:type="dxa"/>
            <w:noWrap/>
            <w:hideMark/>
          </w:tcPr>
          <w:p w14:paraId="51BCB44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100</w:t>
            </w:r>
          </w:p>
        </w:tc>
        <w:tc>
          <w:tcPr>
            <w:tcW w:w="920" w:type="dxa"/>
            <w:noWrap/>
            <w:hideMark/>
          </w:tcPr>
          <w:p w14:paraId="4F5D2D7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w:t>
            </w:r>
          </w:p>
        </w:tc>
        <w:tc>
          <w:tcPr>
            <w:tcW w:w="340" w:type="dxa"/>
            <w:noWrap/>
            <w:hideMark/>
          </w:tcPr>
          <w:p w14:paraId="44A5D2A5"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288EE86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30</w:t>
            </w:r>
          </w:p>
        </w:tc>
        <w:tc>
          <w:tcPr>
            <w:tcW w:w="820" w:type="dxa"/>
            <w:noWrap/>
            <w:hideMark/>
          </w:tcPr>
          <w:p w14:paraId="0D7740F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820" w:type="dxa"/>
            <w:noWrap/>
            <w:hideMark/>
          </w:tcPr>
          <w:p w14:paraId="3304136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920" w:type="dxa"/>
            <w:noWrap/>
            <w:hideMark/>
          </w:tcPr>
          <w:p w14:paraId="3E684D4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r>
      <w:tr w:rsidR="00D45EEE" w:rsidRPr="005303D7" w14:paraId="0A121D74"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32743E1"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Kiambu</w:t>
            </w:r>
          </w:p>
        </w:tc>
        <w:tc>
          <w:tcPr>
            <w:tcW w:w="820" w:type="dxa"/>
            <w:noWrap/>
            <w:hideMark/>
          </w:tcPr>
          <w:p w14:paraId="1463C6B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82</w:t>
            </w:r>
          </w:p>
        </w:tc>
        <w:tc>
          <w:tcPr>
            <w:tcW w:w="820" w:type="dxa"/>
            <w:noWrap/>
            <w:hideMark/>
          </w:tcPr>
          <w:p w14:paraId="52CB01E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70</w:t>
            </w:r>
          </w:p>
        </w:tc>
        <w:tc>
          <w:tcPr>
            <w:tcW w:w="820" w:type="dxa"/>
            <w:noWrap/>
            <w:hideMark/>
          </w:tcPr>
          <w:p w14:paraId="51148D8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61</w:t>
            </w:r>
          </w:p>
        </w:tc>
        <w:tc>
          <w:tcPr>
            <w:tcW w:w="920" w:type="dxa"/>
            <w:noWrap/>
            <w:hideMark/>
          </w:tcPr>
          <w:p w14:paraId="1C85432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c>
          <w:tcPr>
            <w:tcW w:w="340" w:type="dxa"/>
            <w:noWrap/>
            <w:hideMark/>
          </w:tcPr>
          <w:p w14:paraId="3F6D752D"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535028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820" w:type="dxa"/>
            <w:noWrap/>
            <w:hideMark/>
          </w:tcPr>
          <w:p w14:paraId="3DAFFF2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820" w:type="dxa"/>
            <w:noWrap/>
            <w:hideMark/>
          </w:tcPr>
          <w:p w14:paraId="23DCD89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w:t>
            </w:r>
          </w:p>
        </w:tc>
        <w:tc>
          <w:tcPr>
            <w:tcW w:w="920" w:type="dxa"/>
            <w:noWrap/>
            <w:hideMark/>
          </w:tcPr>
          <w:p w14:paraId="6A6D9C4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r>
      <w:tr w:rsidR="00D45EEE" w:rsidRPr="005303D7" w14:paraId="26C8C1F5"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40098B2"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Kilifi</w:t>
            </w:r>
          </w:p>
        </w:tc>
        <w:tc>
          <w:tcPr>
            <w:tcW w:w="820" w:type="dxa"/>
            <w:noWrap/>
            <w:hideMark/>
          </w:tcPr>
          <w:p w14:paraId="55EECF4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159</w:t>
            </w:r>
          </w:p>
        </w:tc>
        <w:tc>
          <w:tcPr>
            <w:tcW w:w="820" w:type="dxa"/>
            <w:noWrap/>
            <w:hideMark/>
          </w:tcPr>
          <w:p w14:paraId="45930FA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100</w:t>
            </w:r>
          </w:p>
        </w:tc>
        <w:tc>
          <w:tcPr>
            <w:tcW w:w="820" w:type="dxa"/>
            <w:noWrap/>
            <w:hideMark/>
          </w:tcPr>
          <w:p w14:paraId="35CBE48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121</w:t>
            </w:r>
          </w:p>
        </w:tc>
        <w:tc>
          <w:tcPr>
            <w:tcW w:w="920" w:type="dxa"/>
            <w:noWrap/>
            <w:hideMark/>
          </w:tcPr>
          <w:p w14:paraId="6A0B536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340" w:type="dxa"/>
            <w:noWrap/>
            <w:hideMark/>
          </w:tcPr>
          <w:p w14:paraId="4F8C7FDF"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5C1270D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38</w:t>
            </w:r>
          </w:p>
        </w:tc>
        <w:tc>
          <w:tcPr>
            <w:tcW w:w="820" w:type="dxa"/>
            <w:noWrap/>
            <w:hideMark/>
          </w:tcPr>
          <w:p w14:paraId="4A7FD85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29</w:t>
            </w:r>
          </w:p>
        </w:tc>
        <w:tc>
          <w:tcPr>
            <w:tcW w:w="820" w:type="dxa"/>
            <w:noWrap/>
            <w:hideMark/>
          </w:tcPr>
          <w:p w14:paraId="259BABE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c>
          <w:tcPr>
            <w:tcW w:w="920" w:type="dxa"/>
            <w:noWrap/>
            <w:hideMark/>
          </w:tcPr>
          <w:p w14:paraId="601F2B3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42</w:t>
            </w:r>
          </w:p>
        </w:tc>
      </w:tr>
      <w:tr w:rsidR="00D45EEE" w:rsidRPr="005303D7" w14:paraId="28C4379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EC58E98"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Kirinyaga</w:t>
            </w:r>
          </w:p>
        </w:tc>
        <w:tc>
          <w:tcPr>
            <w:tcW w:w="820" w:type="dxa"/>
            <w:noWrap/>
            <w:hideMark/>
          </w:tcPr>
          <w:p w14:paraId="7BFC5F1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79</w:t>
            </w:r>
          </w:p>
        </w:tc>
        <w:tc>
          <w:tcPr>
            <w:tcW w:w="820" w:type="dxa"/>
            <w:noWrap/>
            <w:hideMark/>
          </w:tcPr>
          <w:p w14:paraId="1BD8072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82</w:t>
            </w:r>
          </w:p>
        </w:tc>
        <w:tc>
          <w:tcPr>
            <w:tcW w:w="820" w:type="dxa"/>
            <w:noWrap/>
            <w:hideMark/>
          </w:tcPr>
          <w:p w14:paraId="49969C3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89</w:t>
            </w:r>
          </w:p>
        </w:tc>
        <w:tc>
          <w:tcPr>
            <w:tcW w:w="920" w:type="dxa"/>
            <w:noWrap/>
            <w:hideMark/>
          </w:tcPr>
          <w:p w14:paraId="31F39CE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w:t>
            </w:r>
          </w:p>
        </w:tc>
        <w:tc>
          <w:tcPr>
            <w:tcW w:w="340" w:type="dxa"/>
            <w:noWrap/>
            <w:hideMark/>
          </w:tcPr>
          <w:p w14:paraId="69D84414"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28B8A98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820" w:type="dxa"/>
            <w:noWrap/>
            <w:hideMark/>
          </w:tcPr>
          <w:p w14:paraId="4F4B857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w:t>
            </w:r>
          </w:p>
        </w:tc>
        <w:tc>
          <w:tcPr>
            <w:tcW w:w="820" w:type="dxa"/>
            <w:noWrap/>
            <w:hideMark/>
          </w:tcPr>
          <w:p w14:paraId="1F4C0AA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920" w:type="dxa"/>
            <w:noWrap/>
            <w:hideMark/>
          </w:tcPr>
          <w:p w14:paraId="4340D1F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w:t>
            </w:r>
          </w:p>
        </w:tc>
      </w:tr>
      <w:tr w:rsidR="00D45EEE" w:rsidRPr="005303D7" w14:paraId="03F7BD15"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A95788C"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Kisii</w:t>
            </w:r>
          </w:p>
        </w:tc>
        <w:tc>
          <w:tcPr>
            <w:tcW w:w="820" w:type="dxa"/>
            <w:noWrap/>
            <w:hideMark/>
          </w:tcPr>
          <w:p w14:paraId="233E3A6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90</w:t>
            </w:r>
          </w:p>
        </w:tc>
        <w:tc>
          <w:tcPr>
            <w:tcW w:w="820" w:type="dxa"/>
            <w:noWrap/>
            <w:hideMark/>
          </w:tcPr>
          <w:p w14:paraId="2554177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95</w:t>
            </w:r>
          </w:p>
        </w:tc>
        <w:tc>
          <w:tcPr>
            <w:tcW w:w="820" w:type="dxa"/>
            <w:noWrap/>
            <w:hideMark/>
          </w:tcPr>
          <w:p w14:paraId="26157FC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118</w:t>
            </w:r>
          </w:p>
        </w:tc>
        <w:tc>
          <w:tcPr>
            <w:tcW w:w="920" w:type="dxa"/>
            <w:noWrap/>
            <w:hideMark/>
          </w:tcPr>
          <w:p w14:paraId="21D3FB0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-31</w:t>
            </w:r>
          </w:p>
        </w:tc>
        <w:tc>
          <w:tcPr>
            <w:tcW w:w="340" w:type="dxa"/>
            <w:noWrap/>
            <w:hideMark/>
          </w:tcPr>
          <w:p w14:paraId="5C52913D"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69AAC7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w:t>
            </w:r>
          </w:p>
        </w:tc>
        <w:tc>
          <w:tcPr>
            <w:tcW w:w="820" w:type="dxa"/>
            <w:noWrap/>
            <w:hideMark/>
          </w:tcPr>
          <w:p w14:paraId="56D86E1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820" w:type="dxa"/>
            <w:noWrap/>
            <w:hideMark/>
          </w:tcPr>
          <w:p w14:paraId="480415B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12.39</w:t>
            </w:r>
          </w:p>
        </w:tc>
        <w:tc>
          <w:tcPr>
            <w:tcW w:w="920" w:type="dxa"/>
            <w:noWrap/>
            <w:hideMark/>
          </w:tcPr>
          <w:p w14:paraId="5FC0D6A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30</w:t>
            </w:r>
          </w:p>
        </w:tc>
      </w:tr>
      <w:tr w:rsidR="00D45EEE" w:rsidRPr="005303D7" w14:paraId="7CA3DBA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521D7E22"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Kisumu</w:t>
            </w:r>
          </w:p>
        </w:tc>
        <w:tc>
          <w:tcPr>
            <w:tcW w:w="820" w:type="dxa"/>
            <w:noWrap/>
            <w:hideMark/>
          </w:tcPr>
          <w:p w14:paraId="507CBE5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197</w:t>
            </w:r>
          </w:p>
        </w:tc>
        <w:tc>
          <w:tcPr>
            <w:tcW w:w="820" w:type="dxa"/>
            <w:noWrap/>
            <w:hideMark/>
          </w:tcPr>
          <w:p w14:paraId="5C9EB6D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184</w:t>
            </w:r>
          </w:p>
        </w:tc>
        <w:tc>
          <w:tcPr>
            <w:tcW w:w="820" w:type="dxa"/>
            <w:noWrap/>
            <w:hideMark/>
          </w:tcPr>
          <w:p w14:paraId="4FDA436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177</w:t>
            </w:r>
          </w:p>
        </w:tc>
        <w:tc>
          <w:tcPr>
            <w:tcW w:w="920" w:type="dxa"/>
            <w:noWrap/>
            <w:hideMark/>
          </w:tcPr>
          <w:p w14:paraId="0357CD3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w:t>
            </w:r>
          </w:p>
        </w:tc>
        <w:tc>
          <w:tcPr>
            <w:tcW w:w="340" w:type="dxa"/>
            <w:noWrap/>
            <w:hideMark/>
          </w:tcPr>
          <w:p w14:paraId="5A6761F5"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4B25E4B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w:t>
            </w:r>
          </w:p>
        </w:tc>
        <w:tc>
          <w:tcPr>
            <w:tcW w:w="820" w:type="dxa"/>
            <w:noWrap/>
            <w:hideMark/>
          </w:tcPr>
          <w:p w14:paraId="07C361B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820" w:type="dxa"/>
            <w:noWrap/>
            <w:hideMark/>
          </w:tcPr>
          <w:p w14:paraId="6D87CC1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0DAE8EA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38</w:t>
            </w:r>
          </w:p>
        </w:tc>
      </w:tr>
      <w:tr w:rsidR="00D45EEE" w:rsidRPr="005303D7" w14:paraId="4695365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352EBC4F"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Kitui</w:t>
            </w:r>
          </w:p>
        </w:tc>
        <w:tc>
          <w:tcPr>
            <w:tcW w:w="820" w:type="dxa"/>
            <w:noWrap/>
            <w:hideMark/>
          </w:tcPr>
          <w:p w14:paraId="5CFAFB5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155</w:t>
            </w:r>
          </w:p>
        </w:tc>
        <w:tc>
          <w:tcPr>
            <w:tcW w:w="820" w:type="dxa"/>
            <w:noWrap/>
            <w:hideMark/>
          </w:tcPr>
          <w:p w14:paraId="23890DE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105</w:t>
            </w:r>
          </w:p>
        </w:tc>
        <w:tc>
          <w:tcPr>
            <w:tcW w:w="820" w:type="dxa"/>
            <w:noWrap/>
            <w:hideMark/>
          </w:tcPr>
          <w:p w14:paraId="5BE618F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102</w:t>
            </w:r>
          </w:p>
        </w:tc>
        <w:tc>
          <w:tcPr>
            <w:tcW w:w="920" w:type="dxa"/>
            <w:noWrap/>
            <w:hideMark/>
          </w:tcPr>
          <w:p w14:paraId="2558F70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34</w:t>
            </w:r>
          </w:p>
        </w:tc>
        <w:tc>
          <w:tcPr>
            <w:tcW w:w="340" w:type="dxa"/>
            <w:noWrap/>
            <w:hideMark/>
          </w:tcPr>
          <w:p w14:paraId="610A8B75"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C94EA4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c>
          <w:tcPr>
            <w:tcW w:w="820" w:type="dxa"/>
            <w:noWrap/>
            <w:hideMark/>
          </w:tcPr>
          <w:p w14:paraId="27EBCF4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820" w:type="dxa"/>
            <w:noWrap/>
            <w:hideMark/>
          </w:tcPr>
          <w:p w14:paraId="1C7AAC0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29268A5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r>
      <w:tr w:rsidR="00D45EEE" w:rsidRPr="005303D7" w14:paraId="708763C9"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5529D8A"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Kwale</w:t>
            </w:r>
          </w:p>
        </w:tc>
        <w:tc>
          <w:tcPr>
            <w:tcW w:w="820" w:type="dxa"/>
            <w:noWrap/>
            <w:hideMark/>
          </w:tcPr>
          <w:p w14:paraId="2D72B39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138</w:t>
            </w:r>
          </w:p>
        </w:tc>
        <w:tc>
          <w:tcPr>
            <w:tcW w:w="820" w:type="dxa"/>
            <w:noWrap/>
            <w:hideMark/>
          </w:tcPr>
          <w:p w14:paraId="2460766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143</w:t>
            </w:r>
          </w:p>
        </w:tc>
        <w:tc>
          <w:tcPr>
            <w:tcW w:w="820" w:type="dxa"/>
            <w:noWrap/>
            <w:hideMark/>
          </w:tcPr>
          <w:p w14:paraId="23AA4ED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109</w:t>
            </w:r>
          </w:p>
        </w:tc>
        <w:tc>
          <w:tcPr>
            <w:tcW w:w="920" w:type="dxa"/>
            <w:noWrap/>
            <w:hideMark/>
          </w:tcPr>
          <w:p w14:paraId="57A0562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340" w:type="dxa"/>
            <w:noWrap/>
            <w:hideMark/>
          </w:tcPr>
          <w:p w14:paraId="3D158576"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7DADC64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36</w:t>
            </w:r>
          </w:p>
        </w:tc>
        <w:tc>
          <w:tcPr>
            <w:tcW w:w="820" w:type="dxa"/>
            <w:noWrap/>
            <w:hideMark/>
          </w:tcPr>
          <w:p w14:paraId="0E9D47E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820" w:type="dxa"/>
            <w:noWrap/>
            <w:hideMark/>
          </w:tcPr>
          <w:p w14:paraId="42DCFB6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32A49F7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43</w:t>
            </w:r>
          </w:p>
        </w:tc>
      </w:tr>
      <w:tr w:rsidR="00D45EEE" w:rsidRPr="005303D7" w14:paraId="0DF45F7D"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150C0D02"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Laikipia</w:t>
            </w:r>
          </w:p>
        </w:tc>
        <w:tc>
          <w:tcPr>
            <w:tcW w:w="820" w:type="dxa"/>
            <w:noWrap/>
            <w:hideMark/>
          </w:tcPr>
          <w:p w14:paraId="0A5BCA4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143</w:t>
            </w:r>
          </w:p>
        </w:tc>
        <w:tc>
          <w:tcPr>
            <w:tcW w:w="820" w:type="dxa"/>
            <w:noWrap/>
            <w:hideMark/>
          </w:tcPr>
          <w:p w14:paraId="7E6C341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99</w:t>
            </w:r>
          </w:p>
        </w:tc>
        <w:tc>
          <w:tcPr>
            <w:tcW w:w="820" w:type="dxa"/>
            <w:noWrap/>
            <w:hideMark/>
          </w:tcPr>
          <w:p w14:paraId="1816A9C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90</w:t>
            </w:r>
          </w:p>
        </w:tc>
        <w:tc>
          <w:tcPr>
            <w:tcW w:w="920" w:type="dxa"/>
            <w:noWrap/>
            <w:hideMark/>
          </w:tcPr>
          <w:p w14:paraId="387BE7E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37</w:t>
            </w:r>
          </w:p>
        </w:tc>
        <w:tc>
          <w:tcPr>
            <w:tcW w:w="340" w:type="dxa"/>
            <w:noWrap/>
            <w:hideMark/>
          </w:tcPr>
          <w:p w14:paraId="047D1E28"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4EFA9AB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820" w:type="dxa"/>
            <w:noWrap/>
            <w:hideMark/>
          </w:tcPr>
          <w:p w14:paraId="7F0DD1B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c>
          <w:tcPr>
            <w:tcW w:w="820" w:type="dxa"/>
            <w:noWrap/>
            <w:hideMark/>
          </w:tcPr>
          <w:p w14:paraId="5034448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920" w:type="dxa"/>
            <w:noWrap/>
            <w:hideMark/>
          </w:tcPr>
          <w:p w14:paraId="00350B0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w:t>
            </w:r>
          </w:p>
        </w:tc>
      </w:tr>
      <w:tr w:rsidR="00D45EEE" w:rsidRPr="005303D7" w14:paraId="5AB8B071"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2FFF961"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Lamu</w:t>
            </w:r>
          </w:p>
        </w:tc>
        <w:tc>
          <w:tcPr>
            <w:tcW w:w="820" w:type="dxa"/>
            <w:noWrap/>
            <w:hideMark/>
          </w:tcPr>
          <w:p w14:paraId="610EE49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325</w:t>
            </w:r>
          </w:p>
        </w:tc>
        <w:tc>
          <w:tcPr>
            <w:tcW w:w="820" w:type="dxa"/>
            <w:noWrap/>
            <w:hideMark/>
          </w:tcPr>
          <w:p w14:paraId="13639B7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253</w:t>
            </w:r>
          </w:p>
        </w:tc>
        <w:tc>
          <w:tcPr>
            <w:tcW w:w="820" w:type="dxa"/>
            <w:noWrap/>
            <w:hideMark/>
          </w:tcPr>
          <w:p w14:paraId="6F5009A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112</w:t>
            </w:r>
          </w:p>
        </w:tc>
        <w:tc>
          <w:tcPr>
            <w:tcW w:w="920" w:type="dxa"/>
            <w:noWrap/>
            <w:hideMark/>
          </w:tcPr>
          <w:p w14:paraId="6C90562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65</w:t>
            </w:r>
          </w:p>
        </w:tc>
        <w:tc>
          <w:tcPr>
            <w:tcW w:w="340" w:type="dxa"/>
            <w:noWrap/>
            <w:hideMark/>
          </w:tcPr>
          <w:p w14:paraId="78467022"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4148B15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39</w:t>
            </w:r>
          </w:p>
        </w:tc>
        <w:tc>
          <w:tcPr>
            <w:tcW w:w="820" w:type="dxa"/>
            <w:noWrap/>
            <w:hideMark/>
          </w:tcPr>
          <w:p w14:paraId="1CC7A96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34</w:t>
            </w:r>
          </w:p>
        </w:tc>
        <w:tc>
          <w:tcPr>
            <w:tcW w:w="820" w:type="dxa"/>
            <w:noWrap/>
            <w:hideMark/>
          </w:tcPr>
          <w:p w14:paraId="32BB802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920" w:type="dxa"/>
            <w:noWrap/>
            <w:hideMark/>
          </w:tcPr>
          <w:p w14:paraId="5E2F616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29</w:t>
            </w:r>
          </w:p>
        </w:tc>
      </w:tr>
      <w:tr w:rsidR="00D45EEE" w:rsidRPr="005303D7" w14:paraId="2DA53EE2"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A55BAD6"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Machakos</w:t>
            </w:r>
          </w:p>
        </w:tc>
        <w:tc>
          <w:tcPr>
            <w:tcW w:w="820" w:type="dxa"/>
            <w:noWrap/>
            <w:hideMark/>
          </w:tcPr>
          <w:p w14:paraId="45ED912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99</w:t>
            </w:r>
          </w:p>
        </w:tc>
        <w:tc>
          <w:tcPr>
            <w:tcW w:w="820" w:type="dxa"/>
            <w:noWrap/>
            <w:hideMark/>
          </w:tcPr>
          <w:p w14:paraId="45E5CD0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66</w:t>
            </w:r>
          </w:p>
        </w:tc>
        <w:tc>
          <w:tcPr>
            <w:tcW w:w="820" w:type="dxa"/>
            <w:noWrap/>
            <w:hideMark/>
          </w:tcPr>
          <w:p w14:paraId="1BF81D5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102</w:t>
            </w:r>
          </w:p>
        </w:tc>
        <w:tc>
          <w:tcPr>
            <w:tcW w:w="920" w:type="dxa"/>
            <w:noWrap/>
            <w:hideMark/>
          </w:tcPr>
          <w:p w14:paraId="1889DC6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w:t>
            </w:r>
          </w:p>
        </w:tc>
        <w:tc>
          <w:tcPr>
            <w:tcW w:w="340" w:type="dxa"/>
            <w:noWrap/>
            <w:hideMark/>
          </w:tcPr>
          <w:p w14:paraId="7BDA5BA6"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02FADA8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820" w:type="dxa"/>
            <w:noWrap/>
            <w:hideMark/>
          </w:tcPr>
          <w:p w14:paraId="6C9E442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820" w:type="dxa"/>
            <w:noWrap/>
            <w:hideMark/>
          </w:tcPr>
          <w:p w14:paraId="0EAAA26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4326415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w:t>
            </w:r>
          </w:p>
        </w:tc>
      </w:tr>
      <w:tr w:rsidR="00D45EEE" w:rsidRPr="005303D7" w14:paraId="56ED3AF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376A383F"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Makueni</w:t>
            </w:r>
          </w:p>
        </w:tc>
        <w:tc>
          <w:tcPr>
            <w:tcW w:w="820" w:type="dxa"/>
            <w:noWrap/>
            <w:hideMark/>
          </w:tcPr>
          <w:p w14:paraId="00FCA20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110</w:t>
            </w:r>
          </w:p>
        </w:tc>
        <w:tc>
          <w:tcPr>
            <w:tcW w:w="820" w:type="dxa"/>
            <w:noWrap/>
            <w:hideMark/>
          </w:tcPr>
          <w:p w14:paraId="76E1AC6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93</w:t>
            </w:r>
          </w:p>
        </w:tc>
        <w:tc>
          <w:tcPr>
            <w:tcW w:w="820" w:type="dxa"/>
            <w:noWrap/>
            <w:hideMark/>
          </w:tcPr>
          <w:p w14:paraId="4A9FE9E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100</w:t>
            </w:r>
          </w:p>
        </w:tc>
        <w:tc>
          <w:tcPr>
            <w:tcW w:w="920" w:type="dxa"/>
            <w:noWrap/>
            <w:hideMark/>
          </w:tcPr>
          <w:p w14:paraId="73DCF2F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w:t>
            </w:r>
          </w:p>
        </w:tc>
        <w:tc>
          <w:tcPr>
            <w:tcW w:w="340" w:type="dxa"/>
            <w:noWrap/>
            <w:hideMark/>
          </w:tcPr>
          <w:p w14:paraId="7E61184F"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DEE8C3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29</w:t>
            </w:r>
          </w:p>
        </w:tc>
        <w:tc>
          <w:tcPr>
            <w:tcW w:w="820" w:type="dxa"/>
            <w:noWrap/>
            <w:hideMark/>
          </w:tcPr>
          <w:p w14:paraId="73858A5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820" w:type="dxa"/>
            <w:noWrap/>
            <w:hideMark/>
          </w:tcPr>
          <w:p w14:paraId="6518472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920" w:type="dxa"/>
            <w:noWrap/>
            <w:hideMark/>
          </w:tcPr>
          <w:p w14:paraId="6F6D80A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42</w:t>
            </w:r>
          </w:p>
        </w:tc>
      </w:tr>
      <w:tr w:rsidR="00D45EEE" w:rsidRPr="005303D7" w14:paraId="5264EA67"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5FC0DD7"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Mandera</w:t>
            </w:r>
          </w:p>
        </w:tc>
        <w:tc>
          <w:tcPr>
            <w:tcW w:w="820" w:type="dxa"/>
            <w:noWrap/>
            <w:hideMark/>
          </w:tcPr>
          <w:p w14:paraId="11ABD17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281</w:t>
            </w:r>
          </w:p>
        </w:tc>
        <w:tc>
          <w:tcPr>
            <w:tcW w:w="820" w:type="dxa"/>
            <w:noWrap/>
            <w:hideMark/>
          </w:tcPr>
          <w:p w14:paraId="078F8C5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90</w:t>
            </w:r>
          </w:p>
        </w:tc>
        <w:tc>
          <w:tcPr>
            <w:tcW w:w="820" w:type="dxa"/>
            <w:noWrap/>
            <w:hideMark/>
          </w:tcPr>
          <w:p w14:paraId="29078B5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98</w:t>
            </w:r>
          </w:p>
        </w:tc>
        <w:tc>
          <w:tcPr>
            <w:tcW w:w="920" w:type="dxa"/>
            <w:noWrap/>
            <w:hideMark/>
          </w:tcPr>
          <w:p w14:paraId="217A83F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65</w:t>
            </w:r>
          </w:p>
        </w:tc>
        <w:tc>
          <w:tcPr>
            <w:tcW w:w="340" w:type="dxa"/>
            <w:noWrap/>
            <w:hideMark/>
          </w:tcPr>
          <w:p w14:paraId="74258D5E"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5FAD4BE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33</w:t>
            </w:r>
          </w:p>
        </w:tc>
        <w:tc>
          <w:tcPr>
            <w:tcW w:w="820" w:type="dxa"/>
            <w:noWrap/>
            <w:hideMark/>
          </w:tcPr>
          <w:p w14:paraId="1645C76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820" w:type="dxa"/>
            <w:noWrap/>
            <w:hideMark/>
          </w:tcPr>
          <w:p w14:paraId="0DFF257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c>
          <w:tcPr>
            <w:tcW w:w="920" w:type="dxa"/>
            <w:noWrap/>
            <w:hideMark/>
          </w:tcPr>
          <w:p w14:paraId="104C18E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35</w:t>
            </w:r>
          </w:p>
        </w:tc>
      </w:tr>
      <w:tr w:rsidR="00D45EEE" w:rsidRPr="005303D7" w14:paraId="00736E60"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4815500"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Marsabit</w:t>
            </w:r>
          </w:p>
        </w:tc>
        <w:tc>
          <w:tcPr>
            <w:tcW w:w="820" w:type="dxa"/>
            <w:noWrap/>
            <w:hideMark/>
          </w:tcPr>
          <w:p w14:paraId="70A6A3D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182</w:t>
            </w:r>
          </w:p>
        </w:tc>
        <w:tc>
          <w:tcPr>
            <w:tcW w:w="820" w:type="dxa"/>
            <w:noWrap/>
            <w:hideMark/>
          </w:tcPr>
          <w:p w14:paraId="43E8237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166</w:t>
            </w:r>
          </w:p>
        </w:tc>
        <w:tc>
          <w:tcPr>
            <w:tcW w:w="820" w:type="dxa"/>
            <w:noWrap/>
            <w:hideMark/>
          </w:tcPr>
          <w:p w14:paraId="3BA5FE5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106</w:t>
            </w:r>
          </w:p>
        </w:tc>
        <w:tc>
          <w:tcPr>
            <w:tcW w:w="920" w:type="dxa"/>
            <w:noWrap/>
            <w:hideMark/>
          </w:tcPr>
          <w:p w14:paraId="6A1A8B6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42</w:t>
            </w:r>
          </w:p>
        </w:tc>
        <w:tc>
          <w:tcPr>
            <w:tcW w:w="340" w:type="dxa"/>
            <w:noWrap/>
            <w:hideMark/>
          </w:tcPr>
          <w:p w14:paraId="17637CD6"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5EB8E5F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34</w:t>
            </w:r>
          </w:p>
        </w:tc>
        <w:tc>
          <w:tcPr>
            <w:tcW w:w="820" w:type="dxa"/>
            <w:noWrap/>
            <w:hideMark/>
          </w:tcPr>
          <w:p w14:paraId="765B5F3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820" w:type="dxa"/>
            <w:noWrap/>
            <w:hideMark/>
          </w:tcPr>
          <w:p w14:paraId="2A5FBD8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c>
          <w:tcPr>
            <w:tcW w:w="920" w:type="dxa"/>
            <w:noWrap/>
            <w:hideMark/>
          </w:tcPr>
          <w:p w14:paraId="35F7DA0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r>
      <w:tr w:rsidR="00D45EEE" w:rsidRPr="005303D7" w14:paraId="2981D663"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75DFEB6"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Meru</w:t>
            </w:r>
          </w:p>
        </w:tc>
        <w:tc>
          <w:tcPr>
            <w:tcW w:w="820" w:type="dxa"/>
            <w:noWrap/>
            <w:hideMark/>
          </w:tcPr>
          <w:p w14:paraId="1C0181E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104</w:t>
            </w:r>
          </w:p>
        </w:tc>
        <w:tc>
          <w:tcPr>
            <w:tcW w:w="820" w:type="dxa"/>
            <w:noWrap/>
            <w:hideMark/>
          </w:tcPr>
          <w:p w14:paraId="00E174E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155</w:t>
            </w:r>
          </w:p>
        </w:tc>
        <w:tc>
          <w:tcPr>
            <w:tcW w:w="820" w:type="dxa"/>
            <w:noWrap/>
            <w:hideMark/>
          </w:tcPr>
          <w:p w14:paraId="644E90A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98</w:t>
            </w:r>
          </w:p>
        </w:tc>
        <w:tc>
          <w:tcPr>
            <w:tcW w:w="920" w:type="dxa"/>
            <w:noWrap/>
            <w:hideMark/>
          </w:tcPr>
          <w:p w14:paraId="3510C64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w:t>
            </w:r>
          </w:p>
        </w:tc>
        <w:tc>
          <w:tcPr>
            <w:tcW w:w="340" w:type="dxa"/>
            <w:noWrap/>
            <w:hideMark/>
          </w:tcPr>
          <w:p w14:paraId="5F93E5D7"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47E5449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w:t>
            </w:r>
          </w:p>
        </w:tc>
        <w:tc>
          <w:tcPr>
            <w:tcW w:w="820" w:type="dxa"/>
            <w:noWrap/>
            <w:hideMark/>
          </w:tcPr>
          <w:p w14:paraId="41854CB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c>
          <w:tcPr>
            <w:tcW w:w="820" w:type="dxa"/>
            <w:noWrap/>
            <w:hideMark/>
          </w:tcPr>
          <w:p w14:paraId="31DDE07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27F97EC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r>
      <w:tr w:rsidR="00D45EEE" w:rsidRPr="005303D7" w14:paraId="61912091"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50A66FC"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Migori</w:t>
            </w:r>
          </w:p>
        </w:tc>
        <w:tc>
          <w:tcPr>
            <w:tcW w:w="820" w:type="dxa"/>
            <w:noWrap/>
            <w:hideMark/>
          </w:tcPr>
          <w:p w14:paraId="2B1DB54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114</w:t>
            </w:r>
          </w:p>
        </w:tc>
        <w:tc>
          <w:tcPr>
            <w:tcW w:w="820" w:type="dxa"/>
            <w:noWrap/>
            <w:hideMark/>
          </w:tcPr>
          <w:p w14:paraId="2DC035A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81</w:t>
            </w:r>
          </w:p>
        </w:tc>
        <w:tc>
          <w:tcPr>
            <w:tcW w:w="820" w:type="dxa"/>
            <w:noWrap/>
            <w:hideMark/>
          </w:tcPr>
          <w:p w14:paraId="41D6AE0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96</w:t>
            </w:r>
          </w:p>
        </w:tc>
        <w:tc>
          <w:tcPr>
            <w:tcW w:w="920" w:type="dxa"/>
            <w:noWrap/>
            <w:hideMark/>
          </w:tcPr>
          <w:p w14:paraId="63DFB13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w:t>
            </w:r>
          </w:p>
        </w:tc>
        <w:tc>
          <w:tcPr>
            <w:tcW w:w="340" w:type="dxa"/>
            <w:noWrap/>
            <w:hideMark/>
          </w:tcPr>
          <w:p w14:paraId="179D6C6F"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0D55AAA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820" w:type="dxa"/>
            <w:noWrap/>
            <w:hideMark/>
          </w:tcPr>
          <w:p w14:paraId="2A818C3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w:t>
            </w:r>
          </w:p>
        </w:tc>
        <w:tc>
          <w:tcPr>
            <w:tcW w:w="820" w:type="dxa"/>
            <w:noWrap/>
            <w:hideMark/>
          </w:tcPr>
          <w:p w14:paraId="46ECB38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w:t>
            </w:r>
          </w:p>
        </w:tc>
        <w:tc>
          <w:tcPr>
            <w:tcW w:w="920" w:type="dxa"/>
            <w:noWrap/>
            <w:hideMark/>
          </w:tcPr>
          <w:p w14:paraId="01B03FE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29</w:t>
            </w:r>
          </w:p>
        </w:tc>
      </w:tr>
      <w:tr w:rsidR="00D45EEE" w:rsidRPr="005303D7" w14:paraId="5842E1D1"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179B40BC"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Mombasa</w:t>
            </w:r>
          </w:p>
        </w:tc>
        <w:tc>
          <w:tcPr>
            <w:tcW w:w="820" w:type="dxa"/>
            <w:noWrap/>
            <w:hideMark/>
          </w:tcPr>
          <w:p w14:paraId="3A0F1F8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273</w:t>
            </w:r>
          </w:p>
        </w:tc>
        <w:tc>
          <w:tcPr>
            <w:tcW w:w="820" w:type="dxa"/>
            <w:noWrap/>
            <w:hideMark/>
          </w:tcPr>
          <w:p w14:paraId="713A20F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177</w:t>
            </w:r>
          </w:p>
        </w:tc>
        <w:tc>
          <w:tcPr>
            <w:tcW w:w="820" w:type="dxa"/>
            <w:noWrap/>
            <w:hideMark/>
          </w:tcPr>
          <w:p w14:paraId="5E106FA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206</w:t>
            </w:r>
          </w:p>
        </w:tc>
        <w:tc>
          <w:tcPr>
            <w:tcW w:w="920" w:type="dxa"/>
            <w:noWrap/>
            <w:hideMark/>
          </w:tcPr>
          <w:p w14:paraId="37989A0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340" w:type="dxa"/>
            <w:noWrap/>
            <w:hideMark/>
          </w:tcPr>
          <w:p w14:paraId="745922FA"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1A9FD26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45</w:t>
            </w:r>
          </w:p>
        </w:tc>
        <w:tc>
          <w:tcPr>
            <w:tcW w:w="820" w:type="dxa"/>
            <w:noWrap/>
            <w:hideMark/>
          </w:tcPr>
          <w:p w14:paraId="0056629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34</w:t>
            </w:r>
          </w:p>
        </w:tc>
        <w:tc>
          <w:tcPr>
            <w:tcW w:w="820" w:type="dxa"/>
            <w:noWrap/>
            <w:hideMark/>
          </w:tcPr>
          <w:p w14:paraId="0D116A7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920" w:type="dxa"/>
            <w:noWrap/>
            <w:hideMark/>
          </w:tcPr>
          <w:p w14:paraId="702F0E4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48</w:t>
            </w:r>
          </w:p>
        </w:tc>
      </w:tr>
      <w:tr w:rsidR="00D45EEE" w:rsidRPr="005303D7" w14:paraId="30E1C882"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18DDF68E" w14:textId="77777777" w:rsidR="00D45EEE" w:rsidRPr="00D45EEE" w:rsidRDefault="00D45EEE" w:rsidP="00077BB4">
            <w:pPr>
              <w:rPr>
                <w:rFonts w:ascii="Calibri" w:eastAsia="Times New Roman" w:hAnsi="Calibri" w:cs="Calibri"/>
                <w:kern w:val="0"/>
                <w:sz w:val="18"/>
                <w:szCs w:val="18"/>
                <w:lang w:eastAsia="en-CA"/>
                <w14:ligatures w14:val="none"/>
              </w:rPr>
            </w:pPr>
            <w:proofErr w:type="spellStart"/>
            <w:r w:rsidRPr="00D45EEE">
              <w:rPr>
                <w:rFonts w:ascii="Calibri" w:eastAsia="Times New Roman" w:hAnsi="Calibri" w:cs="Calibri"/>
                <w:kern w:val="0"/>
                <w:sz w:val="18"/>
                <w:szCs w:val="18"/>
                <w:lang w:eastAsia="en-CA"/>
                <w14:ligatures w14:val="none"/>
              </w:rPr>
              <w:t>Muranga</w:t>
            </w:r>
            <w:proofErr w:type="spellEnd"/>
          </w:p>
        </w:tc>
        <w:tc>
          <w:tcPr>
            <w:tcW w:w="820" w:type="dxa"/>
            <w:noWrap/>
            <w:hideMark/>
          </w:tcPr>
          <w:p w14:paraId="1648611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83</w:t>
            </w:r>
          </w:p>
        </w:tc>
        <w:tc>
          <w:tcPr>
            <w:tcW w:w="820" w:type="dxa"/>
            <w:noWrap/>
            <w:hideMark/>
          </w:tcPr>
          <w:p w14:paraId="71C11EA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74</w:t>
            </w:r>
          </w:p>
        </w:tc>
        <w:tc>
          <w:tcPr>
            <w:tcW w:w="820" w:type="dxa"/>
            <w:noWrap/>
            <w:hideMark/>
          </w:tcPr>
          <w:p w14:paraId="18C18CB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87</w:t>
            </w:r>
          </w:p>
        </w:tc>
        <w:tc>
          <w:tcPr>
            <w:tcW w:w="920" w:type="dxa"/>
            <w:noWrap/>
            <w:hideMark/>
          </w:tcPr>
          <w:p w14:paraId="5440FE9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w:t>
            </w:r>
          </w:p>
        </w:tc>
        <w:tc>
          <w:tcPr>
            <w:tcW w:w="340" w:type="dxa"/>
            <w:noWrap/>
            <w:hideMark/>
          </w:tcPr>
          <w:p w14:paraId="5C74793E"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7B5C1FC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w:t>
            </w:r>
          </w:p>
        </w:tc>
        <w:tc>
          <w:tcPr>
            <w:tcW w:w="820" w:type="dxa"/>
            <w:noWrap/>
            <w:hideMark/>
          </w:tcPr>
          <w:p w14:paraId="183D0B5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820" w:type="dxa"/>
            <w:noWrap/>
            <w:hideMark/>
          </w:tcPr>
          <w:p w14:paraId="78E8B27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w:t>
            </w:r>
          </w:p>
        </w:tc>
        <w:tc>
          <w:tcPr>
            <w:tcW w:w="920" w:type="dxa"/>
            <w:noWrap/>
            <w:hideMark/>
          </w:tcPr>
          <w:p w14:paraId="121453D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43</w:t>
            </w:r>
          </w:p>
        </w:tc>
      </w:tr>
      <w:tr w:rsidR="00D45EEE" w:rsidRPr="005303D7" w14:paraId="42428037"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0D5F5CC"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Nairobi</w:t>
            </w:r>
          </w:p>
        </w:tc>
        <w:tc>
          <w:tcPr>
            <w:tcW w:w="820" w:type="dxa"/>
            <w:noWrap/>
            <w:hideMark/>
          </w:tcPr>
          <w:p w14:paraId="0B43736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127</w:t>
            </w:r>
          </w:p>
        </w:tc>
        <w:tc>
          <w:tcPr>
            <w:tcW w:w="820" w:type="dxa"/>
            <w:noWrap/>
            <w:hideMark/>
          </w:tcPr>
          <w:p w14:paraId="35AEACD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147</w:t>
            </w:r>
          </w:p>
        </w:tc>
        <w:tc>
          <w:tcPr>
            <w:tcW w:w="820" w:type="dxa"/>
            <w:noWrap/>
            <w:hideMark/>
          </w:tcPr>
          <w:p w14:paraId="0929114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132</w:t>
            </w:r>
          </w:p>
        </w:tc>
        <w:tc>
          <w:tcPr>
            <w:tcW w:w="920" w:type="dxa"/>
            <w:noWrap/>
            <w:hideMark/>
          </w:tcPr>
          <w:p w14:paraId="078825C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w:t>
            </w:r>
          </w:p>
        </w:tc>
        <w:tc>
          <w:tcPr>
            <w:tcW w:w="340" w:type="dxa"/>
            <w:noWrap/>
            <w:hideMark/>
          </w:tcPr>
          <w:p w14:paraId="0D1E5FD2"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14EBFE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w:t>
            </w:r>
          </w:p>
        </w:tc>
        <w:tc>
          <w:tcPr>
            <w:tcW w:w="820" w:type="dxa"/>
            <w:noWrap/>
            <w:hideMark/>
          </w:tcPr>
          <w:p w14:paraId="2525A94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820" w:type="dxa"/>
            <w:noWrap/>
            <w:hideMark/>
          </w:tcPr>
          <w:p w14:paraId="30DB31B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w:t>
            </w:r>
          </w:p>
        </w:tc>
        <w:tc>
          <w:tcPr>
            <w:tcW w:w="920" w:type="dxa"/>
            <w:noWrap/>
            <w:hideMark/>
          </w:tcPr>
          <w:p w14:paraId="640F83D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w:t>
            </w:r>
          </w:p>
        </w:tc>
      </w:tr>
      <w:tr w:rsidR="00D45EEE" w:rsidRPr="005303D7" w14:paraId="6ECDCCB5"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C3D8A09"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Nakuru</w:t>
            </w:r>
          </w:p>
        </w:tc>
        <w:tc>
          <w:tcPr>
            <w:tcW w:w="820" w:type="dxa"/>
            <w:noWrap/>
            <w:hideMark/>
          </w:tcPr>
          <w:p w14:paraId="2FE53CC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122</w:t>
            </w:r>
          </w:p>
        </w:tc>
        <w:tc>
          <w:tcPr>
            <w:tcW w:w="820" w:type="dxa"/>
            <w:noWrap/>
            <w:hideMark/>
          </w:tcPr>
          <w:p w14:paraId="0858AEE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92</w:t>
            </w:r>
          </w:p>
        </w:tc>
        <w:tc>
          <w:tcPr>
            <w:tcW w:w="820" w:type="dxa"/>
            <w:noWrap/>
            <w:hideMark/>
          </w:tcPr>
          <w:p w14:paraId="4D399D6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94</w:t>
            </w:r>
          </w:p>
        </w:tc>
        <w:tc>
          <w:tcPr>
            <w:tcW w:w="920" w:type="dxa"/>
            <w:noWrap/>
            <w:hideMark/>
          </w:tcPr>
          <w:p w14:paraId="3657F34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340" w:type="dxa"/>
            <w:noWrap/>
            <w:hideMark/>
          </w:tcPr>
          <w:p w14:paraId="671BA3A2"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2A615F5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w:t>
            </w:r>
          </w:p>
        </w:tc>
        <w:tc>
          <w:tcPr>
            <w:tcW w:w="820" w:type="dxa"/>
            <w:noWrap/>
            <w:hideMark/>
          </w:tcPr>
          <w:p w14:paraId="749325C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820" w:type="dxa"/>
            <w:noWrap/>
            <w:hideMark/>
          </w:tcPr>
          <w:p w14:paraId="4C1D44B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920" w:type="dxa"/>
            <w:noWrap/>
            <w:hideMark/>
          </w:tcPr>
          <w:p w14:paraId="19E12ED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47</w:t>
            </w:r>
          </w:p>
        </w:tc>
      </w:tr>
      <w:tr w:rsidR="00D45EEE" w:rsidRPr="005303D7" w14:paraId="2EE5CB2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8333237"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Nandi</w:t>
            </w:r>
          </w:p>
        </w:tc>
        <w:tc>
          <w:tcPr>
            <w:tcW w:w="820" w:type="dxa"/>
            <w:noWrap/>
            <w:hideMark/>
          </w:tcPr>
          <w:p w14:paraId="0F1A489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114</w:t>
            </w:r>
          </w:p>
        </w:tc>
        <w:tc>
          <w:tcPr>
            <w:tcW w:w="820" w:type="dxa"/>
            <w:noWrap/>
            <w:hideMark/>
          </w:tcPr>
          <w:p w14:paraId="7E5E9B5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64</w:t>
            </w:r>
          </w:p>
        </w:tc>
        <w:tc>
          <w:tcPr>
            <w:tcW w:w="820" w:type="dxa"/>
            <w:noWrap/>
            <w:hideMark/>
          </w:tcPr>
          <w:p w14:paraId="0E797EE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45</w:t>
            </w:r>
          </w:p>
        </w:tc>
        <w:tc>
          <w:tcPr>
            <w:tcW w:w="920" w:type="dxa"/>
            <w:noWrap/>
            <w:hideMark/>
          </w:tcPr>
          <w:p w14:paraId="6606C70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60</w:t>
            </w:r>
          </w:p>
        </w:tc>
        <w:tc>
          <w:tcPr>
            <w:tcW w:w="340" w:type="dxa"/>
            <w:noWrap/>
            <w:hideMark/>
          </w:tcPr>
          <w:p w14:paraId="2D0E203A"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11F70BE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c>
          <w:tcPr>
            <w:tcW w:w="820" w:type="dxa"/>
            <w:noWrap/>
            <w:hideMark/>
          </w:tcPr>
          <w:p w14:paraId="4D8FF3D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w:t>
            </w:r>
          </w:p>
        </w:tc>
        <w:tc>
          <w:tcPr>
            <w:tcW w:w="820" w:type="dxa"/>
            <w:noWrap/>
            <w:hideMark/>
          </w:tcPr>
          <w:p w14:paraId="268B041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3E28663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r>
      <w:tr w:rsidR="00D45EEE" w:rsidRPr="005303D7" w14:paraId="76828DA5"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40AF9772"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Narok</w:t>
            </w:r>
          </w:p>
        </w:tc>
        <w:tc>
          <w:tcPr>
            <w:tcW w:w="820" w:type="dxa"/>
            <w:noWrap/>
            <w:hideMark/>
          </w:tcPr>
          <w:p w14:paraId="2B51C90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131</w:t>
            </w:r>
          </w:p>
        </w:tc>
        <w:tc>
          <w:tcPr>
            <w:tcW w:w="820" w:type="dxa"/>
            <w:noWrap/>
            <w:hideMark/>
          </w:tcPr>
          <w:p w14:paraId="7B9AF35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106</w:t>
            </w:r>
          </w:p>
        </w:tc>
        <w:tc>
          <w:tcPr>
            <w:tcW w:w="820" w:type="dxa"/>
            <w:noWrap/>
            <w:hideMark/>
          </w:tcPr>
          <w:p w14:paraId="0276B8A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89</w:t>
            </w:r>
          </w:p>
        </w:tc>
        <w:tc>
          <w:tcPr>
            <w:tcW w:w="920" w:type="dxa"/>
            <w:noWrap/>
            <w:hideMark/>
          </w:tcPr>
          <w:p w14:paraId="1F96F3B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w:t>
            </w:r>
          </w:p>
        </w:tc>
        <w:tc>
          <w:tcPr>
            <w:tcW w:w="340" w:type="dxa"/>
            <w:noWrap/>
            <w:hideMark/>
          </w:tcPr>
          <w:p w14:paraId="7D0FFEBB"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9AC419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36</w:t>
            </w:r>
          </w:p>
        </w:tc>
        <w:tc>
          <w:tcPr>
            <w:tcW w:w="820" w:type="dxa"/>
            <w:noWrap/>
            <w:hideMark/>
          </w:tcPr>
          <w:p w14:paraId="105C5EC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31</w:t>
            </w:r>
          </w:p>
        </w:tc>
        <w:tc>
          <w:tcPr>
            <w:tcW w:w="820" w:type="dxa"/>
            <w:noWrap/>
            <w:hideMark/>
          </w:tcPr>
          <w:p w14:paraId="42AC988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920" w:type="dxa"/>
            <w:noWrap/>
            <w:hideMark/>
          </w:tcPr>
          <w:p w14:paraId="7263B77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38</w:t>
            </w:r>
          </w:p>
        </w:tc>
      </w:tr>
      <w:tr w:rsidR="00D45EEE" w:rsidRPr="005303D7" w14:paraId="4C7D113B"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980FA57"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Nyamira</w:t>
            </w:r>
          </w:p>
        </w:tc>
        <w:tc>
          <w:tcPr>
            <w:tcW w:w="820" w:type="dxa"/>
            <w:noWrap/>
            <w:hideMark/>
          </w:tcPr>
          <w:p w14:paraId="341097C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41</w:t>
            </w:r>
          </w:p>
        </w:tc>
        <w:tc>
          <w:tcPr>
            <w:tcW w:w="820" w:type="dxa"/>
            <w:noWrap/>
            <w:hideMark/>
          </w:tcPr>
          <w:p w14:paraId="7B9B5B4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38</w:t>
            </w:r>
          </w:p>
        </w:tc>
        <w:tc>
          <w:tcPr>
            <w:tcW w:w="820" w:type="dxa"/>
            <w:noWrap/>
            <w:hideMark/>
          </w:tcPr>
          <w:p w14:paraId="120A60A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c>
          <w:tcPr>
            <w:tcW w:w="920" w:type="dxa"/>
            <w:noWrap/>
            <w:hideMark/>
          </w:tcPr>
          <w:p w14:paraId="332BC69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38</w:t>
            </w:r>
          </w:p>
        </w:tc>
        <w:tc>
          <w:tcPr>
            <w:tcW w:w="340" w:type="dxa"/>
            <w:noWrap/>
            <w:hideMark/>
          </w:tcPr>
          <w:p w14:paraId="316F0885"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0BA6927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820" w:type="dxa"/>
            <w:noWrap/>
            <w:hideMark/>
          </w:tcPr>
          <w:p w14:paraId="104E736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w:t>
            </w:r>
          </w:p>
        </w:tc>
        <w:tc>
          <w:tcPr>
            <w:tcW w:w="820" w:type="dxa"/>
            <w:noWrap/>
            <w:hideMark/>
          </w:tcPr>
          <w:p w14:paraId="2CAE979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w:t>
            </w:r>
          </w:p>
        </w:tc>
        <w:tc>
          <w:tcPr>
            <w:tcW w:w="920" w:type="dxa"/>
            <w:noWrap/>
            <w:hideMark/>
          </w:tcPr>
          <w:p w14:paraId="40F9DC1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35</w:t>
            </w:r>
          </w:p>
        </w:tc>
      </w:tr>
      <w:tr w:rsidR="00D45EEE" w:rsidRPr="005303D7" w14:paraId="6BE0FB7D"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50AEB15" w14:textId="77777777" w:rsidR="00D45EEE" w:rsidRPr="00D45EEE" w:rsidRDefault="00D45EEE" w:rsidP="00077BB4">
            <w:pPr>
              <w:rPr>
                <w:rFonts w:ascii="Calibri" w:eastAsia="Times New Roman" w:hAnsi="Calibri" w:cs="Calibri"/>
                <w:kern w:val="0"/>
                <w:sz w:val="18"/>
                <w:szCs w:val="18"/>
                <w:lang w:eastAsia="en-CA"/>
                <w14:ligatures w14:val="none"/>
              </w:rPr>
            </w:pPr>
            <w:proofErr w:type="spellStart"/>
            <w:r w:rsidRPr="00D45EEE">
              <w:rPr>
                <w:rFonts w:ascii="Calibri" w:eastAsia="Times New Roman" w:hAnsi="Calibri" w:cs="Calibri"/>
                <w:kern w:val="0"/>
                <w:sz w:val="18"/>
                <w:szCs w:val="18"/>
                <w:lang w:eastAsia="en-CA"/>
                <w14:ligatures w14:val="none"/>
              </w:rPr>
              <w:t>Nyandarua</w:t>
            </w:r>
            <w:proofErr w:type="spellEnd"/>
          </w:p>
        </w:tc>
        <w:tc>
          <w:tcPr>
            <w:tcW w:w="820" w:type="dxa"/>
            <w:noWrap/>
            <w:hideMark/>
          </w:tcPr>
          <w:p w14:paraId="3EE97EF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80</w:t>
            </w:r>
          </w:p>
        </w:tc>
        <w:tc>
          <w:tcPr>
            <w:tcW w:w="820" w:type="dxa"/>
            <w:noWrap/>
            <w:hideMark/>
          </w:tcPr>
          <w:p w14:paraId="1EB97B3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68</w:t>
            </w:r>
          </w:p>
        </w:tc>
        <w:tc>
          <w:tcPr>
            <w:tcW w:w="820" w:type="dxa"/>
            <w:noWrap/>
            <w:hideMark/>
          </w:tcPr>
          <w:p w14:paraId="4CB8B58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76</w:t>
            </w:r>
          </w:p>
        </w:tc>
        <w:tc>
          <w:tcPr>
            <w:tcW w:w="920" w:type="dxa"/>
            <w:noWrap/>
            <w:hideMark/>
          </w:tcPr>
          <w:p w14:paraId="651835D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w:t>
            </w:r>
          </w:p>
        </w:tc>
        <w:tc>
          <w:tcPr>
            <w:tcW w:w="340" w:type="dxa"/>
            <w:noWrap/>
            <w:hideMark/>
          </w:tcPr>
          <w:p w14:paraId="6CD62503"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E56CED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w:t>
            </w:r>
          </w:p>
        </w:tc>
        <w:tc>
          <w:tcPr>
            <w:tcW w:w="820" w:type="dxa"/>
            <w:noWrap/>
            <w:hideMark/>
          </w:tcPr>
          <w:p w14:paraId="134AC7F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w:t>
            </w:r>
          </w:p>
        </w:tc>
        <w:tc>
          <w:tcPr>
            <w:tcW w:w="820" w:type="dxa"/>
            <w:noWrap/>
            <w:hideMark/>
          </w:tcPr>
          <w:p w14:paraId="36E6BDF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16</w:t>
            </w:r>
          </w:p>
        </w:tc>
        <w:tc>
          <w:tcPr>
            <w:tcW w:w="920" w:type="dxa"/>
            <w:noWrap/>
            <w:hideMark/>
          </w:tcPr>
          <w:p w14:paraId="4D12F8D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w:t>
            </w:r>
          </w:p>
        </w:tc>
      </w:tr>
      <w:tr w:rsidR="00D45EEE" w:rsidRPr="005303D7" w14:paraId="2604190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311CCAC5"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Nyeri</w:t>
            </w:r>
          </w:p>
        </w:tc>
        <w:tc>
          <w:tcPr>
            <w:tcW w:w="820" w:type="dxa"/>
            <w:noWrap/>
            <w:hideMark/>
          </w:tcPr>
          <w:p w14:paraId="389BB1D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106</w:t>
            </w:r>
          </w:p>
        </w:tc>
        <w:tc>
          <w:tcPr>
            <w:tcW w:w="820" w:type="dxa"/>
            <w:noWrap/>
            <w:hideMark/>
          </w:tcPr>
          <w:p w14:paraId="48019F5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111</w:t>
            </w:r>
          </w:p>
        </w:tc>
        <w:tc>
          <w:tcPr>
            <w:tcW w:w="820" w:type="dxa"/>
            <w:noWrap/>
            <w:hideMark/>
          </w:tcPr>
          <w:p w14:paraId="014B264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99</w:t>
            </w:r>
          </w:p>
        </w:tc>
        <w:tc>
          <w:tcPr>
            <w:tcW w:w="920" w:type="dxa"/>
            <w:noWrap/>
            <w:hideMark/>
          </w:tcPr>
          <w:p w14:paraId="3B08187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w:t>
            </w:r>
          </w:p>
        </w:tc>
        <w:tc>
          <w:tcPr>
            <w:tcW w:w="340" w:type="dxa"/>
            <w:noWrap/>
            <w:hideMark/>
          </w:tcPr>
          <w:p w14:paraId="409F0FDB"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3130113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w:t>
            </w:r>
          </w:p>
        </w:tc>
        <w:tc>
          <w:tcPr>
            <w:tcW w:w="820" w:type="dxa"/>
            <w:noWrap/>
            <w:hideMark/>
          </w:tcPr>
          <w:p w14:paraId="1C11177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820" w:type="dxa"/>
            <w:noWrap/>
            <w:hideMark/>
          </w:tcPr>
          <w:p w14:paraId="56BEEC3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w:t>
            </w:r>
          </w:p>
        </w:tc>
        <w:tc>
          <w:tcPr>
            <w:tcW w:w="920" w:type="dxa"/>
            <w:noWrap/>
            <w:hideMark/>
          </w:tcPr>
          <w:p w14:paraId="75785FE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w:t>
            </w:r>
          </w:p>
        </w:tc>
      </w:tr>
      <w:tr w:rsidR="00D45EEE" w:rsidRPr="005303D7" w14:paraId="3171AFBF"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64101FB"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Samburu</w:t>
            </w:r>
          </w:p>
        </w:tc>
        <w:tc>
          <w:tcPr>
            <w:tcW w:w="820" w:type="dxa"/>
            <w:noWrap/>
            <w:hideMark/>
          </w:tcPr>
          <w:p w14:paraId="06F5A4E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328</w:t>
            </w:r>
          </w:p>
        </w:tc>
        <w:tc>
          <w:tcPr>
            <w:tcW w:w="820" w:type="dxa"/>
            <w:noWrap/>
            <w:hideMark/>
          </w:tcPr>
          <w:p w14:paraId="18C3AD3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146</w:t>
            </w:r>
          </w:p>
        </w:tc>
        <w:tc>
          <w:tcPr>
            <w:tcW w:w="820" w:type="dxa"/>
            <w:noWrap/>
            <w:hideMark/>
          </w:tcPr>
          <w:p w14:paraId="25D8465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131</w:t>
            </w:r>
          </w:p>
        </w:tc>
        <w:tc>
          <w:tcPr>
            <w:tcW w:w="920" w:type="dxa"/>
            <w:noWrap/>
            <w:hideMark/>
          </w:tcPr>
          <w:p w14:paraId="7510002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60</w:t>
            </w:r>
          </w:p>
        </w:tc>
        <w:tc>
          <w:tcPr>
            <w:tcW w:w="340" w:type="dxa"/>
            <w:noWrap/>
            <w:hideMark/>
          </w:tcPr>
          <w:p w14:paraId="01E3A681"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1577429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29</w:t>
            </w:r>
          </w:p>
        </w:tc>
        <w:tc>
          <w:tcPr>
            <w:tcW w:w="820" w:type="dxa"/>
            <w:noWrap/>
            <w:hideMark/>
          </w:tcPr>
          <w:p w14:paraId="1B413B6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820" w:type="dxa"/>
            <w:noWrap/>
            <w:hideMark/>
          </w:tcPr>
          <w:p w14:paraId="3091760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920" w:type="dxa"/>
            <w:noWrap/>
            <w:hideMark/>
          </w:tcPr>
          <w:p w14:paraId="576AA61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r>
      <w:tr w:rsidR="00D45EEE" w:rsidRPr="005303D7" w14:paraId="559CF5EC"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16FF67E"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Siaya</w:t>
            </w:r>
          </w:p>
        </w:tc>
        <w:tc>
          <w:tcPr>
            <w:tcW w:w="820" w:type="dxa"/>
            <w:noWrap/>
            <w:hideMark/>
          </w:tcPr>
          <w:p w14:paraId="6F50443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111</w:t>
            </w:r>
          </w:p>
        </w:tc>
        <w:tc>
          <w:tcPr>
            <w:tcW w:w="820" w:type="dxa"/>
            <w:noWrap/>
            <w:hideMark/>
          </w:tcPr>
          <w:p w14:paraId="7557041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92</w:t>
            </w:r>
          </w:p>
        </w:tc>
        <w:tc>
          <w:tcPr>
            <w:tcW w:w="820" w:type="dxa"/>
            <w:noWrap/>
            <w:hideMark/>
          </w:tcPr>
          <w:p w14:paraId="2645EE0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86</w:t>
            </w:r>
          </w:p>
        </w:tc>
        <w:tc>
          <w:tcPr>
            <w:tcW w:w="920" w:type="dxa"/>
            <w:noWrap/>
            <w:hideMark/>
          </w:tcPr>
          <w:p w14:paraId="63C886F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340" w:type="dxa"/>
            <w:noWrap/>
            <w:hideMark/>
          </w:tcPr>
          <w:p w14:paraId="1EEF5D99"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5FE6673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2512580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820" w:type="dxa"/>
            <w:noWrap/>
            <w:hideMark/>
          </w:tcPr>
          <w:p w14:paraId="4BC82DC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59921E3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w:t>
            </w:r>
          </w:p>
        </w:tc>
      </w:tr>
      <w:tr w:rsidR="00D45EEE" w:rsidRPr="005303D7" w14:paraId="5EB7C786"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1933A73"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Taita Taveta</w:t>
            </w:r>
          </w:p>
        </w:tc>
        <w:tc>
          <w:tcPr>
            <w:tcW w:w="820" w:type="dxa"/>
            <w:noWrap/>
            <w:hideMark/>
          </w:tcPr>
          <w:p w14:paraId="08360DD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155</w:t>
            </w:r>
          </w:p>
        </w:tc>
        <w:tc>
          <w:tcPr>
            <w:tcW w:w="820" w:type="dxa"/>
            <w:noWrap/>
            <w:hideMark/>
          </w:tcPr>
          <w:p w14:paraId="1CBDD69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116</w:t>
            </w:r>
          </w:p>
        </w:tc>
        <w:tc>
          <w:tcPr>
            <w:tcW w:w="820" w:type="dxa"/>
            <w:noWrap/>
            <w:hideMark/>
          </w:tcPr>
          <w:p w14:paraId="39DD0F0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84</w:t>
            </w:r>
          </w:p>
        </w:tc>
        <w:tc>
          <w:tcPr>
            <w:tcW w:w="920" w:type="dxa"/>
            <w:noWrap/>
            <w:hideMark/>
          </w:tcPr>
          <w:p w14:paraId="7096E81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46</w:t>
            </w:r>
          </w:p>
        </w:tc>
        <w:tc>
          <w:tcPr>
            <w:tcW w:w="340" w:type="dxa"/>
            <w:noWrap/>
            <w:hideMark/>
          </w:tcPr>
          <w:p w14:paraId="68524FEF"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38D169A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820" w:type="dxa"/>
            <w:noWrap/>
            <w:hideMark/>
          </w:tcPr>
          <w:p w14:paraId="54CEFFB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820" w:type="dxa"/>
            <w:noWrap/>
            <w:hideMark/>
          </w:tcPr>
          <w:p w14:paraId="2435C7D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920" w:type="dxa"/>
            <w:noWrap/>
            <w:hideMark/>
          </w:tcPr>
          <w:p w14:paraId="3E41005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w:t>
            </w:r>
          </w:p>
        </w:tc>
      </w:tr>
      <w:tr w:rsidR="00D45EEE" w:rsidRPr="005303D7" w14:paraId="206BF29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4B6E546B"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Tana River</w:t>
            </w:r>
          </w:p>
        </w:tc>
        <w:tc>
          <w:tcPr>
            <w:tcW w:w="820" w:type="dxa"/>
            <w:noWrap/>
            <w:hideMark/>
          </w:tcPr>
          <w:p w14:paraId="62A9668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127</w:t>
            </w:r>
          </w:p>
        </w:tc>
        <w:tc>
          <w:tcPr>
            <w:tcW w:w="820" w:type="dxa"/>
            <w:noWrap/>
            <w:hideMark/>
          </w:tcPr>
          <w:p w14:paraId="17D0660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250</w:t>
            </w:r>
          </w:p>
        </w:tc>
        <w:tc>
          <w:tcPr>
            <w:tcW w:w="820" w:type="dxa"/>
            <w:noWrap/>
            <w:hideMark/>
          </w:tcPr>
          <w:p w14:paraId="30E7BBF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157</w:t>
            </w:r>
          </w:p>
        </w:tc>
        <w:tc>
          <w:tcPr>
            <w:tcW w:w="920" w:type="dxa"/>
            <w:noWrap/>
            <w:hideMark/>
          </w:tcPr>
          <w:p w14:paraId="4523CCC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340" w:type="dxa"/>
            <w:noWrap/>
            <w:hideMark/>
          </w:tcPr>
          <w:p w14:paraId="0972B48D"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10852DB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25</w:t>
            </w:r>
          </w:p>
        </w:tc>
        <w:tc>
          <w:tcPr>
            <w:tcW w:w="820" w:type="dxa"/>
            <w:noWrap/>
            <w:hideMark/>
          </w:tcPr>
          <w:p w14:paraId="60366FB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36</w:t>
            </w:r>
          </w:p>
        </w:tc>
        <w:tc>
          <w:tcPr>
            <w:tcW w:w="820" w:type="dxa"/>
            <w:noWrap/>
            <w:hideMark/>
          </w:tcPr>
          <w:p w14:paraId="23686A7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w:t>
            </w:r>
          </w:p>
        </w:tc>
        <w:tc>
          <w:tcPr>
            <w:tcW w:w="920" w:type="dxa"/>
            <w:noWrap/>
            <w:hideMark/>
          </w:tcPr>
          <w:p w14:paraId="77CA214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-28</w:t>
            </w:r>
          </w:p>
        </w:tc>
      </w:tr>
      <w:tr w:rsidR="00D45EEE" w:rsidRPr="005303D7" w14:paraId="52D0ECA2"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8467B78"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Tharaka Nithi</w:t>
            </w:r>
          </w:p>
        </w:tc>
        <w:tc>
          <w:tcPr>
            <w:tcW w:w="820" w:type="dxa"/>
            <w:noWrap/>
            <w:hideMark/>
          </w:tcPr>
          <w:p w14:paraId="72FBAB0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46</w:t>
            </w:r>
          </w:p>
        </w:tc>
        <w:tc>
          <w:tcPr>
            <w:tcW w:w="820" w:type="dxa"/>
            <w:noWrap/>
            <w:hideMark/>
          </w:tcPr>
          <w:p w14:paraId="3BDCC56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97</w:t>
            </w:r>
          </w:p>
        </w:tc>
        <w:tc>
          <w:tcPr>
            <w:tcW w:w="820" w:type="dxa"/>
            <w:noWrap/>
            <w:hideMark/>
          </w:tcPr>
          <w:p w14:paraId="1F8D80C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74</w:t>
            </w:r>
          </w:p>
        </w:tc>
        <w:tc>
          <w:tcPr>
            <w:tcW w:w="920" w:type="dxa"/>
            <w:noWrap/>
            <w:hideMark/>
          </w:tcPr>
          <w:p w14:paraId="1292C21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-61</w:t>
            </w:r>
          </w:p>
        </w:tc>
        <w:tc>
          <w:tcPr>
            <w:tcW w:w="340" w:type="dxa"/>
            <w:noWrap/>
            <w:hideMark/>
          </w:tcPr>
          <w:p w14:paraId="232BC33F"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60EDFCC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w:t>
            </w:r>
          </w:p>
        </w:tc>
        <w:tc>
          <w:tcPr>
            <w:tcW w:w="820" w:type="dxa"/>
            <w:noWrap/>
            <w:hideMark/>
          </w:tcPr>
          <w:p w14:paraId="25078E0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2DDF6DD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w:t>
            </w:r>
          </w:p>
        </w:tc>
        <w:tc>
          <w:tcPr>
            <w:tcW w:w="920" w:type="dxa"/>
            <w:noWrap/>
            <w:hideMark/>
          </w:tcPr>
          <w:p w14:paraId="6F84C04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-8</w:t>
            </w:r>
          </w:p>
        </w:tc>
      </w:tr>
      <w:tr w:rsidR="00D45EEE" w:rsidRPr="005303D7" w14:paraId="7CE1B3CE"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3412ED7A"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xml:space="preserve">Trans </w:t>
            </w:r>
            <w:proofErr w:type="spellStart"/>
            <w:r w:rsidRPr="00D45EEE">
              <w:rPr>
                <w:rFonts w:ascii="Calibri" w:eastAsia="Times New Roman" w:hAnsi="Calibri" w:cs="Calibri"/>
                <w:kern w:val="0"/>
                <w:sz w:val="18"/>
                <w:szCs w:val="18"/>
                <w:lang w:eastAsia="en-CA"/>
                <w14:ligatures w14:val="none"/>
              </w:rPr>
              <w:t>Nzoia</w:t>
            </w:r>
            <w:proofErr w:type="spellEnd"/>
          </w:p>
        </w:tc>
        <w:tc>
          <w:tcPr>
            <w:tcW w:w="820" w:type="dxa"/>
            <w:noWrap/>
            <w:hideMark/>
          </w:tcPr>
          <w:p w14:paraId="552D270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173</w:t>
            </w:r>
          </w:p>
        </w:tc>
        <w:tc>
          <w:tcPr>
            <w:tcW w:w="820" w:type="dxa"/>
            <w:noWrap/>
            <w:hideMark/>
          </w:tcPr>
          <w:p w14:paraId="403E285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137</w:t>
            </w:r>
          </w:p>
        </w:tc>
        <w:tc>
          <w:tcPr>
            <w:tcW w:w="820" w:type="dxa"/>
            <w:noWrap/>
            <w:hideMark/>
          </w:tcPr>
          <w:p w14:paraId="2B9F007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69</w:t>
            </w:r>
          </w:p>
        </w:tc>
        <w:tc>
          <w:tcPr>
            <w:tcW w:w="920" w:type="dxa"/>
            <w:noWrap/>
            <w:hideMark/>
          </w:tcPr>
          <w:p w14:paraId="0DE224D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60</w:t>
            </w:r>
          </w:p>
        </w:tc>
        <w:tc>
          <w:tcPr>
            <w:tcW w:w="340" w:type="dxa"/>
            <w:noWrap/>
            <w:hideMark/>
          </w:tcPr>
          <w:p w14:paraId="37ACCBE9"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7B17882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31</w:t>
            </w:r>
          </w:p>
        </w:tc>
        <w:tc>
          <w:tcPr>
            <w:tcW w:w="820" w:type="dxa"/>
            <w:noWrap/>
            <w:hideMark/>
          </w:tcPr>
          <w:p w14:paraId="50CE35B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820" w:type="dxa"/>
            <w:noWrap/>
            <w:hideMark/>
          </w:tcPr>
          <w:p w14:paraId="11EEFA7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920" w:type="dxa"/>
            <w:noWrap/>
            <w:hideMark/>
          </w:tcPr>
          <w:p w14:paraId="180B199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31</w:t>
            </w:r>
          </w:p>
        </w:tc>
      </w:tr>
      <w:tr w:rsidR="00D45EEE" w:rsidRPr="005303D7" w14:paraId="6E3C8EFA"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79BBF2FF"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Turkana</w:t>
            </w:r>
          </w:p>
        </w:tc>
        <w:tc>
          <w:tcPr>
            <w:tcW w:w="820" w:type="dxa"/>
            <w:noWrap/>
            <w:hideMark/>
          </w:tcPr>
          <w:p w14:paraId="3A6628EF"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305</w:t>
            </w:r>
          </w:p>
        </w:tc>
        <w:tc>
          <w:tcPr>
            <w:tcW w:w="820" w:type="dxa"/>
            <w:noWrap/>
            <w:hideMark/>
          </w:tcPr>
          <w:p w14:paraId="7C3D1BE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227</w:t>
            </w:r>
          </w:p>
        </w:tc>
        <w:tc>
          <w:tcPr>
            <w:tcW w:w="820" w:type="dxa"/>
            <w:noWrap/>
            <w:hideMark/>
          </w:tcPr>
          <w:p w14:paraId="4F639CB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102</w:t>
            </w:r>
          </w:p>
        </w:tc>
        <w:tc>
          <w:tcPr>
            <w:tcW w:w="920" w:type="dxa"/>
            <w:noWrap/>
            <w:hideMark/>
          </w:tcPr>
          <w:p w14:paraId="3B8117B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67</w:t>
            </w:r>
          </w:p>
        </w:tc>
        <w:tc>
          <w:tcPr>
            <w:tcW w:w="340" w:type="dxa"/>
            <w:noWrap/>
            <w:hideMark/>
          </w:tcPr>
          <w:p w14:paraId="62788B05"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457A251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23</w:t>
            </w:r>
          </w:p>
        </w:tc>
        <w:tc>
          <w:tcPr>
            <w:tcW w:w="820" w:type="dxa"/>
            <w:noWrap/>
            <w:hideMark/>
          </w:tcPr>
          <w:p w14:paraId="79EDE13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820" w:type="dxa"/>
            <w:noWrap/>
            <w:hideMark/>
          </w:tcPr>
          <w:p w14:paraId="35E69AA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w:t>
            </w:r>
          </w:p>
        </w:tc>
        <w:tc>
          <w:tcPr>
            <w:tcW w:w="920" w:type="dxa"/>
            <w:noWrap/>
            <w:hideMark/>
          </w:tcPr>
          <w:p w14:paraId="6AC6F89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33</w:t>
            </w:r>
          </w:p>
        </w:tc>
      </w:tr>
      <w:tr w:rsidR="00D45EEE" w:rsidRPr="005303D7" w14:paraId="64F7DEE1"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2445F50C" w14:textId="77777777" w:rsidR="00D45EEE" w:rsidRPr="00D45EEE" w:rsidRDefault="00D45EEE" w:rsidP="00077BB4">
            <w:pPr>
              <w:rPr>
                <w:rFonts w:ascii="Calibri" w:eastAsia="Times New Roman" w:hAnsi="Calibri" w:cs="Calibri"/>
                <w:kern w:val="0"/>
                <w:sz w:val="18"/>
                <w:szCs w:val="18"/>
                <w:lang w:eastAsia="en-CA"/>
                <w14:ligatures w14:val="none"/>
              </w:rPr>
            </w:pPr>
            <w:proofErr w:type="spellStart"/>
            <w:r w:rsidRPr="00D45EEE">
              <w:rPr>
                <w:rFonts w:ascii="Calibri" w:eastAsia="Times New Roman" w:hAnsi="Calibri" w:cs="Calibri"/>
                <w:kern w:val="0"/>
                <w:sz w:val="18"/>
                <w:szCs w:val="18"/>
                <w:lang w:eastAsia="en-CA"/>
                <w14:ligatures w14:val="none"/>
              </w:rPr>
              <w:t>Uasin</w:t>
            </w:r>
            <w:proofErr w:type="spellEnd"/>
            <w:r w:rsidRPr="00D45EEE">
              <w:rPr>
                <w:rFonts w:ascii="Calibri" w:eastAsia="Times New Roman" w:hAnsi="Calibri" w:cs="Calibri"/>
                <w:kern w:val="0"/>
                <w:sz w:val="18"/>
                <w:szCs w:val="18"/>
                <w:lang w:eastAsia="en-CA"/>
                <w14:ligatures w14:val="none"/>
              </w:rPr>
              <w:t xml:space="preserve"> Gishu</w:t>
            </w:r>
          </w:p>
        </w:tc>
        <w:tc>
          <w:tcPr>
            <w:tcW w:w="820" w:type="dxa"/>
            <w:noWrap/>
            <w:hideMark/>
          </w:tcPr>
          <w:p w14:paraId="2AD69A5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227</w:t>
            </w:r>
          </w:p>
        </w:tc>
        <w:tc>
          <w:tcPr>
            <w:tcW w:w="820" w:type="dxa"/>
            <w:noWrap/>
            <w:hideMark/>
          </w:tcPr>
          <w:p w14:paraId="05EAB77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116</w:t>
            </w:r>
          </w:p>
        </w:tc>
        <w:tc>
          <w:tcPr>
            <w:tcW w:w="820" w:type="dxa"/>
            <w:noWrap/>
            <w:hideMark/>
          </w:tcPr>
          <w:p w14:paraId="188C55B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106</w:t>
            </w:r>
          </w:p>
        </w:tc>
        <w:tc>
          <w:tcPr>
            <w:tcW w:w="920" w:type="dxa"/>
            <w:noWrap/>
            <w:hideMark/>
          </w:tcPr>
          <w:p w14:paraId="5AC174B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53</w:t>
            </w:r>
          </w:p>
        </w:tc>
        <w:tc>
          <w:tcPr>
            <w:tcW w:w="340" w:type="dxa"/>
            <w:noWrap/>
            <w:hideMark/>
          </w:tcPr>
          <w:p w14:paraId="4AA7A0DE"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1BD33F5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35</w:t>
            </w:r>
          </w:p>
        </w:tc>
        <w:tc>
          <w:tcPr>
            <w:tcW w:w="820" w:type="dxa"/>
            <w:noWrap/>
            <w:hideMark/>
          </w:tcPr>
          <w:p w14:paraId="1230B1A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24</w:t>
            </w:r>
          </w:p>
        </w:tc>
        <w:tc>
          <w:tcPr>
            <w:tcW w:w="820" w:type="dxa"/>
            <w:noWrap/>
            <w:hideMark/>
          </w:tcPr>
          <w:p w14:paraId="711C72D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15</w:t>
            </w:r>
          </w:p>
        </w:tc>
        <w:tc>
          <w:tcPr>
            <w:tcW w:w="920" w:type="dxa"/>
            <w:noWrap/>
            <w:hideMark/>
          </w:tcPr>
          <w:p w14:paraId="6B6D8E45"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58</w:t>
            </w:r>
          </w:p>
        </w:tc>
      </w:tr>
      <w:tr w:rsidR="00D45EEE" w:rsidRPr="005303D7" w14:paraId="08CC7074"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142E5AA6" w14:textId="77777777" w:rsidR="00D45EEE" w:rsidRPr="00D45EEE" w:rsidRDefault="00D45EEE" w:rsidP="00077BB4">
            <w:pPr>
              <w:rPr>
                <w:rFonts w:ascii="Calibri" w:eastAsia="Times New Roman" w:hAnsi="Calibri" w:cs="Calibri"/>
                <w:kern w:val="0"/>
                <w:sz w:val="18"/>
                <w:szCs w:val="18"/>
                <w:lang w:eastAsia="en-CA"/>
                <w14:ligatures w14:val="none"/>
              </w:rPr>
            </w:pPr>
            <w:proofErr w:type="spellStart"/>
            <w:r w:rsidRPr="00D45EEE">
              <w:rPr>
                <w:rFonts w:ascii="Calibri" w:eastAsia="Times New Roman" w:hAnsi="Calibri" w:cs="Calibri"/>
                <w:kern w:val="0"/>
                <w:sz w:val="18"/>
                <w:szCs w:val="18"/>
                <w:lang w:eastAsia="en-CA"/>
                <w14:ligatures w14:val="none"/>
              </w:rPr>
              <w:t>Vihiga</w:t>
            </w:r>
            <w:proofErr w:type="spellEnd"/>
          </w:p>
        </w:tc>
        <w:tc>
          <w:tcPr>
            <w:tcW w:w="820" w:type="dxa"/>
            <w:noWrap/>
            <w:hideMark/>
          </w:tcPr>
          <w:p w14:paraId="51583DEA"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125</w:t>
            </w:r>
          </w:p>
        </w:tc>
        <w:tc>
          <w:tcPr>
            <w:tcW w:w="820" w:type="dxa"/>
            <w:noWrap/>
            <w:hideMark/>
          </w:tcPr>
          <w:p w14:paraId="414C08E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181</w:t>
            </w:r>
          </w:p>
        </w:tc>
        <w:tc>
          <w:tcPr>
            <w:tcW w:w="820" w:type="dxa"/>
            <w:noWrap/>
            <w:hideMark/>
          </w:tcPr>
          <w:p w14:paraId="1CFE906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72</w:t>
            </w:r>
          </w:p>
        </w:tc>
        <w:tc>
          <w:tcPr>
            <w:tcW w:w="920" w:type="dxa"/>
            <w:noWrap/>
            <w:hideMark/>
          </w:tcPr>
          <w:p w14:paraId="6CF5F33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43</w:t>
            </w:r>
          </w:p>
        </w:tc>
        <w:tc>
          <w:tcPr>
            <w:tcW w:w="340" w:type="dxa"/>
            <w:noWrap/>
            <w:hideMark/>
          </w:tcPr>
          <w:p w14:paraId="3280693C"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0351FE23"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7B8F484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19</w:t>
            </w:r>
          </w:p>
        </w:tc>
        <w:tc>
          <w:tcPr>
            <w:tcW w:w="820" w:type="dxa"/>
            <w:noWrap/>
            <w:hideMark/>
          </w:tcPr>
          <w:p w14:paraId="42D585AC"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22</w:t>
            </w:r>
          </w:p>
        </w:tc>
        <w:tc>
          <w:tcPr>
            <w:tcW w:w="920" w:type="dxa"/>
            <w:noWrap/>
            <w:hideMark/>
          </w:tcPr>
          <w:p w14:paraId="1475DDD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-9</w:t>
            </w:r>
          </w:p>
        </w:tc>
      </w:tr>
      <w:tr w:rsidR="00D45EEE" w:rsidRPr="005303D7" w14:paraId="2BA9298A"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2602C279" w14:textId="77777777" w:rsidR="00D45EEE" w:rsidRPr="00D45EEE" w:rsidRDefault="00D45EEE" w:rsidP="00077BB4">
            <w:pPr>
              <w:rPr>
                <w:rFonts w:ascii="Calibri" w:eastAsia="Times New Roman" w:hAnsi="Calibri" w:cs="Calibri"/>
                <w:kern w:val="0"/>
                <w:sz w:val="18"/>
                <w:szCs w:val="18"/>
                <w:lang w:eastAsia="en-CA"/>
                <w14:ligatures w14:val="none"/>
              </w:rPr>
            </w:pPr>
            <w:proofErr w:type="spellStart"/>
            <w:r w:rsidRPr="00D45EEE">
              <w:rPr>
                <w:rFonts w:ascii="Calibri" w:eastAsia="Times New Roman" w:hAnsi="Calibri" w:cs="Calibri"/>
                <w:kern w:val="0"/>
                <w:sz w:val="18"/>
                <w:szCs w:val="18"/>
                <w:lang w:eastAsia="en-CA"/>
                <w14:ligatures w14:val="none"/>
              </w:rPr>
              <w:t>Wajir</w:t>
            </w:r>
            <w:proofErr w:type="spellEnd"/>
          </w:p>
        </w:tc>
        <w:tc>
          <w:tcPr>
            <w:tcW w:w="820" w:type="dxa"/>
            <w:noWrap/>
            <w:hideMark/>
          </w:tcPr>
          <w:p w14:paraId="52EB5580"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146</w:t>
            </w:r>
          </w:p>
        </w:tc>
        <w:tc>
          <w:tcPr>
            <w:tcW w:w="820" w:type="dxa"/>
            <w:noWrap/>
            <w:hideMark/>
          </w:tcPr>
          <w:p w14:paraId="293BFC86"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116</w:t>
            </w:r>
          </w:p>
        </w:tc>
        <w:tc>
          <w:tcPr>
            <w:tcW w:w="820" w:type="dxa"/>
            <w:noWrap/>
            <w:hideMark/>
          </w:tcPr>
          <w:p w14:paraId="7D535F2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117</w:t>
            </w:r>
          </w:p>
        </w:tc>
        <w:tc>
          <w:tcPr>
            <w:tcW w:w="920" w:type="dxa"/>
            <w:noWrap/>
            <w:hideMark/>
          </w:tcPr>
          <w:p w14:paraId="0276E132"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340" w:type="dxa"/>
            <w:noWrap/>
            <w:hideMark/>
          </w:tcPr>
          <w:p w14:paraId="25A9F649"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045A0E11"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31</w:t>
            </w:r>
          </w:p>
        </w:tc>
        <w:tc>
          <w:tcPr>
            <w:tcW w:w="820" w:type="dxa"/>
            <w:noWrap/>
            <w:hideMark/>
          </w:tcPr>
          <w:p w14:paraId="0DDA477E"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20</w:t>
            </w:r>
          </w:p>
        </w:tc>
        <w:tc>
          <w:tcPr>
            <w:tcW w:w="820" w:type="dxa"/>
            <w:noWrap/>
            <w:hideMark/>
          </w:tcPr>
          <w:p w14:paraId="09F571C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21</w:t>
            </w:r>
          </w:p>
        </w:tc>
        <w:tc>
          <w:tcPr>
            <w:tcW w:w="920" w:type="dxa"/>
            <w:noWrap/>
            <w:hideMark/>
          </w:tcPr>
          <w:p w14:paraId="281AEAA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32</w:t>
            </w:r>
          </w:p>
        </w:tc>
      </w:tr>
      <w:tr w:rsidR="00D45EEE" w:rsidRPr="005303D7" w14:paraId="786D36E8" w14:textId="77777777" w:rsidTr="00077BB4">
        <w:trPr>
          <w:trHeight w:val="300"/>
        </w:trPr>
        <w:tc>
          <w:tcPr>
            <w:cnfStyle w:val="001000000000" w:firstRow="0" w:lastRow="0" w:firstColumn="1" w:lastColumn="0" w:oddVBand="0" w:evenVBand="0" w:oddHBand="0" w:evenHBand="0" w:firstRowFirstColumn="0" w:firstRowLastColumn="0" w:lastRowFirstColumn="0" w:lastRowLastColumn="0"/>
            <w:tcW w:w="1600" w:type="dxa"/>
            <w:noWrap/>
            <w:hideMark/>
          </w:tcPr>
          <w:p w14:paraId="13AB6C4D" w14:textId="77777777" w:rsidR="00D45EEE" w:rsidRPr="00D45EEE" w:rsidRDefault="00D45EEE" w:rsidP="00077BB4">
            <w:pPr>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West Pokot</w:t>
            </w:r>
          </w:p>
        </w:tc>
        <w:tc>
          <w:tcPr>
            <w:tcW w:w="820" w:type="dxa"/>
            <w:noWrap/>
            <w:hideMark/>
          </w:tcPr>
          <w:p w14:paraId="32667F4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262</w:t>
            </w:r>
          </w:p>
        </w:tc>
        <w:tc>
          <w:tcPr>
            <w:tcW w:w="820" w:type="dxa"/>
            <w:noWrap/>
            <w:hideMark/>
          </w:tcPr>
          <w:p w14:paraId="212E385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119</w:t>
            </w:r>
          </w:p>
        </w:tc>
        <w:tc>
          <w:tcPr>
            <w:tcW w:w="820" w:type="dxa"/>
            <w:noWrap/>
            <w:hideMark/>
          </w:tcPr>
          <w:p w14:paraId="053512A4"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72</w:t>
            </w:r>
          </w:p>
        </w:tc>
        <w:tc>
          <w:tcPr>
            <w:tcW w:w="920" w:type="dxa"/>
            <w:noWrap/>
            <w:hideMark/>
          </w:tcPr>
          <w:p w14:paraId="6018E2A9"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72</w:t>
            </w:r>
          </w:p>
        </w:tc>
        <w:tc>
          <w:tcPr>
            <w:tcW w:w="340" w:type="dxa"/>
            <w:noWrap/>
            <w:hideMark/>
          </w:tcPr>
          <w:p w14:paraId="35BC595E" w14:textId="77777777" w:rsidR="00D45EEE" w:rsidRPr="00D45EEE" w:rsidRDefault="00D45EEE" w:rsidP="00077B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 </w:t>
            </w:r>
          </w:p>
        </w:tc>
        <w:tc>
          <w:tcPr>
            <w:tcW w:w="820" w:type="dxa"/>
            <w:noWrap/>
            <w:hideMark/>
          </w:tcPr>
          <w:p w14:paraId="15BD3B2D"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48</w:t>
            </w:r>
          </w:p>
        </w:tc>
        <w:tc>
          <w:tcPr>
            <w:tcW w:w="820" w:type="dxa"/>
            <w:noWrap/>
            <w:hideMark/>
          </w:tcPr>
          <w:p w14:paraId="1793E087"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34</w:t>
            </w:r>
          </w:p>
        </w:tc>
        <w:tc>
          <w:tcPr>
            <w:tcW w:w="820" w:type="dxa"/>
            <w:noWrap/>
            <w:hideMark/>
          </w:tcPr>
          <w:p w14:paraId="1F1950D8"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27</w:t>
            </w:r>
          </w:p>
        </w:tc>
        <w:tc>
          <w:tcPr>
            <w:tcW w:w="920" w:type="dxa"/>
            <w:noWrap/>
            <w:hideMark/>
          </w:tcPr>
          <w:p w14:paraId="293F31FB" w14:textId="77777777" w:rsidR="00D45EEE" w:rsidRPr="00D45EEE" w:rsidRDefault="00D45EEE" w:rsidP="00077B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8"/>
                <w:szCs w:val="18"/>
                <w:lang w:eastAsia="en-CA"/>
                <w14:ligatures w14:val="none"/>
              </w:rPr>
            </w:pPr>
            <w:r w:rsidRPr="00D45EEE">
              <w:rPr>
                <w:rFonts w:ascii="Calibri" w:eastAsia="Times New Roman" w:hAnsi="Calibri" w:cs="Calibri"/>
                <w:kern w:val="0"/>
                <w:sz w:val="18"/>
                <w:szCs w:val="18"/>
                <w:lang w:eastAsia="en-CA"/>
                <w14:ligatures w14:val="none"/>
              </w:rPr>
              <w:t>43</w:t>
            </w:r>
          </w:p>
        </w:tc>
      </w:tr>
    </w:tbl>
    <w:p w14:paraId="10E0627D" w14:textId="5A110D6C" w:rsidR="008C6A0B" w:rsidRDefault="008C6A0B" w:rsidP="00D45EEE">
      <w:pPr>
        <w:rPr>
          <w:rFonts w:ascii="Calibri" w:hAnsi="Calibri" w:cs="Calibri"/>
          <w:sz w:val="20"/>
          <w:szCs w:val="20"/>
          <w:lang w:val="en-US"/>
        </w:rPr>
      </w:pPr>
    </w:p>
    <w:p w14:paraId="5B3CBD80" w14:textId="77777777" w:rsidR="008C6A0B" w:rsidRDefault="008C6A0B">
      <w:pPr>
        <w:rPr>
          <w:rFonts w:ascii="Calibri" w:hAnsi="Calibri" w:cs="Calibri"/>
          <w:sz w:val="20"/>
          <w:szCs w:val="20"/>
          <w:lang w:val="en-US"/>
        </w:rPr>
      </w:pPr>
      <w:r>
        <w:rPr>
          <w:rFonts w:ascii="Calibri" w:hAnsi="Calibri" w:cs="Calibri"/>
          <w:sz w:val="20"/>
          <w:szCs w:val="20"/>
          <w:lang w:val="en-US"/>
        </w:rPr>
        <w:br w:type="page"/>
      </w:r>
    </w:p>
    <w:p w14:paraId="2C5F2B68" w14:textId="5332DB76" w:rsidR="00D45EEE" w:rsidRPr="008C6A0B" w:rsidRDefault="008C6A0B" w:rsidP="008C6A0B">
      <w:pPr>
        <w:shd w:val="clear" w:color="auto" w:fill="CAEDFB" w:themeFill="accent4" w:themeFillTint="33"/>
        <w:rPr>
          <w:rFonts w:ascii="Calibri" w:hAnsi="Calibri" w:cs="Calibri"/>
          <w:b/>
          <w:bCs/>
          <w:sz w:val="20"/>
          <w:szCs w:val="20"/>
          <w:lang w:val="en-US"/>
        </w:rPr>
      </w:pPr>
      <w:r w:rsidRPr="008C6A0B">
        <w:rPr>
          <w:rFonts w:ascii="Calibri" w:hAnsi="Calibri" w:cs="Calibri"/>
          <w:b/>
          <w:bCs/>
          <w:sz w:val="20"/>
          <w:szCs w:val="20"/>
          <w:lang w:val="en-US"/>
        </w:rPr>
        <w:lastRenderedPageBreak/>
        <w:t xml:space="preserve">Appendix F </w:t>
      </w:r>
      <w:r>
        <w:rPr>
          <w:rFonts w:ascii="Calibri" w:hAnsi="Calibri" w:cs="Calibri"/>
          <w:b/>
          <w:bCs/>
          <w:sz w:val="20"/>
          <w:szCs w:val="20"/>
          <w:lang w:val="en-US"/>
        </w:rPr>
        <w:t>Association of county background characteristics with iMMR and iSBR</w:t>
      </w:r>
    </w:p>
    <w:p w14:paraId="56A6A40A" w14:textId="37D8F73D" w:rsidR="008C6A0B" w:rsidRDefault="008C6A0B" w:rsidP="00D45EEE">
      <w:pPr>
        <w:rPr>
          <w:rFonts w:ascii="Calibri" w:hAnsi="Calibri" w:cs="Calibri"/>
          <w:sz w:val="20"/>
          <w:szCs w:val="20"/>
          <w:lang w:val="en-US"/>
        </w:rPr>
      </w:pPr>
      <w:r>
        <w:rPr>
          <w:rFonts w:ascii="Calibri" w:hAnsi="Calibri" w:cs="Calibri"/>
          <w:sz w:val="20"/>
          <w:szCs w:val="20"/>
          <w:lang w:val="en-US"/>
        </w:rPr>
        <w:t xml:space="preserve">Table F.1 shows </w:t>
      </w:r>
      <w:proofErr w:type="spellStart"/>
      <w:r>
        <w:rPr>
          <w:rFonts w:ascii="Calibri" w:hAnsi="Calibri" w:cs="Calibri"/>
          <w:sz w:val="20"/>
          <w:szCs w:val="20"/>
          <w:lang w:val="en-US"/>
        </w:rPr>
        <w:t>th</w:t>
      </w:r>
      <w:r w:rsidR="00543D81">
        <w:rPr>
          <w:rFonts w:ascii="Calibri" w:hAnsi="Calibri" w:cs="Calibri"/>
          <w:sz w:val="20"/>
          <w:szCs w:val="20"/>
          <w:lang w:val="en-US"/>
        </w:rPr>
        <w:t>e</w:t>
      </w:r>
      <w:r>
        <w:rPr>
          <w:rFonts w:ascii="Calibri" w:hAnsi="Calibri" w:cs="Calibri"/>
          <w:sz w:val="20"/>
          <w:szCs w:val="20"/>
          <w:lang w:val="en-US"/>
        </w:rPr>
        <w:t>results</w:t>
      </w:r>
      <w:proofErr w:type="spellEnd"/>
      <w:r>
        <w:rPr>
          <w:rFonts w:ascii="Calibri" w:hAnsi="Calibri" w:cs="Calibri"/>
          <w:sz w:val="20"/>
          <w:szCs w:val="20"/>
          <w:lang w:val="en-US"/>
        </w:rPr>
        <w:t xml:space="preserve"> of a linear regression between county characteristics and institutional maternal mortality ratio (iMMR) and institutional stillbirth rate (iSBR) for the 47 counties of Kenya, 2019-2022. </w:t>
      </w:r>
    </w:p>
    <w:tbl>
      <w:tblPr>
        <w:tblStyle w:val="TableGrid"/>
        <w:tblW w:w="0" w:type="auto"/>
        <w:tblLook w:val="04A0" w:firstRow="1" w:lastRow="0" w:firstColumn="1" w:lastColumn="0" w:noHBand="0" w:noVBand="1"/>
      </w:tblPr>
      <w:tblGrid>
        <w:gridCol w:w="2340"/>
        <w:gridCol w:w="1160"/>
        <w:gridCol w:w="1160"/>
        <w:gridCol w:w="960"/>
        <w:gridCol w:w="260"/>
        <w:gridCol w:w="1088"/>
        <w:gridCol w:w="960"/>
        <w:gridCol w:w="960"/>
      </w:tblGrid>
      <w:tr w:rsidR="008C6A0B" w:rsidRPr="008C6A0B" w14:paraId="1D826A16" w14:textId="77777777" w:rsidTr="008C6A0B">
        <w:trPr>
          <w:trHeight w:val="260"/>
        </w:trPr>
        <w:tc>
          <w:tcPr>
            <w:tcW w:w="2340" w:type="dxa"/>
            <w:noWrap/>
            <w:hideMark/>
          </w:tcPr>
          <w:p w14:paraId="2BFFD337" w14:textId="77777777" w:rsidR="008C6A0B" w:rsidRPr="008C6A0B" w:rsidRDefault="008C6A0B">
            <w:pPr>
              <w:rPr>
                <w:rFonts w:ascii="Calibri" w:hAnsi="Calibri" w:cs="Calibri"/>
                <w:sz w:val="20"/>
                <w:szCs w:val="20"/>
              </w:rPr>
            </w:pPr>
          </w:p>
        </w:tc>
        <w:tc>
          <w:tcPr>
            <w:tcW w:w="1160" w:type="dxa"/>
            <w:noWrap/>
            <w:hideMark/>
          </w:tcPr>
          <w:p w14:paraId="1056ABF1" w14:textId="77777777" w:rsidR="008C6A0B" w:rsidRPr="008C6A0B" w:rsidRDefault="008C6A0B">
            <w:pPr>
              <w:rPr>
                <w:rFonts w:ascii="Calibri" w:hAnsi="Calibri" w:cs="Calibri"/>
                <w:sz w:val="20"/>
                <w:szCs w:val="20"/>
              </w:rPr>
            </w:pPr>
            <w:r w:rsidRPr="008C6A0B">
              <w:rPr>
                <w:rFonts w:ascii="Calibri" w:hAnsi="Calibri" w:cs="Calibri"/>
                <w:sz w:val="20"/>
                <w:szCs w:val="20"/>
              </w:rPr>
              <w:t>iMMR</w:t>
            </w:r>
          </w:p>
        </w:tc>
        <w:tc>
          <w:tcPr>
            <w:tcW w:w="1160" w:type="dxa"/>
            <w:noWrap/>
            <w:hideMark/>
          </w:tcPr>
          <w:p w14:paraId="680EF08D" w14:textId="77777777" w:rsidR="008C6A0B" w:rsidRPr="008C6A0B" w:rsidRDefault="008C6A0B">
            <w:pPr>
              <w:rPr>
                <w:rFonts w:ascii="Calibri" w:hAnsi="Calibri" w:cs="Calibri"/>
                <w:sz w:val="20"/>
                <w:szCs w:val="20"/>
              </w:rPr>
            </w:pPr>
          </w:p>
        </w:tc>
        <w:tc>
          <w:tcPr>
            <w:tcW w:w="960" w:type="dxa"/>
            <w:noWrap/>
            <w:hideMark/>
          </w:tcPr>
          <w:p w14:paraId="202F2D50" w14:textId="77777777" w:rsidR="008C6A0B" w:rsidRPr="008C6A0B" w:rsidRDefault="008C6A0B">
            <w:pPr>
              <w:rPr>
                <w:rFonts w:ascii="Calibri" w:hAnsi="Calibri" w:cs="Calibri"/>
                <w:sz w:val="20"/>
                <w:szCs w:val="20"/>
              </w:rPr>
            </w:pPr>
          </w:p>
        </w:tc>
        <w:tc>
          <w:tcPr>
            <w:tcW w:w="260" w:type="dxa"/>
            <w:noWrap/>
            <w:hideMark/>
          </w:tcPr>
          <w:p w14:paraId="4CEA129B" w14:textId="77777777" w:rsidR="008C6A0B" w:rsidRPr="008C6A0B" w:rsidRDefault="008C6A0B">
            <w:pPr>
              <w:rPr>
                <w:rFonts w:ascii="Calibri" w:hAnsi="Calibri" w:cs="Calibri"/>
                <w:sz w:val="20"/>
                <w:szCs w:val="20"/>
              </w:rPr>
            </w:pPr>
          </w:p>
        </w:tc>
        <w:tc>
          <w:tcPr>
            <w:tcW w:w="960" w:type="dxa"/>
            <w:noWrap/>
            <w:hideMark/>
          </w:tcPr>
          <w:p w14:paraId="4AD89528" w14:textId="77777777" w:rsidR="008C6A0B" w:rsidRPr="008C6A0B" w:rsidRDefault="008C6A0B">
            <w:pPr>
              <w:rPr>
                <w:rFonts w:ascii="Calibri" w:hAnsi="Calibri" w:cs="Calibri"/>
                <w:sz w:val="20"/>
                <w:szCs w:val="20"/>
              </w:rPr>
            </w:pPr>
            <w:r w:rsidRPr="008C6A0B">
              <w:rPr>
                <w:rFonts w:ascii="Calibri" w:hAnsi="Calibri" w:cs="Calibri"/>
                <w:sz w:val="20"/>
                <w:szCs w:val="20"/>
              </w:rPr>
              <w:t>iSBR</w:t>
            </w:r>
          </w:p>
        </w:tc>
        <w:tc>
          <w:tcPr>
            <w:tcW w:w="960" w:type="dxa"/>
            <w:noWrap/>
            <w:hideMark/>
          </w:tcPr>
          <w:p w14:paraId="71DEF8FE" w14:textId="77777777" w:rsidR="008C6A0B" w:rsidRPr="008C6A0B" w:rsidRDefault="008C6A0B">
            <w:pPr>
              <w:rPr>
                <w:rFonts w:ascii="Calibri" w:hAnsi="Calibri" w:cs="Calibri"/>
                <w:sz w:val="20"/>
                <w:szCs w:val="20"/>
              </w:rPr>
            </w:pPr>
          </w:p>
        </w:tc>
        <w:tc>
          <w:tcPr>
            <w:tcW w:w="960" w:type="dxa"/>
            <w:noWrap/>
            <w:hideMark/>
          </w:tcPr>
          <w:p w14:paraId="120323D5" w14:textId="77777777" w:rsidR="008C6A0B" w:rsidRPr="008C6A0B" w:rsidRDefault="008C6A0B">
            <w:pPr>
              <w:rPr>
                <w:rFonts w:ascii="Calibri" w:hAnsi="Calibri" w:cs="Calibri"/>
                <w:sz w:val="20"/>
                <w:szCs w:val="20"/>
              </w:rPr>
            </w:pPr>
          </w:p>
        </w:tc>
      </w:tr>
      <w:tr w:rsidR="008C6A0B" w:rsidRPr="008C6A0B" w14:paraId="2336F0F9" w14:textId="77777777" w:rsidTr="008C6A0B">
        <w:trPr>
          <w:trHeight w:val="260"/>
        </w:trPr>
        <w:tc>
          <w:tcPr>
            <w:tcW w:w="2340" w:type="dxa"/>
            <w:noWrap/>
            <w:hideMark/>
          </w:tcPr>
          <w:p w14:paraId="2F2CA150" w14:textId="77777777" w:rsidR="008C6A0B" w:rsidRPr="008C6A0B" w:rsidRDefault="008C6A0B">
            <w:pPr>
              <w:rPr>
                <w:rFonts w:ascii="Calibri" w:hAnsi="Calibri" w:cs="Calibri"/>
                <w:sz w:val="20"/>
                <w:szCs w:val="20"/>
              </w:rPr>
            </w:pPr>
          </w:p>
        </w:tc>
        <w:tc>
          <w:tcPr>
            <w:tcW w:w="1160" w:type="dxa"/>
            <w:noWrap/>
            <w:hideMark/>
          </w:tcPr>
          <w:p w14:paraId="5E35534D"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Coefficient</w:t>
            </w:r>
          </w:p>
        </w:tc>
        <w:tc>
          <w:tcPr>
            <w:tcW w:w="1160" w:type="dxa"/>
            <w:noWrap/>
            <w:hideMark/>
          </w:tcPr>
          <w:p w14:paraId="3EC997A0" w14:textId="061B635F" w:rsidR="008C6A0B" w:rsidRPr="008C6A0B" w:rsidRDefault="008C6A0B" w:rsidP="008C6A0B">
            <w:pPr>
              <w:jc w:val="right"/>
              <w:rPr>
                <w:rFonts w:ascii="Calibri" w:hAnsi="Calibri" w:cs="Calibri"/>
                <w:sz w:val="20"/>
                <w:szCs w:val="20"/>
              </w:rPr>
            </w:pPr>
            <w:r w:rsidRPr="008C6A0B">
              <w:rPr>
                <w:rFonts w:ascii="Calibri" w:hAnsi="Calibri" w:cs="Calibri"/>
                <w:sz w:val="20"/>
                <w:szCs w:val="20"/>
              </w:rPr>
              <w:t xml:space="preserve">p </w:t>
            </w:r>
            <w:r w:rsidR="00E06B75">
              <w:rPr>
                <w:rFonts w:ascii="Calibri" w:hAnsi="Calibri" w:cs="Calibri"/>
                <w:sz w:val="20"/>
                <w:szCs w:val="20"/>
              </w:rPr>
              <w:t>-</w:t>
            </w:r>
            <w:r w:rsidRPr="008C6A0B">
              <w:rPr>
                <w:rFonts w:ascii="Calibri" w:hAnsi="Calibri" w:cs="Calibri"/>
                <w:sz w:val="20"/>
                <w:szCs w:val="20"/>
              </w:rPr>
              <w:t>value</w:t>
            </w:r>
          </w:p>
        </w:tc>
        <w:tc>
          <w:tcPr>
            <w:tcW w:w="960" w:type="dxa"/>
            <w:noWrap/>
            <w:hideMark/>
          </w:tcPr>
          <w:p w14:paraId="56CAA91E" w14:textId="73C93010" w:rsidR="008C6A0B" w:rsidRPr="008C6A0B" w:rsidRDefault="008C6A0B" w:rsidP="008C6A0B">
            <w:pPr>
              <w:jc w:val="right"/>
              <w:rPr>
                <w:rFonts w:ascii="Calibri" w:hAnsi="Calibri" w:cs="Calibri"/>
                <w:sz w:val="20"/>
                <w:szCs w:val="20"/>
              </w:rPr>
            </w:pPr>
            <w:r w:rsidRPr="008C6A0B">
              <w:rPr>
                <w:rFonts w:ascii="Calibri" w:hAnsi="Calibri" w:cs="Calibri"/>
                <w:sz w:val="20"/>
                <w:szCs w:val="20"/>
              </w:rPr>
              <w:t>R</w:t>
            </w:r>
            <w:r>
              <w:rPr>
                <w:rFonts w:ascii="Calibri" w:hAnsi="Calibri" w:cs="Calibri"/>
                <w:sz w:val="20"/>
                <w:szCs w:val="20"/>
              </w:rPr>
              <w:t xml:space="preserve"> </w:t>
            </w:r>
            <w:r w:rsidRPr="008C6A0B">
              <w:rPr>
                <w:rFonts w:ascii="Calibri" w:hAnsi="Calibri" w:cs="Calibri"/>
                <w:sz w:val="20"/>
                <w:szCs w:val="20"/>
              </w:rPr>
              <w:t>squared</w:t>
            </w:r>
          </w:p>
        </w:tc>
        <w:tc>
          <w:tcPr>
            <w:tcW w:w="260" w:type="dxa"/>
            <w:noWrap/>
            <w:hideMark/>
          </w:tcPr>
          <w:p w14:paraId="37C6D57E" w14:textId="77777777" w:rsidR="008C6A0B" w:rsidRPr="008C6A0B" w:rsidRDefault="008C6A0B" w:rsidP="008C6A0B">
            <w:pPr>
              <w:jc w:val="right"/>
              <w:rPr>
                <w:rFonts w:ascii="Calibri" w:hAnsi="Calibri" w:cs="Calibri"/>
                <w:sz w:val="20"/>
                <w:szCs w:val="20"/>
              </w:rPr>
            </w:pPr>
          </w:p>
        </w:tc>
        <w:tc>
          <w:tcPr>
            <w:tcW w:w="960" w:type="dxa"/>
            <w:noWrap/>
            <w:hideMark/>
          </w:tcPr>
          <w:p w14:paraId="61F90455"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Coefficient</w:t>
            </w:r>
          </w:p>
        </w:tc>
        <w:tc>
          <w:tcPr>
            <w:tcW w:w="960" w:type="dxa"/>
            <w:noWrap/>
            <w:hideMark/>
          </w:tcPr>
          <w:p w14:paraId="29282E9C"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p value</w:t>
            </w:r>
          </w:p>
        </w:tc>
        <w:tc>
          <w:tcPr>
            <w:tcW w:w="960" w:type="dxa"/>
            <w:noWrap/>
            <w:hideMark/>
          </w:tcPr>
          <w:p w14:paraId="0590E893" w14:textId="0845D8A4" w:rsidR="008C6A0B" w:rsidRPr="008C6A0B" w:rsidRDefault="008C6A0B" w:rsidP="008C6A0B">
            <w:pPr>
              <w:jc w:val="right"/>
              <w:rPr>
                <w:rFonts w:ascii="Calibri" w:hAnsi="Calibri" w:cs="Calibri"/>
                <w:sz w:val="20"/>
                <w:szCs w:val="20"/>
              </w:rPr>
            </w:pPr>
            <w:r w:rsidRPr="008C6A0B">
              <w:rPr>
                <w:rFonts w:ascii="Calibri" w:hAnsi="Calibri" w:cs="Calibri"/>
                <w:sz w:val="20"/>
                <w:szCs w:val="20"/>
              </w:rPr>
              <w:t>R</w:t>
            </w:r>
            <w:r>
              <w:rPr>
                <w:rFonts w:ascii="Calibri" w:hAnsi="Calibri" w:cs="Calibri"/>
                <w:sz w:val="20"/>
                <w:szCs w:val="20"/>
              </w:rPr>
              <w:t xml:space="preserve"> </w:t>
            </w:r>
            <w:r w:rsidRPr="008C6A0B">
              <w:rPr>
                <w:rFonts w:ascii="Calibri" w:hAnsi="Calibri" w:cs="Calibri"/>
                <w:sz w:val="20"/>
                <w:szCs w:val="20"/>
              </w:rPr>
              <w:t>squared</w:t>
            </w:r>
          </w:p>
        </w:tc>
      </w:tr>
      <w:tr w:rsidR="008C6A0B" w:rsidRPr="008C6A0B" w14:paraId="70E76EEA" w14:textId="77777777" w:rsidTr="008C6A0B">
        <w:trPr>
          <w:trHeight w:val="260"/>
        </w:trPr>
        <w:tc>
          <w:tcPr>
            <w:tcW w:w="2340" w:type="dxa"/>
            <w:noWrap/>
            <w:hideMark/>
          </w:tcPr>
          <w:p w14:paraId="0DC74253" w14:textId="77777777" w:rsidR="008C6A0B" w:rsidRPr="008C6A0B" w:rsidRDefault="008C6A0B">
            <w:pPr>
              <w:rPr>
                <w:rFonts w:ascii="Calibri" w:hAnsi="Calibri" w:cs="Calibri"/>
                <w:sz w:val="20"/>
                <w:szCs w:val="20"/>
              </w:rPr>
            </w:pPr>
            <w:r w:rsidRPr="008C6A0B">
              <w:rPr>
                <w:rFonts w:ascii="Calibri" w:hAnsi="Calibri" w:cs="Calibri"/>
                <w:sz w:val="20"/>
                <w:szCs w:val="20"/>
              </w:rPr>
              <w:t>Coverage of live births</w:t>
            </w:r>
          </w:p>
        </w:tc>
        <w:tc>
          <w:tcPr>
            <w:tcW w:w="1160" w:type="dxa"/>
            <w:noWrap/>
            <w:hideMark/>
          </w:tcPr>
          <w:p w14:paraId="304810AB"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-0.71</w:t>
            </w:r>
          </w:p>
        </w:tc>
        <w:tc>
          <w:tcPr>
            <w:tcW w:w="1160" w:type="dxa"/>
            <w:noWrap/>
            <w:hideMark/>
          </w:tcPr>
          <w:p w14:paraId="57B43188"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0.07</w:t>
            </w:r>
          </w:p>
        </w:tc>
        <w:tc>
          <w:tcPr>
            <w:tcW w:w="960" w:type="dxa"/>
            <w:noWrap/>
            <w:hideMark/>
          </w:tcPr>
          <w:p w14:paraId="36DD1E33"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0.07</w:t>
            </w:r>
          </w:p>
        </w:tc>
        <w:tc>
          <w:tcPr>
            <w:tcW w:w="260" w:type="dxa"/>
            <w:noWrap/>
            <w:hideMark/>
          </w:tcPr>
          <w:p w14:paraId="5BDC64AA" w14:textId="77777777" w:rsidR="008C6A0B" w:rsidRPr="008C6A0B" w:rsidRDefault="008C6A0B" w:rsidP="008C6A0B">
            <w:pPr>
              <w:jc w:val="right"/>
              <w:rPr>
                <w:rFonts w:ascii="Calibri" w:hAnsi="Calibri" w:cs="Calibri"/>
                <w:sz w:val="20"/>
                <w:szCs w:val="20"/>
              </w:rPr>
            </w:pPr>
          </w:p>
        </w:tc>
        <w:tc>
          <w:tcPr>
            <w:tcW w:w="960" w:type="dxa"/>
            <w:noWrap/>
            <w:hideMark/>
          </w:tcPr>
          <w:p w14:paraId="310EBB4E"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-0.13</w:t>
            </w:r>
          </w:p>
        </w:tc>
        <w:tc>
          <w:tcPr>
            <w:tcW w:w="960" w:type="dxa"/>
            <w:noWrap/>
            <w:hideMark/>
          </w:tcPr>
          <w:p w14:paraId="1D34683E"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0.00</w:t>
            </w:r>
          </w:p>
        </w:tc>
        <w:tc>
          <w:tcPr>
            <w:tcW w:w="960" w:type="dxa"/>
            <w:noWrap/>
            <w:hideMark/>
          </w:tcPr>
          <w:p w14:paraId="7E8FE23E"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0.25</w:t>
            </w:r>
          </w:p>
        </w:tc>
      </w:tr>
      <w:tr w:rsidR="008C6A0B" w:rsidRPr="008C6A0B" w14:paraId="67AFC6E5" w14:textId="77777777" w:rsidTr="008C6A0B">
        <w:trPr>
          <w:trHeight w:val="260"/>
        </w:trPr>
        <w:tc>
          <w:tcPr>
            <w:tcW w:w="2340" w:type="dxa"/>
            <w:noWrap/>
            <w:hideMark/>
          </w:tcPr>
          <w:p w14:paraId="7996F3BA" w14:textId="77777777" w:rsidR="008C6A0B" w:rsidRPr="008C6A0B" w:rsidRDefault="008C6A0B">
            <w:pPr>
              <w:rPr>
                <w:rFonts w:ascii="Calibri" w:hAnsi="Calibri" w:cs="Calibri"/>
                <w:sz w:val="20"/>
                <w:szCs w:val="20"/>
              </w:rPr>
            </w:pPr>
            <w:r w:rsidRPr="008C6A0B">
              <w:rPr>
                <w:rFonts w:ascii="Calibri" w:hAnsi="Calibri" w:cs="Calibri"/>
                <w:sz w:val="20"/>
                <w:szCs w:val="20"/>
              </w:rPr>
              <w:t>Poverty rate</w:t>
            </w:r>
          </w:p>
        </w:tc>
        <w:tc>
          <w:tcPr>
            <w:tcW w:w="1160" w:type="dxa"/>
            <w:noWrap/>
            <w:hideMark/>
          </w:tcPr>
          <w:p w14:paraId="2F1115FD"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0.77</w:t>
            </w:r>
          </w:p>
        </w:tc>
        <w:tc>
          <w:tcPr>
            <w:tcW w:w="1160" w:type="dxa"/>
            <w:noWrap/>
            <w:hideMark/>
          </w:tcPr>
          <w:p w14:paraId="3D8568A5"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0.06</w:t>
            </w:r>
          </w:p>
        </w:tc>
        <w:tc>
          <w:tcPr>
            <w:tcW w:w="960" w:type="dxa"/>
            <w:noWrap/>
            <w:hideMark/>
          </w:tcPr>
          <w:p w14:paraId="420C64B2"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0.08</w:t>
            </w:r>
          </w:p>
        </w:tc>
        <w:tc>
          <w:tcPr>
            <w:tcW w:w="260" w:type="dxa"/>
            <w:noWrap/>
            <w:hideMark/>
          </w:tcPr>
          <w:p w14:paraId="707FE9F0" w14:textId="77777777" w:rsidR="008C6A0B" w:rsidRPr="008C6A0B" w:rsidRDefault="008C6A0B" w:rsidP="008C6A0B">
            <w:pPr>
              <w:jc w:val="right"/>
              <w:rPr>
                <w:rFonts w:ascii="Calibri" w:hAnsi="Calibri" w:cs="Calibri"/>
                <w:sz w:val="20"/>
                <w:szCs w:val="20"/>
              </w:rPr>
            </w:pPr>
          </w:p>
        </w:tc>
        <w:tc>
          <w:tcPr>
            <w:tcW w:w="960" w:type="dxa"/>
            <w:noWrap/>
            <w:hideMark/>
          </w:tcPr>
          <w:p w14:paraId="763E7DE4"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0.11</w:t>
            </w:r>
          </w:p>
        </w:tc>
        <w:tc>
          <w:tcPr>
            <w:tcW w:w="960" w:type="dxa"/>
            <w:noWrap/>
            <w:hideMark/>
          </w:tcPr>
          <w:p w14:paraId="56708EA2"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0.00</w:t>
            </w:r>
          </w:p>
        </w:tc>
        <w:tc>
          <w:tcPr>
            <w:tcW w:w="960" w:type="dxa"/>
            <w:noWrap/>
            <w:hideMark/>
          </w:tcPr>
          <w:p w14:paraId="371CD1F7"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0.17</w:t>
            </w:r>
          </w:p>
        </w:tc>
      </w:tr>
      <w:tr w:rsidR="008C6A0B" w:rsidRPr="008C6A0B" w14:paraId="75EECAAB" w14:textId="77777777" w:rsidTr="008C6A0B">
        <w:trPr>
          <w:trHeight w:val="260"/>
        </w:trPr>
        <w:tc>
          <w:tcPr>
            <w:tcW w:w="2340" w:type="dxa"/>
            <w:noWrap/>
            <w:hideMark/>
          </w:tcPr>
          <w:p w14:paraId="5D6E3B0C" w14:textId="77777777" w:rsidR="008C6A0B" w:rsidRPr="008C6A0B" w:rsidRDefault="008C6A0B">
            <w:pPr>
              <w:rPr>
                <w:rFonts w:ascii="Calibri" w:hAnsi="Calibri" w:cs="Calibri"/>
                <w:sz w:val="20"/>
                <w:szCs w:val="20"/>
              </w:rPr>
            </w:pPr>
            <w:r w:rsidRPr="008C6A0B">
              <w:rPr>
                <w:rFonts w:ascii="Calibri" w:hAnsi="Calibri" w:cs="Calibri"/>
                <w:sz w:val="20"/>
                <w:szCs w:val="20"/>
              </w:rPr>
              <w:t>Education level</w:t>
            </w:r>
          </w:p>
        </w:tc>
        <w:tc>
          <w:tcPr>
            <w:tcW w:w="1160" w:type="dxa"/>
            <w:noWrap/>
            <w:hideMark/>
          </w:tcPr>
          <w:p w14:paraId="68DC1EDD"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-0.80</w:t>
            </w:r>
          </w:p>
        </w:tc>
        <w:tc>
          <w:tcPr>
            <w:tcW w:w="1160" w:type="dxa"/>
            <w:noWrap/>
            <w:hideMark/>
          </w:tcPr>
          <w:p w14:paraId="5F98E684"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0.03</w:t>
            </w:r>
          </w:p>
        </w:tc>
        <w:tc>
          <w:tcPr>
            <w:tcW w:w="960" w:type="dxa"/>
            <w:noWrap/>
            <w:hideMark/>
          </w:tcPr>
          <w:p w14:paraId="07D034D1"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0.10</w:t>
            </w:r>
          </w:p>
        </w:tc>
        <w:tc>
          <w:tcPr>
            <w:tcW w:w="260" w:type="dxa"/>
            <w:noWrap/>
            <w:hideMark/>
          </w:tcPr>
          <w:p w14:paraId="5986E7C0" w14:textId="77777777" w:rsidR="008C6A0B" w:rsidRPr="008C6A0B" w:rsidRDefault="008C6A0B" w:rsidP="008C6A0B">
            <w:pPr>
              <w:jc w:val="right"/>
              <w:rPr>
                <w:rFonts w:ascii="Calibri" w:hAnsi="Calibri" w:cs="Calibri"/>
                <w:sz w:val="20"/>
                <w:szCs w:val="20"/>
              </w:rPr>
            </w:pPr>
          </w:p>
        </w:tc>
        <w:tc>
          <w:tcPr>
            <w:tcW w:w="960" w:type="dxa"/>
            <w:noWrap/>
            <w:hideMark/>
          </w:tcPr>
          <w:p w14:paraId="2775A8F0"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-0.13</w:t>
            </w:r>
          </w:p>
        </w:tc>
        <w:tc>
          <w:tcPr>
            <w:tcW w:w="960" w:type="dxa"/>
            <w:noWrap/>
            <w:hideMark/>
          </w:tcPr>
          <w:p w14:paraId="67DEC026"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0.00</w:t>
            </w:r>
          </w:p>
        </w:tc>
        <w:tc>
          <w:tcPr>
            <w:tcW w:w="960" w:type="dxa"/>
            <w:noWrap/>
            <w:hideMark/>
          </w:tcPr>
          <w:p w14:paraId="677E5E26"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0.30</w:t>
            </w:r>
          </w:p>
        </w:tc>
      </w:tr>
      <w:tr w:rsidR="008C6A0B" w:rsidRPr="008C6A0B" w14:paraId="4F0A1ACA" w14:textId="77777777" w:rsidTr="008C6A0B">
        <w:trPr>
          <w:trHeight w:val="260"/>
        </w:trPr>
        <w:tc>
          <w:tcPr>
            <w:tcW w:w="2340" w:type="dxa"/>
            <w:noWrap/>
            <w:hideMark/>
          </w:tcPr>
          <w:p w14:paraId="64E1ED6B" w14:textId="77777777" w:rsidR="008C6A0B" w:rsidRPr="008C6A0B" w:rsidRDefault="008C6A0B">
            <w:pPr>
              <w:rPr>
                <w:rFonts w:ascii="Calibri" w:hAnsi="Calibri" w:cs="Calibri"/>
                <w:sz w:val="20"/>
                <w:szCs w:val="20"/>
              </w:rPr>
            </w:pPr>
            <w:r w:rsidRPr="008C6A0B">
              <w:rPr>
                <w:rFonts w:ascii="Calibri" w:hAnsi="Calibri" w:cs="Calibri"/>
                <w:sz w:val="20"/>
                <w:szCs w:val="20"/>
              </w:rPr>
              <w:t>Total fertility rate</w:t>
            </w:r>
          </w:p>
        </w:tc>
        <w:tc>
          <w:tcPr>
            <w:tcW w:w="1160" w:type="dxa"/>
            <w:noWrap/>
            <w:hideMark/>
          </w:tcPr>
          <w:p w14:paraId="4A5DFFE8"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5.71</w:t>
            </w:r>
          </w:p>
        </w:tc>
        <w:tc>
          <w:tcPr>
            <w:tcW w:w="1160" w:type="dxa"/>
            <w:noWrap/>
            <w:hideMark/>
          </w:tcPr>
          <w:p w14:paraId="132F3F8D"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0.26</w:t>
            </w:r>
          </w:p>
        </w:tc>
        <w:tc>
          <w:tcPr>
            <w:tcW w:w="960" w:type="dxa"/>
            <w:noWrap/>
            <w:hideMark/>
          </w:tcPr>
          <w:p w14:paraId="16A5B6A7"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0.03</w:t>
            </w:r>
          </w:p>
        </w:tc>
        <w:tc>
          <w:tcPr>
            <w:tcW w:w="260" w:type="dxa"/>
            <w:noWrap/>
            <w:hideMark/>
          </w:tcPr>
          <w:p w14:paraId="6E5CE182" w14:textId="77777777" w:rsidR="008C6A0B" w:rsidRPr="008C6A0B" w:rsidRDefault="008C6A0B" w:rsidP="008C6A0B">
            <w:pPr>
              <w:jc w:val="right"/>
              <w:rPr>
                <w:rFonts w:ascii="Calibri" w:hAnsi="Calibri" w:cs="Calibri"/>
                <w:sz w:val="20"/>
                <w:szCs w:val="20"/>
              </w:rPr>
            </w:pPr>
          </w:p>
        </w:tc>
        <w:tc>
          <w:tcPr>
            <w:tcW w:w="960" w:type="dxa"/>
            <w:noWrap/>
            <w:hideMark/>
          </w:tcPr>
          <w:p w14:paraId="7C4424F2"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1.62</w:t>
            </w:r>
          </w:p>
        </w:tc>
        <w:tc>
          <w:tcPr>
            <w:tcW w:w="960" w:type="dxa"/>
            <w:noWrap/>
            <w:hideMark/>
          </w:tcPr>
          <w:p w14:paraId="5D4A4755"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0.00</w:t>
            </w:r>
          </w:p>
        </w:tc>
        <w:tc>
          <w:tcPr>
            <w:tcW w:w="960" w:type="dxa"/>
            <w:noWrap/>
            <w:hideMark/>
          </w:tcPr>
          <w:p w14:paraId="059F659E"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0.23</w:t>
            </w:r>
          </w:p>
        </w:tc>
      </w:tr>
      <w:tr w:rsidR="008C6A0B" w:rsidRPr="008C6A0B" w14:paraId="7BBE6BD3" w14:textId="77777777" w:rsidTr="008C6A0B">
        <w:trPr>
          <w:trHeight w:val="260"/>
        </w:trPr>
        <w:tc>
          <w:tcPr>
            <w:tcW w:w="2340" w:type="dxa"/>
            <w:noWrap/>
            <w:hideMark/>
          </w:tcPr>
          <w:p w14:paraId="51B2A0A8" w14:textId="77777777" w:rsidR="008C6A0B" w:rsidRPr="008C6A0B" w:rsidRDefault="008C6A0B">
            <w:pPr>
              <w:rPr>
                <w:rFonts w:ascii="Calibri" w:hAnsi="Calibri" w:cs="Calibri"/>
                <w:sz w:val="20"/>
                <w:szCs w:val="20"/>
              </w:rPr>
            </w:pPr>
            <w:r w:rsidRPr="008C6A0B">
              <w:rPr>
                <w:rFonts w:ascii="Calibri" w:hAnsi="Calibri" w:cs="Calibri"/>
                <w:sz w:val="20"/>
                <w:szCs w:val="20"/>
              </w:rPr>
              <w:t>General fertility rate</w:t>
            </w:r>
          </w:p>
        </w:tc>
        <w:tc>
          <w:tcPr>
            <w:tcW w:w="1160" w:type="dxa"/>
            <w:noWrap/>
            <w:hideMark/>
          </w:tcPr>
          <w:p w14:paraId="4CCA2EBD"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0.19</w:t>
            </w:r>
          </w:p>
        </w:tc>
        <w:tc>
          <w:tcPr>
            <w:tcW w:w="1160" w:type="dxa"/>
            <w:noWrap/>
            <w:hideMark/>
          </w:tcPr>
          <w:p w14:paraId="036FDD1C"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0.19</w:t>
            </w:r>
          </w:p>
        </w:tc>
        <w:tc>
          <w:tcPr>
            <w:tcW w:w="960" w:type="dxa"/>
            <w:noWrap/>
            <w:hideMark/>
          </w:tcPr>
          <w:p w14:paraId="7582237B"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0.04</w:t>
            </w:r>
          </w:p>
        </w:tc>
        <w:tc>
          <w:tcPr>
            <w:tcW w:w="260" w:type="dxa"/>
            <w:noWrap/>
            <w:hideMark/>
          </w:tcPr>
          <w:p w14:paraId="1C981B40" w14:textId="77777777" w:rsidR="008C6A0B" w:rsidRPr="008C6A0B" w:rsidRDefault="008C6A0B" w:rsidP="008C6A0B">
            <w:pPr>
              <w:jc w:val="right"/>
              <w:rPr>
                <w:rFonts w:ascii="Calibri" w:hAnsi="Calibri" w:cs="Calibri"/>
                <w:sz w:val="20"/>
                <w:szCs w:val="20"/>
              </w:rPr>
            </w:pPr>
          </w:p>
        </w:tc>
        <w:tc>
          <w:tcPr>
            <w:tcW w:w="960" w:type="dxa"/>
            <w:noWrap/>
            <w:hideMark/>
          </w:tcPr>
          <w:p w14:paraId="125A1994"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0.05</w:t>
            </w:r>
          </w:p>
        </w:tc>
        <w:tc>
          <w:tcPr>
            <w:tcW w:w="960" w:type="dxa"/>
            <w:noWrap/>
            <w:hideMark/>
          </w:tcPr>
          <w:p w14:paraId="25940681"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0.00</w:t>
            </w:r>
          </w:p>
        </w:tc>
        <w:tc>
          <w:tcPr>
            <w:tcW w:w="960" w:type="dxa"/>
            <w:noWrap/>
            <w:hideMark/>
          </w:tcPr>
          <w:p w14:paraId="3ACA3E22"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0.27</w:t>
            </w:r>
          </w:p>
        </w:tc>
      </w:tr>
      <w:tr w:rsidR="008C6A0B" w:rsidRPr="008C6A0B" w14:paraId="17BBFF16" w14:textId="77777777" w:rsidTr="008C6A0B">
        <w:trPr>
          <w:trHeight w:val="260"/>
        </w:trPr>
        <w:tc>
          <w:tcPr>
            <w:tcW w:w="2340" w:type="dxa"/>
            <w:noWrap/>
            <w:hideMark/>
          </w:tcPr>
          <w:p w14:paraId="533B76D0" w14:textId="77777777" w:rsidR="008C6A0B" w:rsidRPr="008C6A0B" w:rsidRDefault="008C6A0B">
            <w:pPr>
              <w:rPr>
                <w:rFonts w:ascii="Calibri" w:hAnsi="Calibri" w:cs="Calibri"/>
                <w:sz w:val="20"/>
                <w:szCs w:val="20"/>
              </w:rPr>
            </w:pPr>
            <w:r w:rsidRPr="008C6A0B">
              <w:rPr>
                <w:rFonts w:ascii="Calibri" w:hAnsi="Calibri" w:cs="Calibri"/>
                <w:sz w:val="20"/>
                <w:szCs w:val="20"/>
              </w:rPr>
              <w:t>Health worker density</w:t>
            </w:r>
          </w:p>
        </w:tc>
        <w:tc>
          <w:tcPr>
            <w:tcW w:w="1160" w:type="dxa"/>
            <w:noWrap/>
            <w:hideMark/>
          </w:tcPr>
          <w:p w14:paraId="2B49D877"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-0.03</w:t>
            </w:r>
          </w:p>
        </w:tc>
        <w:tc>
          <w:tcPr>
            <w:tcW w:w="1160" w:type="dxa"/>
            <w:noWrap/>
            <w:hideMark/>
          </w:tcPr>
          <w:p w14:paraId="4B020AF9"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0.99</w:t>
            </w:r>
          </w:p>
        </w:tc>
        <w:tc>
          <w:tcPr>
            <w:tcW w:w="960" w:type="dxa"/>
            <w:noWrap/>
            <w:hideMark/>
          </w:tcPr>
          <w:p w14:paraId="286BBFB6"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0.00</w:t>
            </w:r>
          </w:p>
        </w:tc>
        <w:tc>
          <w:tcPr>
            <w:tcW w:w="260" w:type="dxa"/>
            <w:noWrap/>
            <w:hideMark/>
          </w:tcPr>
          <w:p w14:paraId="48A66702" w14:textId="77777777" w:rsidR="008C6A0B" w:rsidRPr="008C6A0B" w:rsidRDefault="008C6A0B" w:rsidP="008C6A0B">
            <w:pPr>
              <w:jc w:val="right"/>
              <w:rPr>
                <w:rFonts w:ascii="Calibri" w:hAnsi="Calibri" w:cs="Calibri"/>
                <w:sz w:val="20"/>
                <w:szCs w:val="20"/>
              </w:rPr>
            </w:pPr>
          </w:p>
        </w:tc>
        <w:tc>
          <w:tcPr>
            <w:tcW w:w="960" w:type="dxa"/>
            <w:noWrap/>
            <w:hideMark/>
          </w:tcPr>
          <w:p w14:paraId="32CA92EA"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-0.41</w:t>
            </w:r>
          </w:p>
        </w:tc>
        <w:tc>
          <w:tcPr>
            <w:tcW w:w="960" w:type="dxa"/>
            <w:noWrap/>
            <w:hideMark/>
          </w:tcPr>
          <w:p w14:paraId="2072F706"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0.00</w:t>
            </w:r>
          </w:p>
        </w:tc>
        <w:tc>
          <w:tcPr>
            <w:tcW w:w="960" w:type="dxa"/>
            <w:noWrap/>
            <w:hideMark/>
          </w:tcPr>
          <w:p w14:paraId="757B56C0"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0.17</w:t>
            </w:r>
          </w:p>
        </w:tc>
      </w:tr>
      <w:tr w:rsidR="008C6A0B" w:rsidRPr="008C6A0B" w14:paraId="3C180629" w14:textId="77777777" w:rsidTr="008C6A0B">
        <w:trPr>
          <w:trHeight w:val="260"/>
        </w:trPr>
        <w:tc>
          <w:tcPr>
            <w:tcW w:w="2340" w:type="dxa"/>
            <w:noWrap/>
            <w:hideMark/>
          </w:tcPr>
          <w:p w14:paraId="2235A1DF" w14:textId="77777777" w:rsidR="008C6A0B" w:rsidRPr="008C6A0B" w:rsidRDefault="008C6A0B">
            <w:pPr>
              <w:rPr>
                <w:rFonts w:ascii="Calibri" w:hAnsi="Calibri" w:cs="Calibri"/>
                <w:sz w:val="20"/>
                <w:szCs w:val="20"/>
              </w:rPr>
            </w:pPr>
            <w:r w:rsidRPr="008C6A0B">
              <w:rPr>
                <w:rFonts w:ascii="Calibri" w:hAnsi="Calibri" w:cs="Calibri"/>
                <w:sz w:val="20"/>
                <w:szCs w:val="20"/>
              </w:rPr>
              <w:t>Beds density</w:t>
            </w:r>
          </w:p>
        </w:tc>
        <w:tc>
          <w:tcPr>
            <w:tcW w:w="1160" w:type="dxa"/>
            <w:noWrap/>
            <w:hideMark/>
          </w:tcPr>
          <w:p w14:paraId="7E8FA84C"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0.42</w:t>
            </w:r>
          </w:p>
        </w:tc>
        <w:tc>
          <w:tcPr>
            <w:tcW w:w="1160" w:type="dxa"/>
            <w:noWrap/>
            <w:hideMark/>
          </w:tcPr>
          <w:p w14:paraId="683865F7"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0.49</w:t>
            </w:r>
          </w:p>
        </w:tc>
        <w:tc>
          <w:tcPr>
            <w:tcW w:w="960" w:type="dxa"/>
            <w:noWrap/>
            <w:hideMark/>
          </w:tcPr>
          <w:p w14:paraId="56ACA665"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0.01</w:t>
            </w:r>
          </w:p>
        </w:tc>
        <w:tc>
          <w:tcPr>
            <w:tcW w:w="260" w:type="dxa"/>
            <w:noWrap/>
            <w:hideMark/>
          </w:tcPr>
          <w:p w14:paraId="38785F96" w14:textId="77777777" w:rsidR="008C6A0B" w:rsidRPr="008C6A0B" w:rsidRDefault="008C6A0B" w:rsidP="008C6A0B">
            <w:pPr>
              <w:jc w:val="right"/>
              <w:rPr>
                <w:rFonts w:ascii="Calibri" w:hAnsi="Calibri" w:cs="Calibri"/>
                <w:sz w:val="20"/>
                <w:szCs w:val="20"/>
              </w:rPr>
            </w:pPr>
          </w:p>
        </w:tc>
        <w:tc>
          <w:tcPr>
            <w:tcW w:w="960" w:type="dxa"/>
            <w:noWrap/>
            <w:hideMark/>
          </w:tcPr>
          <w:p w14:paraId="7CF7D0BC"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-0.14</w:t>
            </w:r>
          </w:p>
        </w:tc>
        <w:tc>
          <w:tcPr>
            <w:tcW w:w="960" w:type="dxa"/>
            <w:noWrap/>
            <w:hideMark/>
          </w:tcPr>
          <w:p w14:paraId="4A0FB4EE"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0.02</w:t>
            </w:r>
          </w:p>
        </w:tc>
        <w:tc>
          <w:tcPr>
            <w:tcW w:w="960" w:type="dxa"/>
            <w:noWrap/>
            <w:hideMark/>
          </w:tcPr>
          <w:p w14:paraId="579CF962" w14:textId="77777777" w:rsidR="008C6A0B" w:rsidRPr="008C6A0B" w:rsidRDefault="008C6A0B" w:rsidP="008C6A0B">
            <w:pPr>
              <w:jc w:val="right"/>
              <w:rPr>
                <w:rFonts w:ascii="Calibri" w:hAnsi="Calibri" w:cs="Calibri"/>
                <w:sz w:val="20"/>
                <w:szCs w:val="20"/>
              </w:rPr>
            </w:pPr>
            <w:r w:rsidRPr="008C6A0B">
              <w:rPr>
                <w:rFonts w:ascii="Calibri" w:hAnsi="Calibri" w:cs="Calibri"/>
                <w:sz w:val="20"/>
                <w:szCs w:val="20"/>
              </w:rPr>
              <w:t>0.12</w:t>
            </w:r>
          </w:p>
        </w:tc>
      </w:tr>
    </w:tbl>
    <w:p w14:paraId="62E9DD43" w14:textId="77777777" w:rsidR="008C6A0B" w:rsidRDefault="008C6A0B" w:rsidP="00D45EEE">
      <w:pPr>
        <w:rPr>
          <w:rFonts w:ascii="Calibri" w:hAnsi="Calibri" w:cs="Calibri"/>
          <w:sz w:val="20"/>
          <w:szCs w:val="20"/>
          <w:lang w:val="en-US"/>
        </w:rPr>
      </w:pPr>
    </w:p>
    <w:p w14:paraId="119E9A5D" w14:textId="77777777" w:rsidR="008C6A0B" w:rsidRPr="005303D7" w:rsidRDefault="008C6A0B" w:rsidP="00D45EEE">
      <w:pPr>
        <w:rPr>
          <w:rFonts w:ascii="Calibri" w:hAnsi="Calibri" w:cs="Calibri"/>
          <w:sz w:val="20"/>
          <w:szCs w:val="20"/>
          <w:lang w:val="en-US"/>
        </w:rPr>
      </w:pPr>
    </w:p>
    <w:p w14:paraId="0B2F00CC" w14:textId="04485310" w:rsidR="008C6A0B" w:rsidRDefault="008C6A0B">
      <w:pPr>
        <w:rPr>
          <w:rFonts w:ascii="Calibri" w:hAnsi="Calibri" w:cs="Calibri"/>
          <w:sz w:val="20"/>
          <w:szCs w:val="20"/>
          <w:lang w:val="en-US"/>
        </w:rPr>
      </w:pPr>
      <w:r>
        <w:rPr>
          <w:rFonts w:ascii="Calibri" w:hAnsi="Calibri" w:cs="Calibri"/>
          <w:sz w:val="20"/>
          <w:szCs w:val="20"/>
          <w:lang w:val="en-US"/>
        </w:rPr>
        <w:br w:type="page"/>
      </w:r>
    </w:p>
    <w:p w14:paraId="5CD8A2DD" w14:textId="111521F7" w:rsidR="008C6A0B" w:rsidRPr="005303D7" w:rsidRDefault="008C6A0B" w:rsidP="008C6A0B">
      <w:pPr>
        <w:shd w:val="clear" w:color="auto" w:fill="CAEDFB" w:themeFill="accent4" w:themeFillTint="33"/>
        <w:rPr>
          <w:b/>
          <w:bCs/>
          <w:sz w:val="20"/>
          <w:szCs w:val="20"/>
          <w:lang w:val="en-US"/>
        </w:rPr>
      </w:pPr>
      <w:r w:rsidRPr="005303D7">
        <w:rPr>
          <w:b/>
          <w:bCs/>
          <w:sz w:val="20"/>
          <w:szCs w:val="20"/>
          <w:lang w:val="en-US"/>
        </w:rPr>
        <w:lastRenderedPageBreak/>
        <w:t xml:space="preserve">Appendix </w:t>
      </w:r>
      <w:r>
        <w:rPr>
          <w:b/>
          <w:bCs/>
          <w:sz w:val="20"/>
          <w:szCs w:val="20"/>
          <w:lang w:val="en-US"/>
        </w:rPr>
        <w:t>G</w:t>
      </w:r>
      <w:r w:rsidRPr="005303D7">
        <w:rPr>
          <w:b/>
          <w:bCs/>
          <w:sz w:val="20"/>
          <w:szCs w:val="20"/>
          <w:lang w:val="en-US"/>
        </w:rPr>
        <w:t xml:space="preserve"> Comparison KHIS and MPDSR</w:t>
      </w:r>
    </w:p>
    <w:p w14:paraId="7DECDC29" w14:textId="1991AAEA" w:rsidR="008C6A0B" w:rsidRPr="005303D7" w:rsidRDefault="008C6A0B" w:rsidP="008C6A0B">
      <w:pPr>
        <w:rPr>
          <w:sz w:val="20"/>
          <w:szCs w:val="20"/>
          <w:lang w:val="en-US"/>
        </w:rPr>
      </w:pPr>
      <w:r w:rsidRPr="005303D7">
        <w:rPr>
          <w:sz w:val="20"/>
          <w:szCs w:val="20"/>
          <w:lang w:val="en-US"/>
        </w:rPr>
        <w:t>From 2017 to 2019, the M(P)DSR reported lower numbers than KHIS but since 2020, about 10% more deaths are reported through MDSR than KHIS (Figure 4 and Table 1). The number of counties reporting in the MPDSR increased over time, and so did the numbers of maternal deaths. By 2022, the MPDSR numbers were at least 25% higher than the KHIS annual numbers in 20 of the 47 counties.</w:t>
      </w:r>
      <w:r>
        <w:rPr>
          <w:sz w:val="20"/>
          <w:szCs w:val="20"/>
          <w:lang w:val="en-US"/>
        </w:rPr>
        <w:t xml:space="preserve"> </w:t>
      </w:r>
      <w:r w:rsidRPr="005303D7">
        <w:rPr>
          <w:sz w:val="20"/>
          <w:szCs w:val="20"/>
          <w:lang w:val="en-US"/>
        </w:rPr>
        <w:t xml:space="preserve">Since underreporting is the main challenge, we selected the highest value of either system as the best reported number. As expected, this resulted in an increase of the total number of reported deaths in Kenya as a whole. The greatest increase was in 2022 (28%), followed by 2021 (24% higher than in KHIS). </w:t>
      </w:r>
      <w:r w:rsidRPr="005303D7">
        <w:rPr>
          <w:rFonts w:cs="Times New Roman"/>
          <w:sz w:val="20"/>
          <w:szCs w:val="20"/>
          <w:lang w:val="en-US"/>
        </w:rPr>
        <w:t xml:space="preserve">We also created a new variable ‘mdbest’ which is the maximum </w:t>
      </w:r>
      <w:r>
        <w:rPr>
          <w:rFonts w:cs="Times New Roman"/>
          <w:sz w:val="20"/>
          <w:szCs w:val="20"/>
          <w:lang w:val="en-US"/>
        </w:rPr>
        <w:t xml:space="preserve">annual </w:t>
      </w:r>
      <w:r w:rsidRPr="005303D7">
        <w:rPr>
          <w:rFonts w:cs="Times New Roman"/>
          <w:sz w:val="20"/>
          <w:szCs w:val="20"/>
          <w:lang w:val="en-US"/>
        </w:rPr>
        <w:t>value for either the KHIS or the MPDSR maternal death estimates.</w:t>
      </w:r>
    </w:p>
    <w:p w14:paraId="02C715F9" w14:textId="7C31DD8D" w:rsidR="008C6A0B" w:rsidRPr="005303D7" w:rsidRDefault="008C6A0B" w:rsidP="008C6A0B">
      <w:pPr>
        <w:pStyle w:val="Caption"/>
        <w:rPr>
          <w:rFonts w:ascii="Calibri" w:hAnsi="Calibri" w:cs="Calibri"/>
          <w:b/>
          <w:bCs/>
          <w:i w:val="0"/>
          <w:iCs w:val="0"/>
          <w:sz w:val="20"/>
          <w:szCs w:val="20"/>
          <w:lang w:val="en-US"/>
        </w:rPr>
      </w:pPr>
      <w:r w:rsidRPr="005303D7">
        <w:rPr>
          <w:rFonts w:ascii="Calibri" w:hAnsi="Calibri" w:cs="Calibri"/>
          <w:b/>
          <w:bCs/>
          <w:i w:val="0"/>
          <w:iCs w:val="0"/>
          <w:sz w:val="20"/>
          <w:szCs w:val="20"/>
          <w:lang w:val="en-US"/>
        </w:rPr>
        <w:t xml:space="preserve">Figure </w:t>
      </w:r>
      <w:r>
        <w:rPr>
          <w:rFonts w:ascii="Calibri" w:hAnsi="Calibri" w:cs="Calibri"/>
          <w:b/>
          <w:bCs/>
          <w:i w:val="0"/>
          <w:iCs w:val="0"/>
          <w:sz w:val="20"/>
          <w:szCs w:val="20"/>
          <w:lang w:val="en-US"/>
        </w:rPr>
        <w:t>G.1</w:t>
      </w:r>
      <w:r w:rsidRPr="005303D7">
        <w:rPr>
          <w:rFonts w:ascii="Calibri" w:hAnsi="Calibri" w:cs="Calibri"/>
          <w:b/>
          <w:bCs/>
          <w:i w:val="0"/>
          <w:iCs w:val="0"/>
          <w:sz w:val="20"/>
          <w:szCs w:val="20"/>
          <w:lang w:val="en-US"/>
        </w:rPr>
        <w:t>: Comparison of number of maternal deaths reported in the KHIS and notified in the MPDSR Kenya, 2017-2022</w:t>
      </w:r>
    </w:p>
    <w:p w14:paraId="2AA29559" w14:textId="77777777" w:rsidR="008C6A0B" w:rsidRDefault="008C6A0B" w:rsidP="008C6A0B">
      <w:pPr>
        <w:rPr>
          <w:rFonts w:cs="Times New Roman"/>
          <w:b/>
          <w:bCs/>
          <w:sz w:val="20"/>
          <w:szCs w:val="20"/>
          <w:lang w:val="en-US"/>
        </w:rPr>
      </w:pPr>
      <w:r w:rsidRPr="005303D7">
        <w:rPr>
          <w:rFonts w:ascii="Garamond" w:hAnsi="Garamond"/>
          <w:noProof/>
          <w:sz w:val="20"/>
          <w:szCs w:val="20"/>
        </w:rPr>
        <w:drawing>
          <wp:inline distT="0" distB="0" distL="0" distR="0" wp14:anchorId="45878FC6" wp14:editId="7CA38581">
            <wp:extent cx="4304581" cy="2742572"/>
            <wp:effectExtent l="0" t="0" r="1270" b="635"/>
            <wp:docPr id="842254853" name="Picture 3" descr="A graph showing the number of deaths in kenya&#10;&#10;Description automatically generated">
              <a:extLst xmlns:a="http://schemas.openxmlformats.org/drawingml/2006/main">
                <a:ext uri="{FF2B5EF4-FFF2-40B4-BE49-F238E27FC236}">
                  <a16:creationId xmlns:a16="http://schemas.microsoft.com/office/drawing/2014/main" id="{79F9AD88-89AA-2C90-95E5-3409D434E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54853" name="Picture 3" descr="A graph showing the number of deaths in kenya&#10;&#10;Description automatically generated">
                      <a:extLst>
                        <a:ext uri="{FF2B5EF4-FFF2-40B4-BE49-F238E27FC236}">
                          <a16:creationId xmlns:a16="http://schemas.microsoft.com/office/drawing/2014/main" id="{79F9AD88-89AA-2C90-95E5-3409D434EC8F}"/>
                        </a:ext>
                      </a:extLst>
                    </pic:cNvPr>
                    <pic:cNvPicPr>
                      <a:picLocks noChangeAspect="1"/>
                    </pic:cNvPicPr>
                  </pic:nvPicPr>
                  <pic:blipFill>
                    <a:blip r:embed="rId22"/>
                    <a:stretch>
                      <a:fillRect/>
                    </a:stretch>
                  </pic:blipFill>
                  <pic:spPr>
                    <a:xfrm>
                      <a:off x="0" y="0"/>
                      <a:ext cx="4370648" cy="2784665"/>
                    </a:xfrm>
                    <a:prstGeom prst="rect">
                      <a:avLst/>
                    </a:prstGeom>
                  </pic:spPr>
                </pic:pic>
              </a:graphicData>
            </a:graphic>
          </wp:inline>
        </w:drawing>
      </w:r>
    </w:p>
    <w:p w14:paraId="3A485166" w14:textId="3BCD2AEC" w:rsidR="008C6A0B" w:rsidRPr="005303D7" w:rsidRDefault="008C6A0B" w:rsidP="008C6A0B">
      <w:pPr>
        <w:rPr>
          <w:rFonts w:cs="Calibri"/>
          <w:sz w:val="20"/>
          <w:szCs w:val="20"/>
          <w:lang w:val="en-US"/>
        </w:rPr>
      </w:pPr>
      <w:r w:rsidRPr="005303D7">
        <w:rPr>
          <w:rFonts w:cs="Times New Roman"/>
          <w:b/>
          <w:bCs/>
          <w:sz w:val="20"/>
          <w:szCs w:val="20"/>
          <w:lang w:val="en-US"/>
        </w:rPr>
        <w:t xml:space="preserve">Table </w:t>
      </w:r>
      <w:r>
        <w:rPr>
          <w:rFonts w:cs="Times New Roman"/>
          <w:b/>
          <w:bCs/>
          <w:sz w:val="20"/>
          <w:szCs w:val="20"/>
          <w:lang w:val="en-US"/>
        </w:rPr>
        <w:t>G</w:t>
      </w:r>
      <w:r w:rsidRPr="005303D7">
        <w:rPr>
          <w:rFonts w:cs="Times New Roman"/>
          <w:b/>
          <w:bCs/>
          <w:sz w:val="20"/>
          <w:szCs w:val="20"/>
          <w:lang w:val="en-US"/>
        </w:rPr>
        <w:t>.1. Comparison of reported maternal deaths in KHIS and MPDSR, Kenya, 2017-2022</w:t>
      </w:r>
    </w:p>
    <w:tbl>
      <w:tblPr>
        <w:tblStyle w:val="TableGrid"/>
        <w:tblW w:w="5000" w:type="pct"/>
        <w:tblLook w:val="04A0" w:firstRow="1" w:lastRow="0" w:firstColumn="1" w:lastColumn="0" w:noHBand="0" w:noVBand="1"/>
      </w:tblPr>
      <w:tblGrid>
        <w:gridCol w:w="4031"/>
        <w:gridCol w:w="887"/>
        <w:gridCol w:w="887"/>
        <w:gridCol w:w="887"/>
        <w:gridCol w:w="886"/>
        <w:gridCol w:w="886"/>
        <w:gridCol w:w="886"/>
      </w:tblGrid>
      <w:tr w:rsidR="008C6A0B" w:rsidRPr="005303D7" w14:paraId="733201E1" w14:textId="77777777" w:rsidTr="00077BB4">
        <w:trPr>
          <w:trHeight w:val="300"/>
        </w:trPr>
        <w:tc>
          <w:tcPr>
            <w:tcW w:w="2154" w:type="pct"/>
            <w:noWrap/>
            <w:hideMark/>
          </w:tcPr>
          <w:p w14:paraId="03678D46" w14:textId="77777777" w:rsidR="008C6A0B" w:rsidRPr="005303D7" w:rsidRDefault="008C6A0B" w:rsidP="00077BB4">
            <w:pPr>
              <w:rPr>
                <w:rFonts w:ascii="Times New Roman" w:eastAsia="Times New Roman" w:hAnsi="Times New Roman" w:cs="Times New Roman"/>
                <w:kern w:val="0"/>
                <w:sz w:val="20"/>
                <w:szCs w:val="20"/>
                <w:lang w:eastAsia="en-CA"/>
                <w14:ligatures w14:val="none"/>
              </w:rPr>
            </w:pPr>
          </w:p>
        </w:tc>
        <w:tc>
          <w:tcPr>
            <w:tcW w:w="474" w:type="pct"/>
            <w:noWrap/>
            <w:hideMark/>
          </w:tcPr>
          <w:p w14:paraId="36A37A64" w14:textId="77777777" w:rsidR="008C6A0B" w:rsidRPr="005303D7" w:rsidRDefault="008C6A0B" w:rsidP="00077BB4">
            <w:pPr>
              <w:jc w:val="right"/>
              <w:rPr>
                <w:rFonts w:ascii="Aptos Narrow" w:eastAsia="Times New Roman" w:hAnsi="Aptos Narrow" w:cs="Times New Roman"/>
                <w:b/>
                <w:bCs/>
                <w:color w:val="000000"/>
                <w:kern w:val="0"/>
                <w:sz w:val="20"/>
                <w:szCs w:val="20"/>
                <w:lang w:eastAsia="en-CA"/>
                <w14:ligatures w14:val="none"/>
              </w:rPr>
            </w:pPr>
            <w:r w:rsidRPr="005303D7">
              <w:rPr>
                <w:rFonts w:ascii="Aptos Narrow" w:eastAsia="Times New Roman" w:hAnsi="Aptos Narrow" w:cs="Times New Roman"/>
                <w:b/>
                <w:bCs/>
                <w:color w:val="000000"/>
                <w:kern w:val="0"/>
                <w:sz w:val="20"/>
                <w:szCs w:val="20"/>
                <w:lang w:eastAsia="en-CA"/>
                <w14:ligatures w14:val="none"/>
              </w:rPr>
              <w:t>2017</w:t>
            </w:r>
          </w:p>
        </w:tc>
        <w:tc>
          <w:tcPr>
            <w:tcW w:w="474" w:type="pct"/>
            <w:noWrap/>
            <w:hideMark/>
          </w:tcPr>
          <w:p w14:paraId="389B1E81" w14:textId="77777777" w:rsidR="008C6A0B" w:rsidRPr="005303D7" w:rsidRDefault="008C6A0B" w:rsidP="00077BB4">
            <w:pPr>
              <w:jc w:val="right"/>
              <w:rPr>
                <w:rFonts w:ascii="Aptos Narrow" w:eastAsia="Times New Roman" w:hAnsi="Aptos Narrow" w:cs="Times New Roman"/>
                <w:b/>
                <w:bCs/>
                <w:color w:val="000000"/>
                <w:kern w:val="0"/>
                <w:sz w:val="20"/>
                <w:szCs w:val="20"/>
                <w:lang w:eastAsia="en-CA"/>
                <w14:ligatures w14:val="none"/>
              </w:rPr>
            </w:pPr>
            <w:r w:rsidRPr="005303D7">
              <w:rPr>
                <w:rFonts w:ascii="Aptos Narrow" w:eastAsia="Times New Roman" w:hAnsi="Aptos Narrow" w:cs="Times New Roman"/>
                <w:b/>
                <w:bCs/>
                <w:color w:val="000000"/>
                <w:kern w:val="0"/>
                <w:sz w:val="20"/>
                <w:szCs w:val="20"/>
                <w:lang w:eastAsia="en-CA"/>
                <w14:ligatures w14:val="none"/>
              </w:rPr>
              <w:t>2018</w:t>
            </w:r>
          </w:p>
        </w:tc>
        <w:tc>
          <w:tcPr>
            <w:tcW w:w="474" w:type="pct"/>
            <w:noWrap/>
            <w:hideMark/>
          </w:tcPr>
          <w:p w14:paraId="31EDFBFA" w14:textId="77777777" w:rsidR="008C6A0B" w:rsidRPr="005303D7" w:rsidRDefault="008C6A0B" w:rsidP="00077BB4">
            <w:pPr>
              <w:jc w:val="right"/>
              <w:rPr>
                <w:rFonts w:ascii="Aptos Narrow" w:eastAsia="Times New Roman" w:hAnsi="Aptos Narrow" w:cs="Times New Roman"/>
                <w:b/>
                <w:bCs/>
                <w:color w:val="000000"/>
                <w:kern w:val="0"/>
                <w:sz w:val="20"/>
                <w:szCs w:val="20"/>
                <w:lang w:eastAsia="en-CA"/>
                <w14:ligatures w14:val="none"/>
              </w:rPr>
            </w:pPr>
            <w:r w:rsidRPr="005303D7">
              <w:rPr>
                <w:rFonts w:ascii="Aptos Narrow" w:eastAsia="Times New Roman" w:hAnsi="Aptos Narrow" w:cs="Times New Roman"/>
                <w:b/>
                <w:bCs/>
                <w:color w:val="000000"/>
                <w:kern w:val="0"/>
                <w:sz w:val="20"/>
                <w:szCs w:val="20"/>
                <w:lang w:eastAsia="en-CA"/>
                <w14:ligatures w14:val="none"/>
              </w:rPr>
              <w:t>2019</w:t>
            </w:r>
          </w:p>
        </w:tc>
        <w:tc>
          <w:tcPr>
            <w:tcW w:w="474" w:type="pct"/>
            <w:noWrap/>
            <w:hideMark/>
          </w:tcPr>
          <w:p w14:paraId="11E879BE" w14:textId="77777777" w:rsidR="008C6A0B" w:rsidRPr="005303D7" w:rsidRDefault="008C6A0B" w:rsidP="00077BB4">
            <w:pPr>
              <w:jc w:val="right"/>
              <w:rPr>
                <w:rFonts w:ascii="Aptos Narrow" w:eastAsia="Times New Roman" w:hAnsi="Aptos Narrow" w:cs="Times New Roman"/>
                <w:b/>
                <w:bCs/>
                <w:color w:val="000000"/>
                <w:kern w:val="0"/>
                <w:sz w:val="20"/>
                <w:szCs w:val="20"/>
                <w:lang w:eastAsia="en-CA"/>
                <w14:ligatures w14:val="none"/>
              </w:rPr>
            </w:pPr>
            <w:r w:rsidRPr="005303D7">
              <w:rPr>
                <w:rFonts w:ascii="Aptos Narrow" w:eastAsia="Times New Roman" w:hAnsi="Aptos Narrow" w:cs="Times New Roman"/>
                <w:b/>
                <w:bCs/>
                <w:color w:val="000000"/>
                <w:kern w:val="0"/>
                <w:sz w:val="20"/>
                <w:szCs w:val="20"/>
                <w:lang w:eastAsia="en-CA"/>
                <w14:ligatures w14:val="none"/>
              </w:rPr>
              <w:t>2020</w:t>
            </w:r>
          </w:p>
        </w:tc>
        <w:tc>
          <w:tcPr>
            <w:tcW w:w="474" w:type="pct"/>
            <w:noWrap/>
            <w:hideMark/>
          </w:tcPr>
          <w:p w14:paraId="1E933249" w14:textId="77777777" w:rsidR="008C6A0B" w:rsidRPr="005303D7" w:rsidRDefault="008C6A0B" w:rsidP="00077BB4">
            <w:pPr>
              <w:jc w:val="right"/>
              <w:rPr>
                <w:rFonts w:ascii="Aptos Narrow" w:eastAsia="Times New Roman" w:hAnsi="Aptos Narrow" w:cs="Times New Roman"/>
                <w:b/>
                <w:bCs/>
                <w:color w:val="000000"/>
                <w:kern w:val="0"/>
                <w:sz w:val="20"/>
                <w:szCs w:val="20"/>
                <w:lang w:eastAsia="en-CA"/>
                <w14:ligatures w14:val="none"/>
              </w:rPr>
            </w:pPr>
            <w:r w:rsidRPr="005303D7">
              <w:rPr>
                <w:rFonts w:ascii="Aptos Narrow" w:eastAsia="Times New Roman" w:hAnsi="Aptos Narrow" w:cs="Times New Roman"/>
                <w:b/>
                <w:bCs/>
                <w:color w:val="000000"/>
                <w:kern w:val="0"/>
                <w:sz w:val="20"/>
                <w:szCs w:val="20"/>
                <w:lang w:eastAsia="en-CA"/>
                <w14:ligatures w14:val="none"/>
              </w:rPr>
              <w:t>2021</w:t>
            </w:r>
          </w:p>
        </w:tc>
        <w:tc>
          <w:tcPr>
            <w:tcW w:w="474" w:type="pct"/>
            <w:noWrap/>
            <w:hideMark/>
          </w:tcPr>
          <w:p w14:paraId="0FFCE035" w14:textId="77777777" w:rsidR="008C6A0B" w:rsidRPr="005303D7" w:rsidRDefault="008C6A0B" w:rsidP="00077BB4">
            <w:pPr>
              <w:jc w:val="right"/>
              <w:rPr>
                <w:rFonts w:ascii="Aptos Narrow" w:eastAsia="Times New Roman" w:hAnsi="Aptos Narrow" w:cs="Times New Roman"/>
                <w:b/>
                <w:bCs/>
                <w:color w:val="000000"/>
                <w:kern w:val="0"/>
                <w:sz w:val="20"/>
                <w:szCs w:val="20"/>
                <w:lang w:eastAsia="en-CA"/>
                <w14:ligatures w14:val="none"/>
              </w:rPr>
            </w:pPr>
            <w:r w:rsidRPr="005303D7">
              <w:rPr>
                <w:rFonts w:ascii="Aptos Narrow" w:eastAsia="Times New Roman" w:hAnsi="Aptos Narrow" w:cs="Times New Roman"/>
                <w:b/>
                <w:bCs/>
                <w:color w:val="000000"/>
                <w:kern w:val="0"/>
                <w:sz w:val="20"/>
                <w:szCs w:val="20"/>
                <w:lang w:eastAsia="en-CA"/>
                <w14:ligatures w14:val="none"/>
              </w:rPr>
              <w:t>2022</w:t>
            </w:r>
          </w:p>
        </w:tc>
      </w:tr>
      <w:tr w:rsidR="008C6A0B" w:rsidRPr="005303D7" w14:paraId="40B669B6" w14:textId="77777777" w:rsidTr="00077BB4">
        <w:trPr>
          <w:trHeight w:val="300"/>
        </w:trPr>
        <w:tc>
          <w:tcPr>
            <w:tcW w:w="2154" w:type="pct"/>
            <w:noWrap/>
            <w:hideMark/>
          </w:tcPr>
          <w:p w14:paraId="607F1085"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Total KHIS, reported maternal deaths</w:t>
            </w:r>
          </w:p>
        </w:tc>
        <w:tc>
          <w:tcPr>
            <w:tcW w:w="474" w:type="pct"/>
            <w:noWrap/>
            <w:hideMark/>
          </w:tcPr>
          <w:p w14:paraId="05A99ADB"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1048</w:t>
            </w:r>
          </w:p>
        </w:tc>
        <w:tc>
          <w:tcPr>
            <w:tcW w:w="474" w:type="pct"/>
            <w:noWrap/>
            <w:hideMark/>
          </w:tcPr>
          <w:p w14:paraId="56A6838C"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1056</w:t>
            </w:r>
          </w:p>
        </w:tc>
        <w:tc>
          <w:tcPr>
            <w:tcW w:w="474" w:type="pct"/>
            <w:noWrap/>
            <w:hideMark/>
          </w:tcPr>
          <w:p w14:paraId="4D117058"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1113</w:t>
            </w:r>
          </w:p>
        </w:tc>
        <w:tc>
          <w:tcPr>
            <w:tcW w:w="474" w:type="pct"/>
            <w:noWrap/>
            <w:hideMark/>
          </w:tcPr>
          <w:p w14:paraId="310FBBAF"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1334</w:t>
            </w:r>
          </w:p>
        </w:tc>
        <w:tc>
          <w:tcPr>
            <w:tcW w:w="474" w:type="pct"/>
            <w:noWrap/>
            <w:hideMark/>
          </w:tcPr>
          <w:p w14:paraId="439FE8A3"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1179</w:t>
            </w:r>
          </w:p>
        </w:tc>
        <w:tc>
          <w:tcPr>
            <w:tcW w:w="474" w:type="pct"/>
            <w:noWrap/>
            <w:hideMark/>
          </w:tcPr>
          <w:p w14:paraId="68AC9AAA"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1188</w:t>
            </w:r>
          </w:p>
        </w:tc>
      </w:tr>
      <w:tr w:rsidR="008C6A0B" w:rsidRPr="005303D7" w14:paraId="037F4C34" w14:textId="77777777" w:rsidTr="00077BB4">
        <w:trPr>
          <w:trHeight w:val="300"/>
        </w:trPr>
        <w:tc>
          <w:tcPr>
            <w:tcW w:w="2154" w:type="pct"/>
            <w:noWrap/>
            <w:hideMark/>
          </w:tcPr>
          <w:p w14:paraId="310251EC"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Total MPDSR, reported deaths</w:t>
            </w:r>
          </w:p>
        </w:tc>
        <w:tc>
          <w:tcPr>
            <w:tcW w:w="474" w:type="pct"/>
            <w:noWrap/>
            <w:hideMark/>
          </w:tcPr>
          <w:p w14:paraId="410D864D"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410</w:t>
            </w:r>
          </w:p>
        </w:tc>
        <w:tc>
          <w:tcPr>
            <w:tcW w:w="474" w:type="pct"/>
            <w:noWrap/>
            <w:hideMark/>
          </w:tcPr>
          <w:p w14:paraId="3EE62152"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514</w:t>
            </w:r>
          </w:p>
        </w:tc>
        <w:tc>
          <w:tcPr>
            <w:tcW w:w="474" w:type="pct"/>
            <w:noWrap/>
            <w:hideMark/>
          </w:tcPr>
          <w:p w14:paraId="1D992F77"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877</w:t>
            </w:r>
          </w:p>
        </w:tc>
        <w:tc>
          <w:tcPr>
            <w:tcW w:w="474" w:type="pct"/>
            <w:noWrap/>
            <w:hideMark/>
          </w:tcPr>
          <w:p w14:paraId="18BEB88E"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1313</w:t>
            </w:r>
          </w:p>
        </w:tc>
        <w:tc>
          <w:tcPr>
            <w:tcW w:w="474" w:type="pct"/>
            <w:noWrap/>
            <w:hideMark/>
          </w:tcPr>
          <w:p w14:paraId="67BAEEA2"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1280</w:t>
            </w:r>
          </w:p>
        </w:tc>
        <w:tc>
          <w:tcPr>
            <w:tcW w:w="474" w:type="pct"/>
            <w:noWrap/>
            <w:hideMark/>
          </w:tcPr>
          <w:p w14:paraId="0961AEE5"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1395</w:t>
            </w:r>
          </w:p>
        </w:tc>
      </w:tr>
      <w:tr w:rsidR="008C6A0B" w:rsidRPr="005303D7" w14:paraId="43BA9842" w14:textId="77777777" w:rsidTr="00077BB4">
        <w:trPr>
          <w:trHeight w:val="300"/>
        </w:trPr>
        <w:tc>
          <w:tcPr>
            <w:tcW w:w="2154" w:type="pct"/>
            <w:noWrap/>
            <w:hideMark/>
          </w:tcPr>
          <w:p w14:paraId="459B2588"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Combined, based on highest value by county</w:t>
            </w:r>
          </w:p>
        </w:tc>
        <w:tc>
          <w:tcPr>
            <w:tcW w:w="474" w:type="pct"/>
            <w:noWrap/>
            <w:hideMark/>
          </w:tcPr>
          <w:p w14:paraId="6BFBA68C"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1090</w:t>
            </w:r>
          </w:p>
        </w:tc>
        <w:tc>
          <w:tcPr>
            <w:tcW w:w="474" w:type="pct"/>
            <w:noWrap/>
            <w:hideMark/>
          </w:tcPr>
          <w:p w14:paraId="30314863"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1101</w:t>
            </w:r>
          </w:p>
        </w:tc>
        <w:tc>
          <w:tcPr>
            <w:tcW w:w="474" w:type="pct"/>
            <w:noWrap/>
            <w:hideMark/>
          </w:tcPr>
          <w:p w14:paraId="6DB2DDCC"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1256</w:t>
            </w:r>
          </w:p>
        </w:tc>
        <w:tc>
          <w:tcPr>
            <w:tcW w:w="474" w:type="pct"/>
            <w:noWrap/>
            <w:hideMark/>
          </w:tcPr>
          <w:p w14:paraId="01F3C12A"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1586</w:t>
            </w:r>
          </w:p>
        </w:tc>
        <w:tc>
          <w:tcPr>
            <w:tcW w:w="474" w:type="pct"/>
            <w:noWrap/>
            <w:hideMark/>
          </w:tcPr>
          <w:p w14:paraId="7F462B04"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1456</w:t>
            </w:r>
          </w:p>
        </w:tc>
        <w:tc>
          <w:tcPr>
            <w:tcW w:w="474" w:type="pct"/>
            <w:noWrap/>
            <w:hideMark/>
          </w:tcPr>
          <w:p w14:paraId="41ED3297"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1520</w:t>
            </w:r>
          </w:p>
        </w:tc>
      </w:tr>
      <w:tr w:rsidR="008C6A0B" w:rsidRPr="005303D7" w14:paraId="0853D623" w14:textId="77777777" w:rsidTr="00077BB4">
        <w:trPr>
          <w:trHeight w:val="300"/>
        </w:trPr>
        <w:tc>
          <w:tcPr>
            <w:tcW w:w="2154" w:type="pct"/>
            <w:noWrap/>
            <w:hideMark/>
          </w:tcPr>
          <w:p w14:paraId="686FE7CD"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Increase compared to KHIS (%)</w:t>
            </w:r>
          </w:p>
        </w:tc>
        <w:tc>
          <w:tcPr>
            <w:tcW w:w="474" w:type="pct"/>
            <w:noWrap/>
            <w:hideMark/>
          </w:tcPr>
          <w:p w14:paraId="281C9CC9"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4.0</w:t>
            </w:r>
          </w:p>
        </w:tc>
        <w:tc>
          <w:tcPr>
            <w:tcW w:w="474" w:type="pct"/>
            <w:noWrap/>
            <w:hideMark/>
          </w:tcPr>
          <w:p w14:paraId="6CB7816A"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4.3</w:t>
            </w:r>
          </w:p>
        </w:tc>
        <w:tc>
          <w:tcPr>
            <w:tcW w:w="474" w:type="pct"/>
            <w:noWrap/>
            <w:hideMark/>
          </w:tcPr>
          <w:p w14:paraId="56ECBAC4"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12.8</w:t>
            </w:r>
          </w:p>
        </w:tc>
        <w:tc>
          <w:tcPr>
            <w:tcW w:w="474" w:type="pct"/>
            <w:noWrap/>
            <w:hideMark/>
          </w:tcPr>
          <w:p w14:paraId="52C5C366"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18.9</w:t>
            </w:r>
          </w:p>
        </w:tc>
        <w:tc>
          <w:tcPr>
            <w:tcW w:w="474" w:type="pct"/>
            <w:noWrap/>
            <w:hideMark/>
          </w:tcPr>
          <w:p w14:paraId="07E603DD"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23.5</w:t>
            </w:r>
          </w:p>
        </w:tc>
        <w:tc>
          <w:tcPr>
            <w:tcW w:w="474" w:type="pct"/>
            <w:noWrap/>
            <w:hideMark/>
          </w:tcPr>
          <w:p w14:paraId="1E2EE6AA"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27.9</w:t>
            </w:r>
          </w:p>
        </w:tc>
      </w:tr>
      <w:tr w:rsidR="008C6A0B" w:rsidRPr="005303D7" w14:paraId="56D06694" w14:textId="77777777" w:rsidTr="00077BB4">
        <w:trPr>
          <w:trHeight w:val="300"/>
        </w:trPr>
        <w:tc>
          <w:tcPr>
            <w:tcW w:w="2154" w:type="pct"/>
            <w:noWrap/>
            <w:hideMark/>
          </w:tcPr>
          <w:p w14:paraId="134AB00B"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p>
        </w:tc>
        <w:tc>
          <w:tcPr>
            <w:tcW w:w="474" w:type="pct"/>
            <w:noWrap/>
            <w:hideMark/>
          </w:tcPr>
          <w:p w14:paraId="335059BB" w14:textId="77777777" w:rsidR="008C6A0B" w:rsidRPr="005303D7" w:rsidRDefault="008C6A0B" w:rsidP="00077BB4">
            <w:pPr>
              <w:rPr>
                <w:rFonts w:ascii="Times New Roman" w:eastAsia="Times New Roman" w:hAnsi="Times New Roman" w:cs="Times New Roman"/>
                <w:kern w:val="0"/>
                <w:sz w:val="20"/>
                <w:szCs w:val="20"/>
                <w:lang w:eastAsia="en-CA"/>
                <w14:ligatures w14:val="none"/>
              </w:rPr>
            </w:pPr>
          </w:p>
        </w:tc>
        <w:tc>
          <w:tcPr>
            <w:tcW w:w="474" w:type="pct"/>
            <w:noWrap/>
            <w:hideMark/>
          </w:tcPr>
          <w:p w14:paraId="2C8F3C91" w14:textId="77777777" w:rsidR="008C6A0B" w:rsidRPr="005303D7" w:rsidRDefault="008C6A0B" w:rsidP="00077BB4">
            <w:pPr>
              <w:rPr>
                <w:rFonts w:ascii="Times New Roman" w:eastAsia="Times New Roman" w:hAnsi="Times New Roman" w:cs="Times New Roman"/>
                <w:kern w:val="0"/>
                <w:sz w:val="20"/>
                <w:szCs w:val="20"/>
                <w:lang w:eastAsia="en-CA"/>
                <w14:ligatures w14:val="none"/>
              </w:rPr>
            </w:pPr>
          </w:p>
        </w:tc>
        <w:tc>
          <w:tcPr>
            <w:tcW w:w="474" w:type="pct"/>
            <w:noWrap/>
            <w:hideMark/>
          </w:tcPr>
          <w:p w14:paraId="0E135428" w14:textId="77777777" w:rsidR="008C6A0B" w:rsidRPr="005303D7" w:rsidRDefault="008C6A0B" w:rsidP="00077BB4">
            <w:pPr>
              <w:rPr>
                <w:rFonts w:ascii="Times New Roman" w:eastAsia="Times New Roman" w:hAnsi="Times New Roman" w:cs="Times New Roman"/>
                <w:kern w:val="0"/>
                <w:sz w:val="20"/>
                <w:szCs w:val="20"/>
                <w:lang w:eastAsia="en-CA"/>
                <w14:ligatures w14:val="none"/>
              </w:rPr>
            </w:pPr>
          </w:p>
        </w:tc>
        <w:tc>
          <w:tcPr>
            <w:tcW w:w="474" w:type="pct"/>
            <w:noWrap/>
            <w:hideMark/>
          </w:tcPr>
          <w:p w14:paraId="16902EF7" w14:textId="77777777" w:rsidR="008C6A0B" w:rsidRPr="005303D7" w:rsidRDefault="008C6A0B" w:rsidP="00077BB4">
            <w:pPr>
              <w:rPr>
                <w:rFonts w:ascii="Times New Roman" w:eastAsia="Times New Roman" w:hAnsi="Times New Roman" w:cs="Times New Roman"/>
                <w:kern w:val="0"/>
                <w:sz w:val="20"/>
                <w:szCs w:val="20"/>
                <w:lang w:eastAsia="en-CA"/>
                <w14:ligatures w14:val="none"/>
              </w:rPr>
            </w:pPr>
          </w:p>
        </w:tc>
        <w:tc>
          <w:tcPr>
            <w:tcW w:w="474" w:type="pct"/>
            <w:noWrap/>
            <w:hideMark/>
          </w:tcPr>
          <w:p w14:paraId="3466888E" w14:textId="77777777" w:rsidR="008C6A0B" w:rsidRPr="005303D7" w:rsidRDefault="008C6A0B" w:rsidP="00077BB4">
            <w:pPr>
              <w:rPr>
                <w:rFonts w:ascii="Times New Roman" w:eastAsia="Times New Roman" w:hAnsi="Times New Roman" w:cs="Times New Roman"/>
                <w:kern w:val="0"/>
                <w:sz w:val="20"/>
                <w:szCs w:val="20"/>
                <w:lang w:eastAsia="en-CA"/>
                <w14:ligatures w14:val="none"/>
              </w:rPr>
            </w:pPr>
          </w:p>
        </w:tc>
        <w:tc>
          <w:tcPr>
            <w:tcW w:w="474" w:type="pct"/>
            <w:noWrap/>
            <w:hideMark/>
          </w:tcPr>
          <w:p w14:paraId="5C918CB8" w14:textId="77777777" w:rsidR="008C6A0B" w:rsidRPr="005303D7" w:rsidRDefault="008C6A0B" w:rsidP="00077BB4">
            <w:pPr>
              <w:rPr>
                <w:rFonts w:ascii="Times New Roman" w:eastAsia="Times New Roman" w:hAnsi="Times New Roman" w:cs="Times New Roman"/>
                <w:kern w:val="0"/>
                <w:sz w:val="20"/>
                <w:szCs w:val="20"/>
                <w:lang w:eastAsia="en-CA"/>
                <w14:ligatures w14:val="none"/>
              </w:rPr>
            </w:pPr>
          </w:p>
        </w:tc>
      </w:tr>
      <w:tr w:rsidR="008C6A0B" w:rsidRPr="005303D7" w14:paraId="779F6904" w14:textId="77777777" w:rsidTr="00077BB4">
        <w:trPr>
          <w:trHeight w:val="300"/>
        </w:trPr>
        <w:tc>
          <w:tcPr>
            <w:tcW w:w="2154" w:type="pct"/>
            <w:noWrap/>
            <w:hideMark/>
          </w:tcPr>
          <w:p w14:paraId="13FC1FA6"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Counties (N)</w:t>
            </w:r>
          </w:p>
        </w:tc>
        <w:tc>
          <w:tcPr>
            <w:tcW w:w="474" w:type="pct"/>
            <w:noWrap/>
            <w:hideMark/>
          </w:tcPr>
          <w:p w14:paraId="4A56DBA7"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47</w:t>
            </w:r>
          </w:p>
        </w:tc>
        <w:tc>
          <w:tcPr>
            <w:tcW w:w="474" w:type="pct"/>
            <w:noWrap/>
            <w:hideMark/>
          </w:tcPr>
          <w:p w14:paraId="01355FED"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47</w:t>
            </w:r>
          </w:p>
        </w:tc>
        <w:tc>
          <w:tcPr>
            <w:tcW w:w="474" w:type="pct"/>
            <w:noWrap/>
            <w:hideMark/>
          </w:tcPr>
          <w:p w14:paraId="77ADBACC"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47</w:t>
            </w:r>
          </w:p>
        </w:tc>
        <w:tc>
          <w:tcPr>
            <w:tcW w:w="474" w:type="pct"/>
            <w:noWrap/>
            <w:hideMark/>
          </w:tcPr>
          <w:p w14:paraId="5EE40AB0"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47</w:t>
            </w:r>
          </w:p>
        </w:tc>
        <w:tc>
          <w:tcPr>
            <w:tcW w:w="474" w:type="pct"/>
            <w:noWrap/>
            <w:hideMark/>
          </w:tcPr>
          <w:p w14:paraId="6D7ADA93"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47</w:t>
            </w:r>
          </w:p>
        </w:tc>
        <w:tc>
          <w:tcPr>
            <w:tcW w:w="474" w:type="pct"/>
            <w:noWrap/>
            <w:hideMark/>
          </w:tcPr>
          <w:p w14:paraId="1D203509"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47</w:t>
            </w:r>
          </w:p>
        </w:tc>
      </w:tr>
      <w:tr w:rsidR="008C6A0B" w:rsidRPr="005303D7" w14:paraId="557B106A" w14:textId="77777777" w:rsidTr="00077BB4">
        <w:trPr>
          <w:trHeight w:val="300"/>
        </w:trPr>
        <w:tc>
          <w:tcPr>
            <w:tcW w:w="2154" w:type="pct"/>
            <w:noWrap/>
            <w:hideMark/>
          </w:tcPr>
          <w:p w14:paraId="398CBAFC"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No MPDSR data (N)</w:t>
            </w:r>
          </w:p>
        </w:tc>
        <w:tc>
          <w:tcPr>
            <w:tcW w:w="474" w:type="pct"/>
            <w:noWrap/>
            <w:hideMark/>
          </w:tcPr>
          <w:p w14:paraId="66EE2B30"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17</w:t>
            </w:r>
          </w:p>
        </w:tc>
        <w:tc>
          <w:tcPr>
            <w:tcW w:w="474" w:type="pct"/>
            <w:noWrap/>
            <w:hideMark/>
          </w:tcPr>
          <w:p w14:paraId="59FBC1E1"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12</w:t>
            </w:r>
          </w:p>
        </w:tc>
        <w:tc>
          <w:tcPr>
            <w:tcW w:w="474" w:type="pct"/>
            <w:noWrap/>
            <w:hideMark/>
          </w:tcPr>
          <w:p w14:paraId="2A49AEBB"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6</w:t>
            </w:r>
          </w:p>
        </w:tc>
        <w:tc>
          <w:tcPr>
            <w:tcW w:w="474" w:type="pct"/>
            <w:noWrap/>
            <w:hideMark/>
          </w:tcPr>
          <w:p w14:paraId="67C0F52D"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4</w:t>
            </w:r>
          </w:p>
        </w:tc>
        <w:tc>
          <w:tcPr>
            <w:tcW w:w="474" w:type="pct"/>
            <w:noWrap/>
            <w:hideMark/>
          </w:tcPr>
          <w:p w14:paraId="708AB6DB"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5</w:t>
            </w:r>
          </w:p>
        </w:tc>
        <w:tc>
          <w:tcPr>
            <w:tcW w:w="474" w:type="pct"/>
            <w:noWrap/>
            <w:hideMark/>
          </w:tcPr>
          <w:p w14:paraId="1495E4E6"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3</w:t>
            </w:r>
          </w:p>
        </w:tc>
      </w:tr>
      <w:tr w:rsidR="008C6A0B" w:rsidRPr="005303D7" w14:paraId="75F26C75" w14:textId="77777777" w:rsidTr="00077BB4">
        <w:trPr>
          <w:trHeight w:val="300"/>
        </w:trPr>
        <w:tc>
          <w:tcPr>
            <w:tcW w:w="2154" w:type="pct"/>
            <w:noWrap/>
            <w:hideMark/>
          </w:tcPr>
          <w:p w14:paraId="6D318992"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MPDSR &gt;=25% or higher than KHIS (N)</w:t>
            </w:r>
          </w:p>
        </w:tc>
        <w:tc>
          <w:tcPr>
            <w:tcW w:w="474" w:type="pct"/>
            <w:noWrap/>
            <w:hideMark/>
          </w:tcPr>
          <w:p w14:paraId="2077A8CB"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w:t>
            </w:r>
          </w:p>
        </w:tc>
        <w:tc>
          <w:tcPr>
            <w:tcW w:w="474" w:type="pct"/>
            <w:noWrap/>
            <w:hideMark/>
          </w:tcPr>
          <w:p w14:paraId="299325E0"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w:t>
            </w:r>
          </w:p>
        </w:tc>
        <w:tc>
          <w:tcPr>
            <w:tcW w:w="474" w:type="pct"/>
            <w:noWrap/>
            <w:hideMark/>
          </w:tcPr>
          <w:p w14:paraId="0D20C9B6"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3</w:t>
            </w:r>
          </w:p>
        </w:tc>
        <w:tc>
          <w:tcPr>
            <w:tcW w:w="474" w:type="pct"/>
            <w:noWrap/>
            <w:hideMark/>
          </w:tcPr>
          <w:p w14:paraId="3DE6FB99"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12</w:t>
            </w:r>
          </w:p>
        </w:tc>
        <w:tc>
          <w:tcPr>
            <w:tcW w:w="474" w:type="pct"/>
            <w:noWrap/>
            <w:hideMark/>
          </w:tcPr>
          <w:p w14:paraId="614EE410"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18</w:t>
            </w:r>
          </w:p>
        </w:tc>
        <w:tc>
          <w:tcPr>
            <w:tcW w:w="474" w:type="pct"/>
            <w:noWrap/>
            <w:hideMark/>
          </w:tcPr>
          <w:p w14:paraId="2A901E98"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20</w:t>
            </w:r>
          </w:p>
        </w:tc>
      </w:tr>
      <w:tr w:rsidR="008C6A0B" w:rsidRPr="005303D7" w14:paraId="7D65B5B0" w14:textId="77777777" w:rsidTr="00077BB4">
        <w:trPr>
          <w:trHeight w:val="300"/>
        </w:trPr>
        <w:tc>
          <w:tcPr>
            <w:tcW w:w="2154" w:type="pct"/>
            <w:noWrap/>
            <w:hideMark/>
          </w:tcPr>
          <w:p w14:paraId="7037AA07"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Within range of plus or minus 25% (N)</w:t>
            </w:r>
          </w:p>
        </w:tc>
        <w:tc>
          <w:tcPr>
            <w:tcW w:w="474" w:type="pct"/>
            <w:noWrap/>
            <w:hideMark/>
          </w:tcPr>
          <w:p w14:paraId="2282D38B"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8</w:t>
            </w:r>
          </w:p>
        </w:tc>
        <w:tc>
          <w:tcPr>
            <w:tcW w:w="474" w:type="pct"/>
            <w:noWrap/>
            <w:hideMark/>
          </w:tcPr>
          <w:p w14:paraId="0FFA3EDC"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10</w:t>
            </w:r>
          </w:p>
        </w:tc>
        <w:tc>
          <w:tcPr>
            <w:tcW w:w="474" w:type="pct"/>
            <w:noWrap/>
            <w:hideMark/>
          </w:tcPr>
          <w:p w14:paraId="0E4A3CB7"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15</w:t>
            </w:r>
          </w:p>
        </w:tc>
        <w:tc>
          <w:tcPr>
            <w:tcW w:w="474" w:type="pct"/>
            <w:noWrap/>
            <w:hideMark/>
          </w:tcPr>
          <w:p w14:paraId="5107F433"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19</w:t>
            </w:r>
          </w:p>
        </w:tc>
        <w:tc>
          <w:tcPr>
            <w:tcW w:w="474" w:type="pct"/>
            <w:noWrap/>
            <w:hideMark/>
          </w:tcPr>
          <w:p w14:paraId="39301973"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16</w:t>
            </w:r>
          </w:p>
        </w:tc>
        <w:tc>
          <w:tcPr>
            <w:tcW w:w="474" w:type="pct"/>
            <w:noWrap/>
            <w:hideMark/>
          </w:tcPr>
          <w:p w14:paraId="054D3137"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14</w:t>
            </w:r>
          </w:p>
        </w:tc>
      </w:tr>
      <w:tr w:rsidR="008C6A0B" w:rsidRPr="005303D7" w14:paraId="5E06FDD0" w14:textId="77777777" w:rsidTr="00077BB4">
        <w:trPr>
          <w:trHeight w:val="300"/>
        </w:trPr>
        <w:tc>
          <w:tcPr>
            <w:tcW w:w="2154" w:type="pct"/>
            <w:noWrap/>
            <w:hideMark/>
          </w:tcPr>
          <w:p w14:paraId="41F80F4F" w14:textId="77777777" w:rsidR="008C6A0B" w:rsidRPr="005303D7" w:rsidRDefault="008C6A0B" w:rsidP="00077BB4">
            <w:pPr>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MPDSR &lt;25% or lower (N)</w:t>
            </w:r>
          </w:p>
        </w:tc>
        <w:tc>
          <w:tcPr>
            <w:tcW w:w="474" w:type="pct"/>
            <w:noWrap/>
            <w:hideMark/>
          </w:tcPr>
          <w:p w14:paraId="6470129A"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21</w:t>
            </w:r>
          </w:p>
        </w:tc>
        <w:tc>
          <w:tcPr>
            <w:tcW w:w="474" w:type="pct"/>
            <w:noWrap/>
            <w:hideMark/>
          </w:tcPr>
          <w:p w14:paraId="3A869408"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24</w:t>
            </w:r>
          </w:p>
        </w:tc>
        <w:tc>
          <w:tcPr>
            <w:tcW w:w="474" w:type="pct"/>
            <w:noWrap/>
            <w:hideMark/>
          </w:tcPr>
          <w:p w14:paraId="57E9DAEF"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23</w:t>
            </w:r>
          </w:p>
        </w:tc>
        <w:tc>
          <w:tcPr>
            <w:tcW w:w="474" w:type="pct"/>
            <w:noWrap/>
            <w:hideMark/>
          </w:tcPr>
          <w:p w14:paraId="4180EF78"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12</w:t>
            </w:r>
          </w:p>
        </w:tc>
        <w:tc>
          <w:tcPr>
            <w:tcW w:w="474" w:type="pct"/>
            <w:noWrap/>
            <w:hideMark/>
          </w:tcPr>
          <w:p w14:paraId="0A6FB6F9"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8</w:t>
            </w:r>
          </w:p>
        </w:tc>
        <w:tc>
          <w:tcPr>
            <w:tcW w:w="474" w:type="pct"/>
            <w:noWrap/>
            <w:hideMark/>
          </w:tcPr>
          <w:p w14:paraId="7ACB22E7" w14:textId="77777777" w:rsidR="008C6A0B" w:rsidRPr="005303D7" w:rsidRDefault="008C6A0B" w:rsidP="00077BB4">
            <w:pPr>
              <w:jc w:val="right"/>
              <w:rPr>
                <w:rFonts w:ascii="Aptos Narrow" w:eastAsia="Times New Roman" w:hAnsi="Aptos Narrow" w:cs="Times New Roman"/>
                <w:color w:val="000000"/>
                <w:kern w:val="0"/>
                <w:sz w:val="20"/>
                <w:szCs w:val="20"/>
                <w:lang w:eastAsia="en-CA"/>
                <w14:ligatures w14:val="none"/>
              </w:rPr>
            </w:pPr>
            <w:r w:rsidRPr="005303D7">
              <w:rPr>
                <w:rFonts w:ascii="Aptos Narrow" w:eastAsia="Times New Roman" w:hAnsi="Aptos Narrow" w:cs="Times New Roman"/>
                <w:color w:val="000000"/>
                <w:kern w:val="0"/>
                <w:sz w:val="20"/>
                <w:szCs w:val="20"/>
                <w:lang w:eastAsia="en-CA"/>
                <w14:ligatures w14:val="none"/>
              </w:rPr>
              <w:t>10</w:t>
            </w:r>
          </w:p>
        </w:tc>
      </w:tr>
    </w:tbl>
    <w:p w14:paraId="4D44052E" w14:textId="77777777" w:rsidR="008C6A0B" w:rsidRPr="005303D7" w:rsidRDefault="008C6A0B" w:rsidP="008C6A0B">
      <w:pPr>
        <w:rPr>
          <w:sz w:val="20"/>
          <w:szCs w:val="20"/>
          <w:lang w:val="en-US"/>
        </w:rPr>
      </w:pPr>
    </w:p>
    <w:p w14:paraId="65A74395" w14:textId="77777777" w:rsidR="00D45EEE" w:rsidRPr="005303D7" w:rsidRDefault="00D45EEE" w:rsidP="00D45EEE">
      <w:pPr>
        <w:rPr>
          <w:rFonts w:ascii="Calibri" w:hAnsi="Calibri" w:cs="Calibri"/>
          <w:sz w:val="20"/>
          <w:szCs w:val="20"/>
          <w:lang w:val="en-US"/>
        </w:rPr>
      </w:pPr>
    </w:p>
    <w:p w14:paraId="21BB6D48" w14:textId="21C69673" w:rsidR="005303D7" w:rsidRPr="005303D7" w:rsidRDefault="005303D7">
      <w:pPr>
        <w:rPr>
          <w:rFonts w:ascii="Calibri" w:hAnsi="Calibri" w:cs="Calibri"/>
          <w:sz w:val="20"/>
          <w:szCs w:val="20"/>
          <w:lang w:val="en-US"/>
        </w:rPr>
      </w:pPr>
    </w:p>
    <w:sectPr w:rsidR="005303D7" w:rsidRPr="005303D7">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83018" w14:textId="77777777" w:rsidR="00630690" w:rsidRDefault="00630690" w:rsidP="007E4452">
      <w:pPr>
        <w:spacing w:after="0" w:line="240" w:lineRule="auto"/>
      </w:pPr>
      <w:r>
        <w:separator/>
      </w:r>
    </w:p>
  </w:endnote>
  <w:endnote w:type="continuationSeparator" w:id="0">
    <w:p w14:paraId="41A2E77A" w14:textId="77777777" w:rsidR="00630690" w:rsidRDefault="00630690" w:rsidP="007E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016953"/>
      <w:docPartObj>
        <w:docPartGallery w:val="Page Numbers (Bottom of Page)"/>
        <w:docPartUnique/>
      </w:docPartObj>
    </w:sdtPr>
    <w:sdtEndPr>
      <w:rPr>
        <w:noProof/>
      </w:rPr>
    </w:sdtEndPr>
    <w:sdtContent>
      <w:p w14:paraId="3F105AF1" w14:textId="5C5B3F33" w:rsidR="00D30EC6" w:rsidRDefault="00D30E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03A156" w14:textId="77777777" w:rsidR="00D30EC6" w:rsidRDefault="00D30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AE5B4" w14:textId="77777777" w:rsidR="00630690" w:rsidRDefault="00630690" w:rsidP="007E4452">
      <w:pPr>
        <w:spacing w:after="0" w:line="240" w:lineRule="auto"/>
      </w:pPr>
      <w:r>
        <w:separator/>
      </w:r>
    </w:p>
  </w:footnote>
  <w:footnote w:type="continuationSeparator" w:id="0">
    <w:p w14:paraId="203BC405" w14:textId="77777777" w:rsidR="00630690" w:rsidRDefault="00630690" w:rsidP="007E4452">
      <w:pPr>
        <w:spacing w:after="0" w:line="240" w:lineRule="auto"/>
      </w:pPr>
      <w:r>
        <w:continuationSeparator/>
      </w:r>
    </w:p>
  </w:footnote>
  <w:footnote w:id="1">
    <w:p w14:paraId="78204648" w14:textId="77777777" w:rsidR="00D30EC6" w:rsidRPr="00BC381F" w:rsidRDefault="00D30EC6" w:rsidP="00BC381F">
      <w:pPr>
        <w:spacing w:after="0"/>
        <w:rPr>
          <w:rFonts w:eastAsia="Calibri" w:cs="Calibri"/>
          <w:kern w:val="0"/>
          <w:sz w:val="18"/>
          <w:szCs w:val="18"/>
          <w14:ligatures w14:val="none"/>
        </w:rPr>
      </w:pPr>
      <w:r w:rsidRPr="00BC381F">
        <w:rPr>
          <w:rStyle w:val="FootnoteReference"/>
          <w:sz w:val="18"/>
          <w:szCs w:val="18"/>
        </w:rPr>
        <w:footnoteRef/>
      </w:r>
      <w:r w:rsidRPr="00BC381F">
        <w:rPr>
          <w:rFonts w:eastAsia="Calibri" w:cs="Arial"/>
          <w:kern w:val="0"/>
          <w:sz w:val="18"/>
          <w:szCs w:val="18"/>
          <w14:ligatures w14:val="none"/>
        </w:rPr>
        <w:t>McClure EM, Goldenberg RL, Bann CM. Maternal mortality, stillbirth and measures of obstetric care in developing and developed countries Int J Gynaecol Obstet. 2007;96:139-46.</w:t>
      </w:r>
    </w:p>
  </w:footnote>
  <w:footnote w:id="2">
    <w:p w14:paraId="0935210F" w14:textId="77777777" w:rsidR="00D30EC6" w:rsidRPr="00BC381F" w:rsidRDefault="00D30EC6" w:rsidP="00BC381F">
      <w:pPr>
        <w:pStyle w:val="FootnoteText"/>
        <w:rPr>
          <w:sz w:val="18"/>
          <w:szCs w:val="18"/>
          <w:lang w:val="en-US"/>
        </w:rPr>
      </w:pPr>
      <w:r w:rsidRPr="00BC381F">
        <w:rPr>
          <w:rStyle w:val="FootnoteReference"/>
          <w:sz w:val="18"/>
          <w:szCs w:val="18"/>
        </w:rPr>
        <w:footnoteRef/>
      </w:r>
      <w:r w:rsidRPr="00BC381F">
        <w:rPr>
          <w:sz w:val="18"/>
          <w:szCs w:val="18"/>
        </w:rPr>
        <w:t xml:space="preserve"> Boerma T, Campbell OMR, Amouzou A, Blumenberg C, Blencowe H, Moran A, Lawn JE, Ikilezi G. Maternal mortality, stillbirths, and neonatal mortality: a transition model based on analyses of 151 countries. Lancet Glob Health. 2023 Jul;11(7):e1024-e1031.</w:t>
      </w:r>
    </w:p>
  </w:footnote>
  <w:footnote w:id="3">
    <w:p w14:paraId="5641FB50" w14:textId="77777777" w:rsidR="00D30EC6" w:rsidRPr="00BC381F" w:rsidRDefault="00D30EC6" w:rsidP="00BC381F">
      <w:pPr>
        <w:pStyle w:val="FootnoteText"/>
        <w:rPr>
          <w:sz w:val="18"/>
          <w:szCs w:val="18"/>
          <w:lang w:val="en-US"/>
        </w:rPr>
      </w:pPr>
      <w:r w:rsidRPr="00BC381F">
        <w:rPr>
          <w:rStyle w:val="FootnoteReference"/>
          <w:sz w:val="18"/>
          <w:szCs w:val="18"/>
        </w:rPr>
        <w:footnoteRef/>
      </w:r>
      <w:r w:rsidRPr="00BC381F">
        <w:rPr>
          <w:sz w:val="18"/>
          <w:szCs w:val="18"/>
        </w:rPr>
        <w:t xml:space="preserve"> Sequeira Dmello B, John TW, et al. Incidence and determinants of perinatal mortality in five urban hospitals in Dar es Salaam, Tanzania: a cohort study with an embedded case-control analysis. BMC Pregnancy Childbirth. 2024 Jan 13;24(1):62. </w:t>
      </w:r>
    </w:p>
  </w:footnote>
  <w:footnote w:id="4">
    <w:p w14:paraId="3C53151D" w14:textId="77777777" w:rsidR="00D30EC6" w:rsidRPr="00BC381F" w:rsidRDefault="00D30EC6" w:rsidP="00BC381F">
      <w:pPr>
        <w:pStyle w:val="FootnoteText"/>
        <w:rPr>
          <w:sz w:val="18"/>
          <w:szCs w:val="18"/>
          <w:lang w:val="en-US"/>
        </w:rPr>
      </w:pPr>
      <w:r w:rsidRPr="00BC381F">
        <w:rPr>
          <w:rStyle w:val="FootnoteReference"/>
          <w:sz w:val="18"/>
          <w:szCs w:val="18"/>
        </w:rPr>
        <w:footnoteRef/>
      </w:r>
      <w:r w:rsidRPr="00560A1D">
        <w:rPr>
          <w:sz w:val="18"/>
          <w:szCs w:val="18"/>
          <w:lang w:val="en-US"/>
        </w:rPr>
        <w:t xml:space="preserve"> Sequeira Dmello B, Sellah Z, et al. </w:t>
      </w:r>
      <w:r w:rsidRPr="00BC381F">
        <w:rPr>
          <w:sz w:val="18"/>
          <w:szCs w:val="18"/>
        </w:rPr>
        <w:t>Learning from changes concurrent with implementing a complex and dynamic intervention to improve urban maternal and perinatal health in Dar es Salaam, Tanzania, 2011-2019. BMJ Glob Health. 2021 Jan;6(1):e004022.</w:t>
      </w:r>
    </w:p>
  </w:footnote>
  <w:footnote w:id="5">
    <w:p w14:paraId="5A5DC656" w14:textId="77777777" w:rsidR="00D30EC6" w:rsidRPr="00BC381F" w:rsidRDefault="00D30EC6" w:rsidP="00BC381F">
      <w:pPr>
        <w:pStyle w:val="FootnoteText"/>
        <w:rPr>
          <w:sz w:val="18"/>
          <w:szCs w:val="18"/>
          <w:lang w:val="en-US"/>
        </w:rPr>
      </w:pPr>
      <w:r w:rsidRPr="00BC381F">
        <w:rPr>
          <w:rStyle w:val="FootnoteReference"/>
          <w:sz w:val="18"/>
          <w:szCs w:val="18"/>
        </w:rPr>
        <w:footnoteRef/>
      </w:r>
      <w:r w:rsidRPr="00BC381F">
        <w:rPr>
          <w:sz w:val="18"/>
          <w:szCs w:val="18"/>
        </w:rPr>
        <w:t xml:space="preserve"> </w:t>
      </w:r>
      <w:r w:rsidRPr="00BC381F">
        <w:rPr>
          <w:rFonts w:cs="Segoe UI"/>
          <w:color w:val="212121"/>
          <w:sz w:val="18"/>
          <w:szCs w:val="18"/>
          <w:shd w:val="clear" w:color="auto" w:fill="FFFFFF"/>
        </w:rPr>
        <w:t>Manu A, Billah SM, Williams J et al. Institutionalising maternal and newborn quality-of-care standards in Bangladesh, Ghana and Tanzania: a quasi-experimental study. BMJ Glob Health. 2022 Sep;7(9):e009471.</w:t>
      </w:r>
    </w:p>
  </w:footnote>
  <w:footnote w:id="6">
    <w:p w14:paraId="5A8EB20C" w14:textId="77777777" w:rsidR="00D30EC6" w:rsidRPr="002C0466" w:rsidRDefault="00D30EC6" w:rsidP="00BC381F">
      <w:pPr>
        <w:pStyle w:val="FootnoteText"/>
        <w:rPr>
          <w:lang w:val="en-US"/>
        </w:rPr>
      </w:pPr>
      <w:r w:rsidRPr="00BC381F">
        <w:rPr>
          <w:rStyle w:val="FootnoteReference"/>
          <w:sz w:val="18"/>
          <w:szCs w:val="18"/>
        </w:rPr>
        <w:footnoteRef/>
      </w:r>
      <w:r w:rsidRPr="00560A1D">
        <w:rPr>
          <w:sz w:val="18"/>
          <w:szCs w:val="18"/>
          <w:lang w:val="en-US"/>
        </w:rPr>
        <w:t xml:space="preserve"> </w:t>
      </w:r>
      <w:r w:rsidRPr="00E06B75">
        <w:rPr>
          <w:sz w:val="18"/>
          <w:szCs w:val="18"/>
          <w:lang w:val="en-US"/>
        </w:rPr>
        <w:t>Manu et al. 2022</w:t>
      </w:r>
    </w:p>
  </w:footnote>
  <w:footnote w:id="7">
    <w:p w14:paraId="2F516A46" w14:textId="77777777" w:rsidR="00D30EC6" w:rsidRPr="00BC381F" w:rsidRDefault="00D30EC6" w:rsidP="00BC381F">
      <w:pPr>
        <w:pStyle w:val="FootnoteText"/>
        <w:rPr>
          <w:sz w:val="18"/>
          <w:szCs w:val="18"/>
          <w:lang w:val="en-US"/>
        </w:rPr>
      </w:pPr>
      <w:r w:rsidRPr="00BC381F">
        <w:rPr>
          <w:rStyle w:val="FootnoteReference"/>
          <w:sz w:val="18"/>
          <w:szCs w:val="18"/>
        </w:rPr>
        <w:footnoteRef/>
      </w:r>
      <w:r w:rsidRPr="00560A1D">
        <w:rPr>
          <w:sz w:val="18"/>
          <w:szCs w:val="18"/>
          <w:lang w:val="en-US"/>
        </w:rPr>
        <w:t xml:space="preserve"> Ersdal H, Mdoe P, Mduma E, et al. </w:t>
      </w:r>
      <w:r w:rsidRPr="00BC381F">
        <w:rPr>
          <w:sz w:val="18"/>
          <w:szCs w:val="18"/>
        </w:rPr>
        <w:t>"Safer Births Bundle of Care" Implementation and Perinatal Impact at 30 Hospitals in Tanzania-Halfway Evaluation. Children (Basel). 2023 Jan 30;10(2):255. </w:t>
      </w:r>
    </w:p>
  </w:footnote>
  <w:footnote w:id="8">
    <w:p w14:paraId="6166D931" w14:textId="77777777" w:rsidR="00D30EC6" w:rsidRPr="00BC381F" w:rsidRDefault="00D30EC6" w:rsidP="00BC381F">
      <w:pPr>
        <w:pStyle w:val="FootnoteText"/>
        <w:rPr>
          <w:sz w:val="18"/>
          <w:szCs w:val="18"/>
          <w:lang w:val="en-US"/>
        </w:rPr>
      </w:pPr>
      <w:r w:rsidRPr="00BC381F">
        <w:rPr>
          <w:rStyle w:val="FootnoteReference"/>
          <w:sz w:val="18"/>
          <w:szCs w:val="18"/>
        </w:rPr>
        <w:footnoteRef/>
      </w:r>
      <w:r w:rsidRPr="00560A1D">
        <w:rPr>
          <w:sz w:val="18"/>
          <w:szCs w:val="18"/>
          <w:lang w:val="en-US"/>
        </w:rPr>
        <w:t xml:space="preserve"> Dominico S, Serbanescu F, Mwakatundu N, et al. </w:t>
      </w:r>
      <w:r w:rsidRPr="00BC381F">
        <w:rPr>
          <w:sz w:val="18"/>
          <w:szCs w:val="18"/>
        </w:rPr>
        <w:t>A Comprehensive Approach to Improving Emergency Obstetric and Newborn Care in Kigoma, Tanzania. Glob Health Sci Pract. 2022 Apr 29;10(2):e2100485. </w:t>
      </w:r>
    </w:p>
  </w:footnote>
  <w:footnote w:id="9">
    <w:p w14:paraId="41A71DDE" w14:textId="77777777" w:rsidR="00D30EC6" w:rsidRPr="00BC381F" w:rsidRDefault="00D30EC6" w:rsidP="00BC381F">
      <w:pPr>
        <w:pStyle w:val="FootnoteText"/>
        <w:rPr>
          <w:sz w:val="18"/>
          <w:szCs w:val="18"/>
        </w:rPr>
      </w:pPr>
      <w:r w:rsidRPr="00BC381F">
        <w:rPr>
          <w:rStyle w:val="FootnoteReference"/>
          <w:sz w:val="18"/>
          <w:szCs w:val="18"/>
        </w:rPr>
        <w:footnoteRef/>
      </w:r>
      <w:r w:rsidRPr="00BC381F">
        <w:rPr>
          <w:sz w:val="18"/>
          <w:szCs w:val="18"/>
        </w:rPr>
        <w:t xml:space="preserve"> Serbanescu F, Clark TA, Goodwin MM, et al. Impact of the Saving Mothers, Giving Life Approach on Decreasing Maternal and Perinatal Deaths in Uganda and Zambia. Glob Health Sci Pract. 2019 Mar 13;7(Suppl 1):S27-S47.</w:t>
      </w:r>
    </w:p>
  </w:footnote>
  <w:footnote w:id="10">
    <w:p w14:paraId="4331AB29" w14:textId="77777777" w:rsidR="00D30EC6" w:rsidRPr="00560A1D" w:rsidRDefault="00D30EC6" w:rsidP="00BC381F">
      <w:pPr>
        <w:pStyle w:val="FootnoteText"/>
        <w:rPr>
          <w:sz w:val="18"/>
          <w:szCs w:val="18"/>
          <w:lang w:val="en-US"/>
        </w:rPr>
      </w:pPr>
      <w:r w:rsidRPr="00BC381F">
        <w:rPr>
          <w:rStyle w:val="FootnoteReference"/>
          <w:sz w:val="18"/>
          <w:szCs w:val="18"/>
        </w:rPr>
        <w:footnoteRef/>
      </w:r>
      <w:r w:rsidRPr="00BC381F">
        <w:rPr>
          <w:sz w:val="18"/>
          <w:szCs w:val="18"/>
        </w:rPr>
        <w:t xml:space="preserve"> Central Statistical Office (CSO) [Zambia], University of Zambia Department of Population Studies (UNZA), and ICF. 2017. </w:t>
      </w:r>
      <w:r w:rsidRPr="00BC381F">
        <w:rPr>
          <w:i/>
          <w:iCs/>
          <w:sz w:val="18"/>
          <w:szCs w:val="18"/>
        </w:rPr>
        <w:t>2017 Zambia Maternal Mortality Endline Census in Selected Districts</w:t>
      </w:r>
      <w:r w:rsidRPr="00BC381F">
        <w:rPr>
          <w:sz w:val="18"/>
          <w:szCs w:val="18"/>
        </w:rPr>
        <w:t xml:space="preserve">. </w:t>
      </w:r>
      <w:r w:rsidRPr="00560A1D">
        <w:rPr>
          <w:sz w:val="18"/>
          <w:szCs w:val="18"/>
          <w:lang w:val="en-US"/>
        </w:rPr>
        <w:t>Rockville, Maryland, USA.</w:t>
      </w:r>
    </w:p>
  </w:footnote>
  <w:footnote w:id="11">
    <w:p w14:paraId="638011BE" w14:textId="77777777" w:rsidR="00D30EC6" w:rsidRPr="00BD4407" w:rsidRDefault="00D30EC6" w:rsidP="00BC381F">
      <w:pPr>
        <w:pStyle w:val="FootnoteText"/>
        <w:rPr>
          <w:lang w:val="en-US"/>
        </w:rPr>
      </w:pPr>
      <w:r w:rsidRPr="00BC381F">
        <w:rPr>
          <w:rStyle w:val="FootnoteReference"/>
          <w:sz w:val="18"/>
          <w:szCs w:val="18"/>
        </w:rPr>
        <w:footnoteRef/>
      </w:r>
      <w:r w:rsidRPr="00BC381F">
        <w:rPr>
          <w:sz w:val="18"/>
          <w:szCs w:val="18"/>
          <w:lang w:val="fr-FR"/>
        </w:rPr>
        <w:t xml:space="preserve"> Serbanescu F, Clark TA, Goodwin MM, et al. </w:t>
      </w:r>
      <w:r w:rsidRPr="00BC381F">
        <w:rPr>
          <w:sz w:val="18"/>
          <w:szCs w:val="18"/>
        </w:rPr>
        <w:t>Impact of the Saving Mothers, Giving Life Approach on Decreasing Maternal and Perinatal Deaths in Uganda and Zambia. Glob Health Sci Pract. 2019 Mar 13;7(Suppl 1):S27-S47.</w:t>
      </w:r>
    </w:p>
  </w:footnote>
  <w:footnote w:id="12">
    <w:p w14:paraId="16A3E398" w14:textId="2BA7EAF9" w:rsidR="00D30EC6" w:rsidRPr="008C6A0B" w:rsidRDefault="00D30EC6" w:rsidP="00BC381F">
      <w:pPr>
        <w:pStyle w:val="FootnoteText"/>
        <w:rPr>
          <w:sz w:val="18"/>
          <w:szCs w:val="18"/>
          <w:lang w:val="pt-BR"/>
        </w:rPr>
      </w:pPr>
      <w:r w:rsidRPr="0031502F">
        <w:rPr>
          <w:rStyle w:val="FootnoteReference"/>
          <w:sz w:val="18"/>
          <w:szCs w:val="18"/>
        </w:rPr>
        <w:footnoteRef/>
      </w:r>
      <w:r w:rsidRPr="008C6A0B">
        <w:rPr>
          <w:sz w:val="18"/>
          <w:szCs w:val="18"/>
        </w:rPr>
        <w:t xml:space="preserve"> Boerma T, Campbell OMR, Amouzou A, et al. </w:t>
      </w:r>
      <w:r w:rsidRPr="0031502F">
        <w:rPr>
          <w:sz w:val="18"/>
          <w:szCs w:val="18"/>
        </w:rPr>
        <w:t xml:space="preserve">Maternal mortality, stillbirths, and neonatal mortality: a transition model based on analyses of 151 countries. </w:t>
      </w:r>
      <w:r w:rsidRPr="008C6A0B">
        <w:rPr>
          <w:sz w:val="18"/>
          <w:szCs w:val="18"/>
          <w:lang w:val="pt-BR"/>
        </w:rPr>
        <w:t>Lancet Glob Health. 2023 Jul;11(7):e1024-e1031.</w:t>
      </w:r>
    </w:p>
  </w:footnote>
  <w:footnote w:id="13">
    <w:p w14:paraId="35FB2851" w14:textId="77777777" w:rsidR="00D30EC6" w:rsidRPr="008C6A0B" w:rsidRDefault="00D30EC6" w:rsidP="005303D7">
      <w:pPr>
        <w:pStyle w:val="FootnoteText"/>
        <w:rPr>
          <w:lang w:val="pt-BR"/>
        </w:rPr>
      </w:pPr>
      <w:r>
        <w:rPr>
          <w:rStyle w:val="FootnoteReference"/>
        </w:rPr>
        <w:footnoteRef/>
      </w:r>
      <w:r w:rsidRPr="008C6A0B">
        <w:rPr>
          <w:lang w:val="pt-BR"/>
        </w:rPr>
        <w:t xml:space="preserve"> Preliminary data from Agbessi Amouzou</w:t>
      </w:r>
    </w:p>
  </w:footnote>
  <w:footnote w:id="14">
    <w:p w14:paraId="7F466C9C" w14:textId="77777777" w:rsidR="00D30EC6" w:rsidRPr="00560A1D" w:rsidRDefault="00D30EC6" w:rsidP="005303D7">
      <w:pPr>
        <w:pStyle w:val="FootnoteText"/>
        <w:rPr>
          <w:lang w:val="fr-FR"/>
        </w:rPr>
      </w:pPr>
      <w:r>
        <w:rPr>
          <w:rStyle w:val="FootnoteReference"/>
        </w:rPr>
        <w:footnoteRef/>
      </w:r>
      <w:r w:rsidRPr="00CC7770">
        <w:rPr>
          <w:lang w:val="pt-BR"/>
        </w:rPr>
        <w:t xml:space="preserve"> Instituto Nacional de Estatística (INE) e ICF. 2024. </w:t>
      </w:r>
      <w:r w:rsidRPr="00CC7770">
        <w:rPr>
          <w:i/>
          <w:iCs/>
          <w:lang w:val="pt-BR"/>
        </w:rPr>
        <w:t>Inquérito Demográfico e de Saúde em Moçambique 2022–23</w:t>
      </w:r>
      <w:r w:rsidRPr="00CC7770">
        <w:rPr>
          <w:lang w:val="pt-BR"/>
        </w:rPr>
        <w:t xml:space="preserve">. </w:t>
      </w:r>
      <w:r w:rsidRPr="00560A1D">
        <w:rPr>
          <w:lang w:val="fr-FR"/>
        </w:rPr>
        <w:t>Maputo, Moçambique e Rockville, Maryland, EUA: INE e ICF.</w:t>
      </w:r>
    </w:p>
  </w:footnote>
  <w:footnote w:id="15">
    <w:p w14:paraId="4BC19DEC" w14:textId="77777777" w:rsidR="00D30EC6" w:rsidRPr="00E80F44" w:rsidRDefault="00D30EC6" w:rsidP="005303D7">
      <w:pPr>
        <w:pStyle w:val="FootnoteText"/>
        <w:rPr>
          <w:lang w:val="en-US"/>
        </w:rPr>
      </w:pPr>
      <w:r>
        <w:rPr>
          <w:rStyle w:val="FootnoteReference"/>
        </w:rPr>
        <w:footnoteRef/>
      </w:r>
      <w:r w:rsidRPr="00560A1D">
        <w:rPr>
          <w:lang w:val="fr-FR"/>
        </w:rPr>
        <w:t xml:space="preserve"> UN MMEIG. </w:t>
      </w:r>
      <w:r>
        <w:rPr>
          <w:lang w:val="en-US"/>
        </w:rPr>
        <w:t xml:space="preserve">Maternal mortality Mozambique 2000-2020. </w:t>
      </w:r>
      <w:r w:rsidRPr="00E80F44">
        <w:t>Internationally comparable MMR estimates by the Maternal Mortality Inter-Agency Group (MMEIG): WHO,</w:t>
      </w:r>
      <w:r>
        <w:t xml:space="preserve"> </w:t>
      </w:r>
      <w:r w:rsidRPr="00E80F44">
        <w:t>UNICEF, UNFPA, World Bank Group and the United Nations Population Division</w:t>
      </w:r>
      <w:r>
        <w:t>.</w:t>
      </w:r>
    </w:p>
  </w:footnote>
  <w:footnote w:id="16">
    <w:p w14:paraId="5DD44D4F" w14:textId="77777777" w:rsidR="00D30EC6" w:rsidRPr="00E80F44" w:rsidRDefault="00D30EC6" w:rsidP="005303D7">
      <w:pPr>
        <w:pStyle w:val="FootnoteText"/>
        <w:rPr>
          <w:lang w:val="en-US"/>
        </w:rPr>
      </w:pPr>
      <w:r>
        <w:rPr>
          <w:rStyle w:val="FootnoteReference"/>
        </w:rPr>
        <w:footnoteRef/>
      </w:r>
      <w:r>
        <w:t xml:space="preserve"> </w:t>
      </w:r>
      <w:r w:rsidRPr="00E80F44">
        <w:t>Mozambique National Institute of Statistics, U.S. Census Bureau, MEASURE Evaluation, U.S. Centers for Disease Control and Prevention.</w:t>
      </w:r>
      <w:r>
        <w:t xml:space="preserve"> </w:t>
      </w:r>
      <w:r w:rsidRPr="00E80F44">
        <w:t xml:space="preserve">2012. </w:t>
      </w:r>
      <w:r w:rsidRPr="00E80F44">
        <w:rPr>
          <w:i/>
          <w:iCs/>
        </w:rPr>
        <w:t>Mortality in Mozambique: Results from a 2007–2008 Post-Census Mortality Survey</w:t>
      </w:r>
      <w:r w:rsidRPr="00E80F44">
        <w:t>. Chapel Hill, USA: MEASURE Evaluation.</w:t>
      </w:r>
    </w:p>
  </w:footnote>
  <w:footnote w:id="17">
    <w:p w14:paraId="34A6C317" w14:textId="77777777" w:rsidR="00D30EC6" w:rsidRPr="00E80F44" w:rsidRDefault="00D30EC6" w:rsidP="005303D7">
      <w:pPr>
        <w:pStyle w:val="FootnoteText"/>
        <w:rPr>
          <w:lang w:val="en-US"/>
        </w:rPr>
      </w:pPr>
      <w:r>
        <w:rPr>
          <w:rStyle w:val="FootnoteReference"/>
        </w:rPr>
        <w:footnoteRef/>
      </w:r>
      <w:r>
        <w:t xml:space="preserve"> </w:t>
      </w:r>
      <w:r>
        <w:rPr>
          <w:lang w:val="en-US"/>
        </w:rPr>
        <w:t>Data from Claudia Hanson.</w:t>
      </w:r>
    </w:p>
  </w:footnote>
  <w:footnote w:id="18">
    <w:p w14:paraId="7C9718B3" w14:textId="77777777" w:rsidR="00D30EC6" w:rsidRPr="0046010A" w:rsidRDefault="00D30EC6" w:rsidP="005303D7">
      <w:pPr>
        <w:pStyle w:val="FootnoteText"/>
        <w:rPr>
          <w:lang w:val="en-US"/>
        </w:rPr>
      </w:pPr>
      <w:r>
        <w:rPr>
          <w:rStyle w:val="FootnoteReference"/>
        </w:rPr>
        <w:footnoteRef/>
      </w:r>
      <w:r>
        <w:t xml:space="preserve"> </w:t>
      </w:r>
      <w:r w:rsidRPr="0046010A">
        <w:t>Bicego, George, Si</w:t>
      </w:r>
      <w:r>
        <w:t>a</w:t>
      </w:r>
      <w:r w:rsidRPr="0046010A">
        <w:t>n Curtis, Hendrik Raggers, Saidi Kapiga, and Sylvester Ngallaba. Suture Survey on Adult and Childhood Mortality, Tanzania, 1995: In-Depth Study on Estimating Adult and Childhood Mortality in Settings of High Adult Mortality. Calverton, Maryland: Macro International Inc.</w:t>
      </w:r>
    </w:p>
  </w:footnote>
  <w:footnote w:id="19">
    <w:p w14:paraId="4B9B98F1" w14:textId="77777777" w:rsidR="00D30EC6" w:rsidRPr="004663CB" w:rsidRDefault="00D30EC6" w:rsidP="005303D7">
      <w:pPr>
        <w:pStyle w:val="FootnoteText"/>
        <w:rPr>
          <w:lang w:val="en-US"/>
        </w:rPr>
      </w:pPr>
      <w:r>
        <w:rPr>
          <w:rStyle w:val="FootnoteReference"/>
        </w:rPr>
        <w:footnoteRef/>
      </w:r>
      <w:r w:rsidRPr="00560A1D">
        <w:rPr>
          <w:lang w:val="en-US"/>
        </w:rPr>
        <w:t xml:space="preserve"> Musarandega R, Cresswell J, Magwali T, et al. </w:t>
      </w:r>
      <w:r w:rsidRPr="004C220D">
        <w:rPr>
          <w:lang w:val="en-US"/>
        </w:rPr>
        <w:t>Maternal mortality decline in Zimbabwe, 2007/2008 to 2018/2019: findings from mortality surveys using civil registration, vital statistics and health system data. BMJ Glob Health. 2022 Aug;7(8):e009465. </w:t>
      </w:r>
    </w:p>
  </w:footnote>
  <w:footnote w:id="20">
    <w:p w14:paraId="2B473097" w14:textId="77777777" w:rsidR="00D30EC6" w:rsidRPr="00D13BD7" w:rsidRDefault="00D30EC6" w:rsidP="005303D7">
      <w:pPr>
        <w:pStyle w:val="FootnoteText"/>
        <w:rPr>
          <w:lang w:val="en-US"/>
        </w:rPr>
      </w:pPr>
      <w:r>
        <w:rPr>
          <w:rStyle w:val="FootnoteReference"/>
        </w:rPr>
        <w:footnoteRef/>
      </w:r>
      <w:r>
        <w:t xml:space="preserve"> </w:t>
      </w:r>
      <w:r>
        <w:rPr>
          <w:lang w:val="en-US"/>
        </w:rPr>
        <w:t>We corrected a computational error in the publication and used a population MMR of 193 for the second RAMOS.</w:t>
      </w:r>
    </w:p>
  </w:footnote>
  <w:footnote w:id="21">
    <w:p w14:paraId="651FDEEE" w14:textId="77777777" w:rsidR="00D30EC6" w:rsidRPr="00AA682C" w:rsidRDefault="00D30EC6" w:rsidP="005303D7">
      <w:pPr>
        <w:pStyle w:val="FootnoteText"/>
        <w:rPr>
          <w:lang w:val="en-US"/>
        </w:rPr>
      </w:pPr>
      <w:r>
        <w:rPr>
          <w:rStyle w:val="FootnoteReference"/>
        </w:rPr>
        <w:footnoteRef/>
      </w:r>
      <w:r>
        <w:t xml:space="preserve"> </w:t>
      </w:r>
      <w:r w:rsidRPr="00AA682C">
        <w:t>Carshon-Marsh R, Aimone A, Ansumana R, et al. Child, maternal, and adult mortality in Sierra Leone: nationally representative mortality survey 2018-20. Lancet Glob Health. 2022 Jan;10(1):e114-e123.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3716E0"/>
    <w:multiLevelType w:val="hybridMultilevel"/>
    <w:tmpl w:val="25A6D59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4C675538"/>
    <w:multiLevelType w:val="hybridMultilevel"/>
    <w:tmpl w:val="0F78C1E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BB"/>
    <w:rsid w:val="00034C68"/>
    <w:rsid w:val="000775C8"/>
    <w:rsid w:val="00077BB4"/>
    <w:rsid w:val="00080D00"/>
    <w:rsid w:val="000D7E75"/>
    <w:rsid w:val="0010762D"/>
    <w:rsid w:val="00132DE7"/>
    <w:rsid w:val="001B38A1"/>
    <w:rsid w:val="001C0AC6"/>
    <w:rsid w:val="001E295D"/>
    <w:rsid w:val="002165EE"/>
    <w:rsid w:val="002233D5"/>
    <w:rsid w:val="0023782F"/>
    <w:rsid w:val="002550AE"/>
    <w:rsid w:val="00280FBA"/>
    <w:rsid w:val="002C0466"/>
    <w:rsid w:val="002E159D"/>
    <w:rsid w:val="002E58DF"/>
    <w:rsid w:val="00311CAD"/>
    <w:rsid w:val="0031502F"/>
    <w:rsid w:val="0035700C"/>
    <w:rsid w:val="003C7E7E"/>
    <w:rsid w:val="003D01F1"/>
    <w:rsid w:val="003D4999"/>
    <w:rsid w:val="003F2852"/>
    <w:rsid w:val="00422D2F"/>
    <w:rsid w:val="00470D60"/>
    <w:rsid w:val="00485BF8"/>
    <w:rsid w:val="004F1133"/>
    <w:rsid w:val="00513EAB"/>
    <w:rsid w:val="005303D7"/>
    <w:rsid w:val="00543D81"/>
    <w:rsid w:val="0055159C"/>
    <w:rsid w:val="00560A1D"/>
    <w:rsid w:val="005B351C"/>
    <w:rsid w:val="005C38E4"/>
    <w:rsid w:val="005C5C5E"/>
    <w:rsid w:val="00627CA4"/>
    <w:rsid w:val="00630690"/>
    <w:rsid w:val="00663E04"/>
    <w:rsid w:val="00664937"/>
    <w:rsid w:val="00673EEE"/>
    <w:rsid w:val="006D5C84"/>
    <w:rsid w:val="007802B5"/>
    <w:rsid w:val="007A5AB5"/>
    <w:rsid w:val="007E4452"/>
    <w:rsid w:val="00826AED"/>
    <w:rsid w:val="008744C2"/>
    <w:rsid w:val="008A03B0"/>
    <w:rsid w:val="008A2AC1"/>
    <w:rsid w:val="008C6A0B"/>
    <w:rsid w:val="00965526"/>
    <w:rsid w:val="00993B3D"/>
    <w:rsid w:val="009C3BB4"/>
    <w:rsid w:val="009E2771"/>
    <w:rsid w:val="00A22077"/>
    <w:rsid w:val="00A92C5B"/>
    <w:rsid w:val="00B253DC"/>
    <w:rsid w:val="00B948A6"/>
    <w:rsid w:val="00BC381F"/>
    <w:rsid w:val="00C03203"/>
    <w:rsid w:val="00C10AA8"/>
    <w:rsid w:val="00C4079F"/>
    <w:rsid w:val="00C7125B"/>
    <w:rsid w:val="00C8290C"/>
    <w:rsid w:val="00CE43E4"/>
    <w:rsid w:val="00D1141A"/>
    <w:rsid w:val="00D30EC6"/>
    <w:rsid w:val="00D45EEE"/>
    <w:rsid w:val="00DA3F92"/>
    <w:rsid w:val="00DB633F"/>
    <w:rsid w:val="00DE18A2"/>
    <w:rsid w:val="00E06B75"/>
    <w:rsid w:val="00E96AC2"/>
    <w:rsid w:val="00ED0588"/>
    <w:rsid w:val="00ED6DB5"/>
    <w:rsid w:val="00F42278"/>
    <w:rsid w:val="00F427BB"/>
    <w:rsid w:val="00F663AD"/>
    <w:rsid w:val="00F776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D3F9"/>
  <w15:chartTrackingRefBased/>
  <w15:docId w15:val="{8A52F7CA-F220-4A08-9E81-9DF60C64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7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7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7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7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7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7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7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7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7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7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7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7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7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7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7BB"/>
    <w:rPr>
      <w:rFonts w:eastAsiaTheme="majorEastAsia" w:cstheme="majorBidi"/>
      <w:color w:val="272727" w:themeColor="text1" w:themeTint="D8"/>
    </w:rPr>
  </w:style>
  <w:style w:type="paragraph" w:styleId="Title">
    <w:name w:val="Title"/>
    <w:basedOn w:val="Normal"/>
    <w:next w:val="Normal"/>
    <w:link w:val="TitleChar"/>
    <w:uiPriority w:val="10"/>
    <w:qFormat/>
    <w:rsid w:val="00F427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7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7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7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7BB"/>
    <w:pPr>
      <w:spacing w:before="160"/>
      <w:jc w:val="center"/>
    </w:pPr>
    <w:rPr>
      <w:i/>
      <w:iCs/>
      <w:color w:val="404040" w:themeColor="text1" w:themeTint="BF"/>
    </w:rPr>
  </w:style>
  <w:style w:type="character" w:customStyle="1" w:styleId="QuoteChar">
    <w:name w:val="Quote Char"/>
    <w:basedOn w:val="DefaultParagraphFont"/>
    <w:link w:val="Quote"/>
    <w:uiPriority w:val="29"/>
    <w:rsid w:val="00F427BB"/>
    <w:rPr>
      <w:i/>
      <w:iCs/>
      <w:color w:val="404040" w:themeColor="text1" w:themeTint="BF"/>
    </w:rPr>
  </w:style>
  <w:style w:type="paragraph" w:styleId="ListParagraph">
    <w:name w:val="List Paragraph"/>
    <w:basedOn w:val="Normal"/>
    <w:uiPriority w:val="34"/>
    <w:qFormat/>
    <w:rsid w:val="00F427BB"/>
    <w:pPr>
      <w:ind w:left="720"/>
      <w:contextualSpacing/>
    </w:pPr>
  </w:style>
  <w:style w:type="character" w:styleId="IntenseEmphasis">
    <w:name w:val="Intense Emphasis"/>
    <w:basedOn w:val="DefaultParagraphFont"/>
    <w:uiPriority w:val="21"/>
    <w:qFormat/>
    <w:rsid w:val="00F427BB"/>
    <w:rPr>
      <w:i/>
      <w:iCs/>
      <w:color w:val="0F4761" w:themeColor="accent1" w:themeShade="BF"/>
    </w:rPr>
  </w:style>
  <w:style w:type="paragraph" w:styleId="IntenseQuote">
    <w:name w:val="Intense Quote"/>
    <w:basedOn w:val="Normal"/>
    <w:next w:val="Normal"/>
    <w:link w:val="IntenseQuoteChar"/>
    <w:uiPriority w:val="30"/>
    <w:qFormat/>
    <w:rsid w:val="00F427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7BB"/>
    <w:rPr>
      <w:i/>
      <w:iCs/>
      <w:color w:val="0F4761" w:themeColor="accent1" w:themeShade="BF"/>
    </w:rPr>
  </w:style>
  <w:style w:type="character" w:styleId="IntenseReference">
    <w:name w:val="Intense Reference"/>
    <w:basedOn w:val="DefaultParagraphFont"/>
    <w:uiPriority w:val="32"/>
    <w:qFormat/>
    <w:rsid w:val="00F427BB"/>
    <w:rPr>
      <w:b/>
      <w:bCs/>
      <w:smallCaps/>
      <w:color w:val="0F4761" w:themeColor="accent1" w:themeShade="BF"/>
      <w:spacing w:val="5"/>
    </w:rPr>
  </w:style>
  <w:style w:type="table" w:styleId="TableGrid">
    <w:name w:val="Table Grid"/>
    <w:basedOn w:val="TableNormal"/>
    <w:uiPriority w:val="39"/>
    <w:rsid w:val="00F42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73EEE"/>
    <w:pPr>
      <w:spacing w:after="200" w:line="240" w:lineRule="auto"/>
    </w:pPr>
    <w:rPr>
      <w:i/>
      <w:iCs/>
      <w:color w:val="0E2841" w:themeColor="text2"/>
      <w:sz w:val="18"/>
      <w:szCs w:val="18"/>
      <w:lang w:val="fr-FR"/>
    </w:rPr>
  </w:style>
  <w:style w:type="table" w:styleId="GridTable1Light-Accent4">
    <w:name w:val="Grid Table 1 Light Accent 4"/>
    <w:basedOn w:val="TableNormal"/>
    <w:uiPriority w:val="46"/>
    <w:rsid w:val="003D01F1"/>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E4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452"/>
  </w:style>
  <w:style w:type="paragraph" w:styleId="Footer">
    <w:name w:val="footer"/>
    <w:basedOn w:val="Normal"/>
    <w:link w:val="FooterChar"/>
    <w:uiPriority w:val="99"/>
    <w:unhideWhenUsed/>
    <w:rsid w:val="007E4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452"/>
  </w:style>
  <w:style w:type="paragraph" w:styleId="FootnoteText">
    <w:name w:val="footnote text"/>
    <w:basedOn w:val="Normal"/>
    <w:link w:val="FootnoteTextChar"/>
    <w:uiPriority w:val="99"/>
    <w:semiHidden/>
    <w:unhideWhenUsed/>
    <w:rsid w:val="00BC3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81F"/>
    <w:rPr>
      <w:sz w:val="20"/>
      <w:szCs w:val="20"/>
    </w:rPr>
  </w:style>
  <w:style w:type="character" w:styleId="FootnoteReference">
    <w:name w:val="footnote reference"/>
    <w:basedOn w:val="DefaultParagraphFont"/>
    <w:uiPriority w:val="99"/>
    <w:semiHidden/>
    <w:unhideWhenUsed/>
    <w:rsid w:val="00BC381F"/>
    <w:rPr>
      <w:vertAlign w:val="superscript"/>
    </w:rPr>
  </w:style>
  <w:style w:type="paragraph" w:styleId="BalloonText">
    <w:name w:val="Balloon Text"/>
    <w:basedOn w:val="Normal"/>
    <w:link w:val="BalloonTextChar"/>
    <w:uiPriority w:val="99"/>
    <w:semiHidden/>
    <w:unhideWhenUsed/>
    <w:rsid w:val="00C10A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A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038889">
      <w:bodyDiv w:val="1"/>
      <w:marLeft w:val="0"/>
      <w:marRight w:val="0"/>
      <w:marTop w:val="0"/>
      <w:marBottom w:val="0"/>
      <w:divBdr>
        <w:top w:val="none" w:sz="0" w:space="0" w:color="auto"/>
        <w:left w:val="none" w:sz="0" w:space="0" w:color="auto"/>
        <w:bottom w:val="none" w:sz="0" w:space="0" w:color="auto"/>
        <w:right w:val="none" w:sz="0" w:space="0" w:color="auto"/>
      </w:divBdr>
    </w:div>
    <w:div w:id="706105946">
      <w:bodyDiv w:val="1"/>
      <w:marLeft w:val="0"/>
      <w:marRight w:val="0"/>
      <w:marTop w:val="0"/>
      <w:marBottom w:val="0"/>
      <w:divBdr>
        <w:top w:val="none" w:sz="0" w:space="0" w:color="auto"/>
        <w:left w:val="none" w:sz="0" w:space="0" w:color="auto"/>
        <w:bottom w:val="none" w:sz="0" w:space="0" w:color="auto"/>
        <w:right w:val="none" w:sz="0" w:space="0" w:color="auto"/>
      </w:divBdr>
    </w:div>
    <w:div w:id="971180273">
      <w:bodyDiv w:val="1"/>
      <w:marLeft w:val="0"/>
      <w:marRight w:val="0"/>
      <w:marTop w:val="0"/>
      <w:marBottom w:val="0"/>
      <w:divBdr>
        <w:top w:val="none" w:sz="0" w:space="0" w:color="auto"/>
        <w:left w:val="none" w:sz="0" w:space="0" w:color="auto"/>
        <w:bottom w:val="none" w:sz="0" w:space="0" w:color="auto"/>
        <w:right w:val="none" w:sz="0" w:space="0" w:color="auto"/>
      </w:divBdr>
    </w:div>
    <w:div w:id="1390883905">
      <w:bodyDiv w:val="1"/>
      <w:marLeft w:val="0"/>
      <w:marRight w:val="0"/>
      <w:marTop w:val="0"/>
      <w:marBottom w:val="0"/>
      <w:divBdr>
        <w:top w:val="none" w:sz="0" w:space="0" w:color="auto"/>
        <w:left w:val="none" w:sz="0" w:space="0" w:color="auto"/>
        <w:bottom w:val="none" w:sz="0" w:space="0" w:color="auto"/>
        <w:right w:val="none" w:sz="0" w:space="0" w:color="auto"/>
      </w:divBdr>
    </w:div>
    <w:div w:id="213636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4150137131734938"/>
                  <c:y val="0.2526698293148139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rendlineLbl>
          </c:trendline>
          <c:xVal>
            <c:numRef>
              <c:f>'Annex Background'!$B$2:$B$48</c:f>
              <c:numCache>
                <c:formatCode>General</c:formatCode>
                <c:ptCount val="47"/>
                <c:pt idx="0">
                  <c:v>47.5</c:v>
                </c:pt>
                <c:pt idx="1">
                  <c:v>45.4</c:v>
                </c:pt>
                <c:pt idx="2">
                  <c:v>43.9</c:v>
                </c:pt>
                <c:pt idx="3">
                  <c:v>58.3</c:v>
                </c:pt>
                <c:pt idx="4">
                  <c:v>47.3</c:v>
                </c:pt>
                <c:pt idx="5">
                  <c:v>28.7</c:v>
                </c:pt>
                <c:pt idx="6">
                  <c:v>68.3</c:v>
                </c:pt>
                <c:pt idx="7">
                  <c:v>26.6</c:v>
                </c:pt>
                <c:pt idx="8">
                  <c:v>53.9</c:v>
                </c:pt>
                <c:pt idx="9">
                  <c:v>39.200000000000003</c:v>
                </c:pt>
                <c:pt idx="10">
                  <c:v>39.6</c:v>
                </c:pt>
                <c:pt idx="11">
                  <c:v>39.799999999999997</c:v>
                </c:pt>
                <c:pt idx="12">
                  <c:v>20.5</c:v>
                </c:pt>
                <c:pt idx="13">
                  <c:v>49.2</c:v>
                </c:pt>
                <c:pt idx="14">
                  <c:v>19.3</c:v>
                </c:pt>
                <c:pt idx="15">
                  <c:v>37.200000000000003</c:v>
                </c:pt>
                <c:pt idx="16">
                  <c:v>36.299999999999997</c:v>
                </c:pt>
                <c:pt idx="17">
                  <c:v>55.2</c:v>
                </c:pt>
                <c:pt idx="18">
                  <c:v>50.5</c:v>
                </c:pt>
                <c:pt idx="19">
                  <c:v>34.799999999999997</c:v>
                </c:pt>
                <c:pt idx="20">
                  <c:v>35.1</c:v>
                </c:pt>
                <c:pt idx="21">
                  <c:v>35.6</c:v>
                </c:pt>
                <c:pt idx="22">
                  <c:v>39.700000000000003</c:v>
                </c:pt>
                <c:pt idx="23">
                  <c:v>71.900000000000006</c:v>
                </c:pt>
                <c:pt idx="24">
                  <c:v>65.900000000000006</c:v>
                </c:pt>
                <c:pt idx="25">
                  <c:v>26.3</c:v>
                </c:pt>
                <c:pt idx="26">
                  <c:v>48</c:v>
                </c:pt>
                <c:pt idx="27">
                  <c:v>31.8</c:v>
                </c:pt>
                <c:pt idx="28">
                  <c:v>26.7</c:v>
                </c:pt>
                <c:pt idx="29">
                  <c:v>16.5</c:v>
                </c:pt>
                <c:pt idx="30">
                  <c:v>39.4</c:v>
                </c:pt>
                <c:pt idx="31">
                  <c:v>35.700000000000003</c:v>
                </c:pt>
                <c:pt idx="32">
                  <c:v>21.9</c:v>
                </c:pt>
                <c:pt idx="33">
                  <c:v>32</c:v>
                </c:pt>
                <c:pt idx="34">
                  <c:v>34.700000000000003</c:v>
                </c:pt>
                <c:pt idx="35">
                  <c:v>26.4</c:v>
                </c:pt>
                <c:pt idx="36">
                  <c:v>66.2</c:v>
                </c:pt>
                <c:pt idx="37">
                  <c:v>34.200000000000003</c:v>
                </c:pt>
                <c:pt idx="38">
                  <c:v>33.9</c:v>
                </c:pt>
                <c:pt idx="39">
                  <c:v>67.8</c:v>
                </c:pt>
                <c:pt idx="40">
                  <c:v>28.1</c:v>
                </c:pt>
                <c:pt idx="41">
                  <c:v>36.299999999999997</c:v>
                </c:pt>
                <c:pt idx="42">
                  <c:v>77.7</c:v>
                </c:pt>
                <c:pt idx="43">
                  <c:v>40.4</c:v>
                </c:pt>
                <c:pt idx="44">
                  <c:v>48.8</c:v>
                </c:pt>
                <c:pt idx="45">
                  <c:v>66.3</c:v>
                </c:pt>
                <c:pt idx="46">
                  <c:v>61.4</c:v>
                </c:pt>
              </c:numCache>
            </c:numRef>
          </c:xVal>
          <c:yVal>
            <c:numRef>
              <c:f>'Annex Background'!$C$2:$C$48</c:f>
              <c:numCache>
                <c:formatCode>0.0</c:formatCode>
                <c:ptCount val="47"/>
                <c:pt idx="0">
                  <c:v>81.220230000000001</c:v>
                </c:pt>
                <c:pt idx="1">
                  <c:v>88.202489999999997</c:v>
                </c:pt>
                <c:pt idx="2">
                  <c:v>86.967380000000006</c:v>
                </c:pt>
                <c:pt idx="3">
                  <c:v>85.090180000000004</c:v>
                </c:pt>
                <c:pt idx="4">
                  <c:v>95.556359999999998</c:v>
                </c:pt>
                <c:pt idx="5">
                  <c:v>94.212159999999997</c:v>
                </c:pt>
                <c:pt idx="6">
                  <c:v>59.007750000000001</c:v>
                </c:pt>
                <c:pt idx="7">
                  <c:v>90.456739999999996</c:v>
                </c:pt>
                <c:pt idx="8">
                  <c:v>84.879459999999995</c:v>
                </c:pt>
                <c:pt idx="9">
                  <c:v>81.779300000000006</c:v>
                </c:pt>
                <c:pt idx="10">
                  <c:v>96.398039999999995</c:v>
                </c:pt>
                <c:pt idx="11">
                  <c:v>91.482479999999995</c:v>
                </c:pt>
                <c:pt idx="12">
                  <c:v>97.975110000000001</c:v>
                </c:pt>
                <c:pt idx="13">
                  <c:v>82.773020000000002</c:v>
                </c:pt>
                <c:pt idx="14">
                  <c:v>97.332210000000003</c:v>
                </c:pt>
                <c:pt idx="15">
                  <c:v>93.108029999999999</c:v>
                </c:pt>
                <c:pt idx="16">
                  <c:v>96.713629999999995</c:v>
                </c:pt>
                <c:pt idx="17">
                  <c:v>76.992350000000002</c:v>
                </c:pt>
                <c:pt idx="18">
                  <c:v>85.315889999999996</c:v>
                </c:pt>
                <c:pt idx="19">
                  <c:v>90.299400000000006</c:v>
                </c:pt>
                <c:pt idx="20">
                  <c:v>88.155169999999998</c:v>
                </c:pt>
                <c:pt idx="21">
                  <c:v>95.057289999999995</c:v>
                </c:pt>
                <c:pt idx="22">
                  <c:v>93.001710000000003</c:v>
                </c:pt>
                <c:pt idx="23">
                  <c:v>49.740409999999997</c:v>
                </c:pt>
                <c:pt idx="24">
                  <c:v>59.587209999999999</c:v>
                </c:pt>
                <c:pt idx="25">
                  <c:v>94.33878</c:v>
                </c:pt>
                <c:pt idx="26">
                  <c:v>91.205489999999998</c:v>
                </c:pt>
                <c:pt idx="27">
                  <c:v>94.996139999999997</c:v>
                </c:pt>
                <c:pt idx="28">
                  <c:v>96.076229999999995</c:v>
                </c:pt>
                <c:pt idx="29">
                  <c:v>99.304230000000004</c:v>
                </c:pt>
                <c:pt idx="30">
                  <c:v>93.456280000000007</c:v>
                </c:pt>
                <c:pt idx="31">
                  <c:v>85.212199999999996</c:v>
                </c:pt>
                <c:pt idx="32">
                  <c:v>69.565969999999993</c:v>
                </c:pt>
                <c:pt idx="33">
                  <c:v>94.161069999999995</c:v>
                </c:pt>
                <c:pt idx="34">
                  <c:v>97.229039999999998</c:v>
                </c:pt>
                <c:pt idx="35">
                  <c:v>99.435119999999998</c:v>
                </c:pt>
                <c:pt idx="36">
                  <c:v>51.431539999999998</c:v>
                </c:pt>
                <c:pt idx="37">
                  <c:v>92.094089999999994</c:v>
                </c:pt>
                <c:pt idx="38">
                  <c:v>92.932389999999998</c:v>
                </c:pt>
                <c:pt idx="39">
                  <c:v>52.49004</c:v>
                </c:pt>
                <c:pt idx="40">
                  <c:v>93.654880000000006</c:v>
                </c:pt>
                <c:pt idx="41">
                  <c:v>89.055019999999999</c:v>
                </c:pt>
                <c:pt idx="42">
                  <c:v>49.360120000000002</c:v>
                </c:pt>
                <c:pt idx="43">
                  <c:v>92.531469999999999</c:v>
                </c:pt>
                <c:pt idx="44">
                  <c:v>95.781199999999998</c:v>
                </c:pt>
                <c:pt idx="45">
                  <c:v>49.65157</c:v>
                </c:pt>
                <c:pt idx="46">
                  <c:v>57.004269999999998</c:v>
                </c:pt>
              </c:numCache>
            </c:numRef>
          </c:yVal>
          <c:smooth val="0"/>
          <c:extLst>
            <c:ext xmlns:c16="http://schemas.microsoft.com/office/drawing/2014/chart" uri="{C3380CC4-5D6E-409C-BE32-E72D297353CC}">
              <c16:uniqueId val="{00000001-6F67-4B13-82BB-E14B25DC9E0F}"/>
            </c:ext>
          </c:extLst>
        </c:ser>
        <c:dLbls>
          <c:showLegendKey val="0"/>
          <c:showVal val="0"/>
          <c:showCatName val="0"/>
          <c:showSerName val="0"/>
          <c:showPercent val="0"/>
          <c:showBubbleSize val="0"/>
        </c:dLbls>
        <c:axId val="687877040"/>
        <c:axId val="687866480"/>
      </c:scatterChart>
      <c:valAx>
        <c:axId val="687877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87866480"/>
        <c:crosses val="autoZero"/>
        <c:crossBetween val="midCat"/>
      </c:valAx>
      <c:valAx>
        <c:axId val="68786648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878770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29</TotalTime>
  <Pages>18</Pages>
  <Words>3217</Words>
  <Characters>17694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Ties Boerma</dc:creator>
  <cp:keywords/>
  <dc:description/>
  <cp:lastModifiedBy>Rose Muthee</cp:lastModifiedBy>
  <cp:revision>5</cp:revision>
  <cp:lastPrinted>2024-07-11T15:51:00Z</cp:lastPrinted>
  <dcterms:created xsi:type="dcterms:W3CDTF">2024-09-24T08:43:00Z</dcterms:created>
  <dcterms:modified xsi:type="dcterms:W3CDTF">2024-09-24T09:27:00Z</dcterms:modified>
</cp:coreProperties>
</file>