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9FB00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EXTENDED DATA</w:t>
      </w:r>
      <w:r w:rsidRPr="00DE18BD">
        <w:rPr>
          <w:b/>
          <w:bCs/>
          <w:color w:val="000000"/>
          <w:sz w:val="20"/>
          <w:szCs w:val="20"/>
        </w:rPr>
        <w:t xml:space="preserve"> TITLES AND LEGENDS</w:t>
      </w:r>
    </w:p>
    <w:p w14:paraId="72CF23A9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>Extended Data</w:t>
      </w:r>
      <w:r w:rsidRPr="00DE18BD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Fig.</w:t>
      </w:r>
      <w:r w:rsidRPr="00DE18BD">
        <w:rPr>
          <w:color w:val="000000"/>
          <w:sz w:val="20"/>
          <w:szCs w:val="20"/>
        </w:rPr>
        <w:t xml:space="preserve"> legend 1: Additional multimodal features of ccRCC tumours.</w:t>
      </w:r>
    </w:p>
    <w:p w14:paraId="0F98038F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A.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Volcano plot illustrating the metabolic differences between ccRCC tumours vs kidney tissues.</w:t>
      </w:r>
    </w:p>
    <w:p w14:paraId="55CD2D7C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B.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Venn diagrams of the significantly accumulated (UP) and decreased (DOWN) metabolites in Cluster 1 and 2 </w:t>
      </w:r>
      <w:r w:rsidRPr="00DE18BD">
        <w:rPr>
          <w:i/>
          <w:iCs/>
          <w:color w:val="000000"/>
          <w:sz w:val="20"/>
          <w:szCs w:val="20"/>
        </w:rPr>
        <w:t>(Fig</w:t>
      </w:r>
      <w:r>
        <w:rPr>
          <w:i/>
          <w:iCs/>
          <w:color w:val="000000"/>
          <w:sz w:val="20"/>
          <w:szCs w:val="20"/>
        </w:rPr>
        <w:t>.</w:t>
      </w:r>
      <w:r w:rsidRPr="00DE18BD">
        <w:rPr>
          <w:i/>
          <w:iCs/>
          <w:color w:val="000000"/>
          <w:sz w:val="20"/>
          <w:szCs w:val="20"/>
        </w:rPr>
        <w:t xml:space="preserve"> 1C).</w:t>
      </w:r>
      <w:r w:rsidRPr="00DE18BD">
        <w:rPr>
          <w:color w:val="000000"/>
          <w:sz w:val="20"/>
          <w:szCs w:val="20"/>
        </w:rPr>
        <w:t xml:space="preserve"> The Urea cycle and Tryptophan pathway detected from Cluster 2 Pathway Analysis are listed with the detected metabolites and the cluster(s) they were significantly detected in.</w:t>
      </w:r>
    </w:p>
    <w:p w14:paraId="3B56D227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C.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Violin plot of the tryptophan pathway metabolite Log2FC (ccRCC vs kidney) with assigned clusters.</w:t>
      </w:r>
    </w:p>
    <w:p w14:paraId="0CC8EF6C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D.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Violin plot of the protein expression levels for ASS1 and ASL enzymes in ccRCC vs kidney with assigned metabolic clusters. Schematic of the urea cycle pathway.</w:t>
      </w:r>
    </w:p>
    <w:p w14:paraId="1395C021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 xml:space="preserve">E. 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Correlation plot comparing protein and RNA expression of the Log2FC (ccRCC vs kidney).</w:t>
      </w:r>
    </w:p>
    <w:p w14:paraId="72F866CF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3E8D1593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*p &lt; 0.05, **p &lt; 0.01, ***p&lt;0.001 by Student’s t-test using Benjamini-Hochberg correction (A, C, and D). Correlation coefficients calculated using Spearman’s method with LOESS regression line fitted (E).</w:t>
      </w:r>
    </w:p>
    <w:p w14:paraId="45818457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14BED294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>Extended Data</w:t>
      </w:r>
      <w:r w:rsidRPr="00DE18BD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Fig.</w:t>
      </w:r>
      <w:r w:rsidRPr="00DE18BD">
        <w:rPr>
          <w:color w:val="000000"/>
          <w:sz w:val="20"/>
          <w:szCs w:val="20"/>
        </w:rPr>
        <w:t xml:space="preserve"> legend 2: </w:t>
      </w:r>
      <w:r w:rsidRPr="00DE18BD">
        <w:rPr>
          <w:color w:val="000000"/>
          <w:sz w:val="20"/>
          <w:szCs w:val="20"/>
          <w:vertAlign w:val="superscript"/>
        </w:rPr>
        <w:t>13</w:t>
      </w:r>
      <w:r w:rsidRPr="00DE18BD">
        <w:rPr>
          <w:color w:val="000000"/>
          <w:sz w:val="20"/>
          <w:szCs w:val="20"/>
        </w:rPr>
        <w:t xml:space="preserve">C-labelling and multimodal characteristics of </w:t>
      </w:r>
      <w:r w:rsidRPr="00DE18BD">
        <w:rPr>
          <w:color w:val="000000"/>
          <w:sz w:val="20"/>
          <w:szCs w:val="20"/>
          <w:vertAlign w:val="superscript"/>
        </w:rPr>
        <w:t>13</w:t>
      </w:r>
      <w:r w:rsidRPr="00DE18BD">
        <w:rPr>
          <w:color w:val="000000"/>
          <w:sz w:val="20"/>
          <w:szCs w:val="20"/>
        </w:rPr>
        <w:t>C</w:t>
      </w:r>
      <w:r w:rsidRPr="00DE18BD">
        <w:rPr>
          <w:color w:val="000000"/>
          <w:sz w:val="20"/>
          <w:szCs w:val="20"/>
          <w:vertAlign w:val="subscript"/>
        </w:rPr>
        <w:t>6</w:t>
      </w:r>
      <w:r w:rsidRPr="00DE18BD">
        <w:rPr>
          <w:color w:val="000000"/>
          <w:sz w:val="20"/>
          <w:szCs w:val="20"/>
        </w:rPr>
        <w:t>-glucose infusions in patient serum and tissues with ccRCC.</w:t>
      </w:r>
    </w:p>
    <w:p w14:paraId="77A12A7D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A.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Schematic of the major central carbon metabolism pathways displaying the downstream isotopologue (labelling) patterns from </w:t>
      </w:r>
      <w:r w:rsidRPr="00DE18BD">
        <w:rPr>
          <w:color w:val="000000"/>
          <w:sz w:val="20"/>
          <w:szCs w:val="20"/>
          <w:vertAlign w:val="superscript"/>
        </w:rPr>
        <w:t>13</w:t>
      </w:r>
      <w:r w:rsidRPr="00DE18BD">
        <w:rPr>
          <w:color w:val="000000"/>
          <w:sz w:val="20"/>
          <w:szCs w:val="20"/>
        </w:rPr>
        <w:t>C</w:t>
      </w:r>
      <w:r w:rsidRPr="00DE18BD">
        <w:rPr>
          <w:color w:val="000000"/>
          <w:sz w:val="20"/>
          <w:szCs w:val="20"/>
          <w:vertAlign w:val="subscript"/>
        </w:rPr>
        <w:t>6</w:t>
      </w:r>
      <w:r w:rsidRPr="00DE18BD">
        <w:rPr>
          <w:color w:val="000000"/>
          <w:sz w:val="20"/>
          <w:szCs w:val="20"/>
        </w:rPr>
        <w:t>-glucose infusions.</w:t>
      </w:r>
    </w:p>
    <w:p w14:paraId="7CE7FC7C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B.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Plasma glucose m+6 enrichment curves of patients during the infusion, blood glucose concentrations at time of tissue sampling are shown in Table 1.</w:t>
      </w:r>
    </w:p>
    <w:p w14:paraId="6ACE23A5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C.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Proportion of the total tissue pool (FE) of m+</w:t>
      </w:r>
      <w:r w:rsidRPr="00DE18BD">
        <w:rPr>
          <w:i/>
          <w:iCs/>
          <w:color w:val="000000"/>
          <w:sz w:val="20"/>
          <w:szCs w:val="20"/>
        </w:rPr>
        <w:t>n</w:t>
      </w:r>
      <w:r w:rsidRPr="00DE18BD">
        <w:rPr>
          <w:color w:val="000000"/>
          <w:sz w:val="20"/>
          <w:szCs w:val="20"/>
        </w:rPr>
        <w:t xml:space="preserve"> for indicated central carbon metabolites.</w:t>
      </w:r>
    </w:p>
    <w:p w14:paraId="013A61DD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D.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Patient isotopologue profiles of indicated central carbon metabolites comparing ccRCC and kidney tissues.</w:t>
      </w:r>
    </w:p>
    <w:p w14:paraId="37C90492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 xml:space="preserve">E. 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Fractional enrichment (FE) of labelled metabolites detected in patients’ plasma at time of tissue sampling.</w:t>
      </w:r>
    </w:p>
    <w:p w14:paraId="35C1321A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 xml:space="preserve">F. 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Correlation plot comparing protein and RNA expressions of the Log2FC (ccRCC vs kidney) for indicated features from the MGSS glycolysis &amp; gluconeogenesis pathway. Circle map denotes the no. of features in the MGSS and the no. of those features detected in the proteome and transcriptome.</w:t>
      </w:r>
    </w:p>
    <w:p w14:paraId="4FABE550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10890E0D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Data are mean ± SD. Correlation coefficients calculated using Spearman’s method with LOESS regression line fitted (E).</w:t>
      </w:r>
    </w:p>
    <w:p w14:paraId="74ECAFFB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37283748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>Extended Data</w:t>
      </w:r>
      <w:r w:rsidRPr="00DE18BD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Fig.</w:t>
      </w:r>
      <w:r w:rsidRPr="00DE18BD">
        <w:rPr>
          <w:color w:val="000000"/>
          <w:sz w:val="20"/>
          <w:szCs w:val="20"/>
        </w:rPr>
        <w:t xml:space="preserve"> legend 3: </w:t>
      </w:r>
      <w:r w:rsidRPr="00DE18BD">
        <w:rPr>
          <w:color w:val="000000"/>
          <w:sz w:val="20"/>
          <w:szCs w:val="20"/>
          <w:vertAlign w:val="superscript"/>
        </w:rPr>
        <w:t>13</w:t>
      </w:r>
      <w:r w:rsidRPr="00DE18BD">
        <w:rPr>
          <w:color w:val="000000"/>
          <w:sz w:val="20"/>
          <w:szCs w:val="20"/>
        </w:rPr>
        <w:t>C</w:t>
      </w:r>
      <w:r w:rsidRPr="00DE18BD">
        <w:rPr>
          <w:color w:val="000000"/>
          <w:sz w:val="20"/>
          <w:szCs w:val="20"/>
          <w:vertAlign w:val="subscript"/>
        </w:rPr>
        <w:t>6</w:t>
      </w:r>
      <w:r w:rsidRPr="00DE18BD">
        <w:rPr>
          <w:color w:val="000000"/>
          <w:sz w:val="20"/>
          <w:szCs w:val="20"/>
        </w:rPr>
        <w:t>-labelling and multimodal features of ccRCC tumours exposed to post-operative ischaemia.</w:t>
      </w:r>
    </w:p>
    <w:p w14:paraId="1CDD8BD1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A.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Warm ischaemia time intervals for individual patients from </w:t>
      </w:r>
      <w:r w:rsidRPr="00DE18BD">
        <w:rPr>
          <w:i/>
          <w:iCs/>
          <w:color w:val="000000"/>
          <w:sz w:val="20"/>
          <w:szCs w:val="20"/>
        </w:rPr>
        <w:t>in vivo</w:t>
      </w:r>
      <w:r w:rsidRPr="00DE18BD">
        <w:rPr>
          <w:color w:val="000000"/>
          <w:sz w:val="20"/>
          <w:szCs w:val="20"/>
        </w:rPr>
        <w:t xml:space="preserve"> sampling to acquiring post-resection samples as soon as practicable.</w:t>
      </w:r>
    </w:p>
    <w:p w14:paraId="7A498F6A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B.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Bar graph comparing the Log2FC (ccRCC vs kidney) of the no. of significant features detected in WIT compared to </w:t>
      </w:r>
      <w:r w:rsidRPr="00DE18BD">
        <w:rPr>
          <w:i/>
          <w:iCs/>
          <w:color w:val="000000"/>
          <w:sz w:val="20"/>
          <w:szCs w:val="20"/>
        </w:rPr>
        <w:t>in vivo</w:t>
      </w:r>
      <w:r w:rsidRPr="00DE18BD">
        <w:rPr>
          <w:color w:val="000000"/>
          <w:sz w:val="20"/>
          <w:szCs w:val="20"/>
        </w:rPr>
        <w:t xml:space="preserve"> in the indicated omics datasets.</w:t>
      </w:r>
    </w:p>
    <w:p w14:paraId="730FC213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C.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Correlation plot comparing protein </w:t>
      </w:r>
      <w:r w:rsidRPr="00DE18BD">
        <w:rPr>
          <w:i/>
          <w:iCs/>
          <w:color w:val="000000"/>
          <w:sz w:val="20"/>
          <w:szCs w:val="20"/>
        </w:rPr>
        <w:t>in vivo</w:t>
      </w:r>
      <w:r w:rsidRPr="00DE18BD">
        <w:rPr>
          <w:color w:val="000000"/>
          <w:sz w:val="20"/>
          <w:szCs w:val="20"/>
        </w:rPr>
        <w:t xml:space="preserve"> and WIT NES for the MGSS GSEA comparing ccRCC vs kidney. </w:t>
      </w:r>
    </w:p>
    <w:p w14:paraId="3E955ABF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lastRenderedPageBreak/>
        <w:t>D.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 xml:space="preserve">Dot plot overview of the metabolite isotopologue expressions of the Log2FC (ccRCC vs kidney) comparing WIT normalised to </w:t>
      </w:r>
      <w:r w:rsidRPr="00DE18BD">
        <w:rPr>
          <w:i/>
          <w:iCs/>
          <w:color w:val="000000"/>
          <w:sz w:val="20"/>
          <w:szCs w:val="20"/>
        </w:rPr>
        <w:t>in vivo</w:t>
      </w:r>
      <w:r w:rsidRPr="00DE18BD">
        <w:rPr>
          <w:color w:val="000000"/>
          <w:sz w:val="20"/>
          <w:szCs w:val="20"/>
        </w:rPr>
        <w:t xml:space="preserve"> conditions.</w:t>
      </w:r>
    </w:p>
    <w:p w14:paraId="02C7375E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 xml:space="preserve">E. 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Metabolite isotopologue levels comparing ccRCC and kidney samples taken in ischaemic conditions.</w:t>
      </w:r>
    </w:p>
    <w:p w14:paraId="2FA3CCCB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39F451B4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Correlation coefficients calculated using Spearman’s method with LOESS regression line fitted (C). *p &lt; 0.05, **p &lt; 0.01 by Student’s t-test using Benjamini-Hochberg correction (E). Data are mean ± SD.</w:t>
      </w:r>
    </w:p>
    <w:p w14:paraId="6CEF3B95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30CDB120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t>Extended Data</w:t>
      </w:r>
      <w:r w:rsidRPr="00DE18BD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Fig.</w:t>
      </w:r>
      <w:r w:rsidRPr="00DE18BD">
        <w:rPr>
          <w:color w:val="000000"/>
          <w:sz w:val="20"/>
          <w:szCs w:val="20"/>
        </w:rPr>
        <w:t xml:space="preserve"> legend 4: </w:t>
      </w:r>
      <w:r w:rsidRPr="00DE18BD">
        <w:rPr>
          <w:color w:val="000000"/>
          <w:sz w:val="20"/>
          <w:szCs w:val="20"/>
          <w:vertAlign w:val="superscript"/>
        </w:rPr>
        <w:t>13</w:t>
      </w:r>
      <w:r w:rsidRPr="00DE18BD">
        <w:rPr>
          <w:color w:val="000000"/>
          <w:sz w:val="20"/>
          <w:szCs w:val="20"/>
        </w:rPr>
        <w:t>C</w:t>
      </w:r>
      <w:r w:rsidRPr="00DE18BD">
        <w:rPr>
          <w:color w:val="000000"/>
          <w:sz w:val="20"/>
          <w:szCs w:val="20"/>
          <w:vertAlign w:val="subscript"/>
        </w:rPr>
        <w:t>6</w:t>
      </w:r>
      <w:r w:rsidRPr="00DE18BD">
        <w:rPr>
          <w:color w:val="000000"/>
          <w:sz w:val="20"/>
          <w:szCs w:val="20"/>
        </w:rPr>
        <w:t>-labelling and metabolomic features of orthotopic 786-O ccRCC xenografts exposed to various durations of warm ischaemia.</w:t>
      </w:r>
    </w:p>
    <w:p w14:paraId="5E10E4FA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A.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Bioluminescence image of 786-O-luciferase expressing ccRCC cells xenografted into NSG mice to monitor tumour growth (left panel). Photo taken of paired mouse kidneys showing a normal right kidney and ccRCC tumour growth in left kidney (right panel).</w:t>
      </w:r>
    </w:p>
    <w:p w14:paraId="492D282E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B.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Correlation matrix of the metabolome with hierarchical clustering applied to kidney and 786-O tumour samples. n = 5-10 mice at each WIT timepoint.</w:t>
      </w:r>
    </w:p>
    <w:p w14:paraId="646B52FC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C.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Correlation graph of tissue-specific metabolomes at the indicated WIT relative to no ischaemia (WIT 0).</w:t>
      </w:r>
    </w:p>
    <w:p w14:paraId="045B8B6E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ind w:left="360" w:hanging="360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D.</w:t>
      </w:r>
      <w:r w:rsidRPr="00DE18BD">
        <w:rPr>
          <w:rStyle w:val="apple-tab-span"/>
          <w:color w:val="000000"/>
          <w:sz w:val="20"/>
          <w:szCs w:val="20"/>
        </w:rPr>
        <w:tab/>
      </w:r>
      <w:r w:rsidRPr="00DE18BD">
        <w:rPr>
          <w:color w:val="000000"/>
          <w:sz w:val="20"/>
          <w:szCs w:val="20"/>
        </w:rPr>
        <w:t>Metabolite isotopologue expressions of the fold change (786-O vs kidney) of the indicated metabolites across all WIT timepoints.</w:t>
      </w:r>
    </w:p>
    <w:p w14:paraId="4700B46E" w14:textId="77777777" w:rsidR="00C72C25" w:rsidRPr="00DE18BD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DE18BD">
        <w:rPr>
          <w:color w:val="000000"/>
          <w:sz w:val="20"/>
          <w:szCs w:val="20"/>
        </w:rPr>
        <w:t> </w:t>
      </w:r>
    </w:p>
    <w:p w14:paraId="0116C604" w14:textId="77777777" w:rsidR="00C72C25" w:rsidRDefault="00C72C25" w:rsidP="00C72C25">
      <w:pPr>
        <w:pStyle w:val="NormalWeb"/>
        <w:spacing w:before="0" w:beforeAutospacing="0" w:after="0" w:afterAutospacing="0" w:line="360" w:lineRule="auto"/>
        <w:jc w:val="both"/>
        <w:rPr>
          <w:color w:val="000000"/>
          <w:sz w:val="20"/>
          <w:szCs w:val="20"/>
        </w:rPr>
      </w:pPr>
      <w:r w:rsidRPr="00DE18BD">
        <w:rPr>
          <w:color w:val="000000"/>
          <w:sz w:val="20"/>
          <w:szCs w:val="20"/>
        </w:rPr>
        <w:t>Correlation coefficients calculated using Spearman’s method with hierarchal clustering applied (B).  *p &lt; 0.05 by Student’s t-test using Benjamini-Hochberg correction (D). Data are mean ± SD.</w:t>
      </w:r>
    </w:p>
    <w:p w14:paraId="478EBF5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C25"/>
    <w:rsid w:val="00331A6B"/>
    <w:rsid w:val="00555CB8"/>
    <w:rsid w:val="00755780"/>
    <w:rsid w:val="00857596"/>
    <w:rsid w:val="00C7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2ECD7"/>
  <w15:chartTrackingRefBased/>
  <w15:docId w15:val="{810202E0-89DE-4FE2-A6CA-33AA8CCF1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2C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C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C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C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C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C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C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C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C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C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C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C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C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C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C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C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C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C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C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C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C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C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C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C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C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C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C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C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C2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72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customStyle="1" w:styleId="apple-tab-span">
    <w:name w:val="apple-tab-span"/>
    <w:basedOn w:val="DefaultParagraphFont"/>
    <w:rsid w:val="00C72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626</Words>
  <Characters>3571</Characters>
  <Application>Microsoft Office Word</Application>
  <DocSecurity>0</DocSecurity>
  <Lines>29</Lines>
  <Paragraphs>8</Paragraphs>
  <ScaleCrop>false</ScaleCrop>
  <Company>Springer Nature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2024-10-08T09:56:00Z</dcterms:created>
  <dcterms:modified xsi:type="dcterms:W3CDTF">2024-10-08T09:57:00Z</dcterms:modified>
</cp:coreProperties>
</file>