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29A7D1" w14:textId="77777777" w:rsidR="00EA5AF8" w:rsidRPr="00582054" w:rsidRDefault="00EA5AF8" w:rsidP="00EA5AF8">
      <w:pPr>
        <w:jc w:val="center"/>
        <w:rPr>
          <w:b/>
          <w:sz w:val="44"/>
          <w:szCs w:val="26"/>
        </w:rPr>
      </w:pPr>
      <w:r w:rsidRPr="00582054">
        <w:rPr>
          <w:b/>
          <w:sz w:val="32"/>
        </w:rPr>
        <w:t>Supplementary Data</w:t>
      </w:r>
    </w:p>
    <w:p w14:paraId="2C17FDBB" w14:textId="77777777" w:rsidR="00EA5AF8" w:rsidRPr="00582054" w:rsidRDefault="00EA5AF8" w:rsidP="00EA5AF8">
      <w:pPr>
        <w:pStyle w:val="Paragraphedeliste"/>
        <w:numPr>
          <w:ilvl w:val="0"/>
          <w:numId w:val="2"/>
        </w:numPr>
        <w:rPr>
          <w:b/>
          <w:i/>
          <w:sz w:val="28"/>
          <w:szCs w:val="28"/>
        </w:rPr>
      </w:pPr>
      <w:r w:rsidRPr="00582054">
        <w:rPr>
          <w:b/>
          <w:sz w:val="28"/>
          <w:szCs w:val="28"/>
        </w:rPr>
        <w:t xml:space="preserve">Supplementary Materials </w:t>
      </w:r>
    </w:p>
    <w:p w14:paraId="2F6DABB4" w14:textId="6F2481A8" w:rsidR="00EA5AF8" w:rsidRPr="00582054" w:rsidRDefault="00EA5AF8" w:rsidP="00EA5AF8">
      <w:r w:rsidRPr="00582054">
        <w:rPr>
          <w:b/>
        </w:rPr>
        <w:t>Supplementary Material 1.</w:t>
      </w:r>
      <w:r w:rsidRPr="00582054">
        <w:t xml:space="preserve"> </w:t>
      </w:r>
      <w:r w:rsidR="00534BB2" w:rsidRPr="00582054">
        <w:t xml:space="preserve">Description of variables used to characterize the </w:t>
      </w:r>
      <w:r w:rsidR="00534BB2">
        <w:t>sample</w:t>
      </w:r>
      <w:r w:rsidR="00534BB2" w:rsidRPr="00582054">
        <w:t xml:space="preserve"> and statistical covariates.</w:t>
      </w:r>
    </w:p>
    <w:p w14:paraId="738F3218" w14:textId="4633A170" w:rsidR="00520158" w:rsidRDefault="00520158" w:rsidP="00EA5AF8">
      <w:r w:rsidRPr="00582054">
        <w:rPr>
          <w:b/>
        </w:rPr>
        <w:t xml:space="preserve">Supplementary Material 2. </w:t>
      </w:r>
      <w:r w:rsidR="00534BB2" w:rsidRPr="00582054">
        <w:t>Neuroimaging procedures of the Age-Well trial.</w:t>
      </w:r>
    </w:p>
    <w:p w14:paraId="7EEE73B8" w14:textId="2289528F" w:rsidR="008F188C" w:rsidRPr="00582054" w:rsidRDefault="008F188C" w:rsidP="008F188C">
      <w:pPr>
        <w:pStyle w:val="Paragraphedeliste"/>
        <w:numPr>
          <w:ilvl w:val="0"/>
          <w:numId w:val="2"/>
        </w:numPr>
        <w:rPr>
          <w:b/>
          <w:sz w:val="28"/>
          <w:szCs w:val="28"/>
        </w:rPr>
      </w:pPr>
      <w:r w:rsidRPr="00582054">
        <w:rPr>
          <w:b/>
          <w:sz w:val="28"/>
          <w:szCs w:val="28"/>
        </w:rPr>
        <w:t xml:space="preserve">Supplementary </w:t>
      </w:r>
      <w:r>
        <w:rPr>
          <w:b/>
          <w:sz w:val="28"/>
          <w:szCs w:val="28"/>
        </w:rPr>
        <w:t>Figures</w:t>
      </w:r>
    </w:p>
    <w:p w14:paraId="1B7DCD75" w14:textId="0C688D47" w:rsidR="008F188C" w:rsidRPr="00582054" w:rsidRDefault="008F188C" w:rsidP="008F188C">
      <w:r w:rsidRPr="008F188C">
        <w:rPr>
          <w:b/>
        </w:rPr>
        <w:t xml:space="preserve">Supplementary </w:t>
      </w:r>
      <w:r>
        <w:rPr>
          <w:b/>
        </w:rPr>
        <w:t>Figure</w:t>
      </w:r>
      <w:r w:rsidRPr="008F188C">
        <w:rPr>
          <w:b/>
        </w:rPr>
        <w:t xml:space="preserve"> 1.</w:t>
      </w:r>
      <w:r w:rsidRPr="00582054">
        <w:t xml:space="preserve"> </w:t>
      </w:r>
      <w:r w:rsidRPr="008F188C">
        <w:t xml:space="preserve">Distribution of depressive symptoms according to </w:t>
      </w:r>
      <w:r>
        <w:t>Geriatric Depression Scale</w:t>
      </w:r>
      <w:r w:rsidR="00CE0D39">
        <w:t xml:space="preserve"> (GDS)</w:t>
      </w:r>
      <w:r w:rsidR="00A74C7C">
        <w:t xml:space="preserve"> </w:t>
      </w:r>
      <w:r w:rsidRPr="008F188C">
        <w:t>items.</w:t>
      </w:r>
    </w:p>
    <w:p w14:paraId="1D60D7C8" w14:textId="77777777" w:rsidR="00EA5AF8" w:rsidRPr="00582054" w:rsidRDefault="00EA5AF8" w:rsidP="00897EF8">
      <w:pPr>
        <w:pStyle w:val="Paragraphedeliste"/>
        <w:numPr>
          <w:ilvl w:val="0"/>
          <w:numId w:val="2"/>
        </w:numPr>
        <w:rPr>
          <w:b/>
          <w:sz w:val="28"/>
          <w:szCs w:val="28"/>
        </w:rPr>
      </w:pPr>
      <w:r w:rsidRPr="00582054">
        <w:rPr>
          <w:b/>
          <w:sz w:val="28"/>
          <w:szCs w:val="28"/>
        </w:rPr>
        <w:t>Supplementary Tables</w:t>
      </w:r>
    </w:p>
    <w:p w14:paraId="2742E0C2" w14:textId="77777777" w:rsidR="00EA5AF8" w:rsidRPr="00582054" w:rsidRDefault="00EA5AF8" w:rsidP="00EA5AF8">
      <w:r w:rsidRPr="00582054">
        <w:rPr>
          <w:b/>
        </w:rPr>
        <w:t>Supplementary Table 1.</w:t>
      </w:r>
      <w:r w:rsidRPr="00582054">
        <w:t xml:space="preserve"> </w:t>
      </w:r>
      <w:r w:rsidR="007C6BD8" w:rsidRPr="00582054">
        <w:t xml:space="preserve">Between-group differences in blood stress markers corrected for </w:t>
      </w:r>
      <w:bookmarkStart w:id="0" w:name="_GoBack"/>
      <w:bookmarkEnd w:id="0"/>
      <w:r w:rsidR="007C6BD8" w:rsidRPr="00582054">
        <w:t>additional health variables and medical use.</w:t>
      </w:r>
    </w:p>
    <w:p w14:paraId="4BB548CB" w14:textId="4811F0C0" w:rsidR="00270B50" w:rsidRPr="00582054" w:rsidRDefault="00270B50" w:rsidP="00270B50">
      <w:pPr>
        <w:spacing w:after="0"/>
      </w:pPr>
      <w:r w:rsidRPr="00582054">
        <w:rPr>
          <w:b/>
        </w:rPr>
        <w:t>Supplementary Table 2.</w:t>
      </w:r>
      <w:r w:rsidRPr="00582054">
        <w:t xml:space="preserve"> Intra-group associations between epinephrine and functional connectivity, as well as hypothalamic and hippocampal gray matter volumes.</w:t>
      </w:r>
    </w:p>
    <w:p w14:paraId="734DBE34" w14:textId="11CA1B52" w:rsidR="00B85243" w:rsidRPr="00582054" w:rsidRDefault="00B85243" w:rsidP="00270B50">
      <w:pPr>
        <w:spacing w:after="0"/>
      </w:pPr>
      <w:r w:rsidRPr="00582054">
        <w:rPr>
          <w:b/>
        </w:rPr>
        <w:t>Supplementary Table 3.</w:t>
      </w:r>
      <w:r w:rsidRPr="00582054">
        <w:t xml:space="preserve"> Intra-group associations between epinephrine and functional connectivity, as well as hypothalamic and hippocampal gray matter volumes corrected for additional covariates.</w:t>
      </w:r>
    </w:p>
    <w:p w14:paraId="3D86CF64" w14:textId="77777777" w:rsidR="001721BC" w:rsidRPr="00582054" w:rsidRDefault="00EA5AF8" w:rsidP="00897EF8">
      <w:pPr>
        <w:pStyle w:val="Paragraphedeliste"/>
        <w:numPr>
          <w:ilvl w:val="0"/>
          <w:numId w:val="2"/>
        </w:numPr>
        <w:rPr>
          <w:b/>
          <w:sz w:val="28"/>
          <w:szCs w:val="28"/>
        </w:rPr>
        <w:sectPr w:rsidR="001721BC" w:rsidRPr="00582054" w:rsidSect="006C345F">
          <w:footerReference w:type="default" r:id="rId8"/>
          <w:pgSz w:w="11906" w:h="16838"/>
          <w:pgMar w:top="1417" w:right="1417" w:bottom="1417" w:left="1417" w:header="708" w:footer="708" w:gutter="0"/>
          <w:cols w:space="708"/>
          <w:docGrid w:linePitch="360"/>
        </w:sectPr>
      </w:pPr>
      <w:r w:rsidRPr="00582054">
        <w:rPr>
          <w:b/>
          <w:sz w:val="28"/>
          <w:szCs w:val="28"/>
        </w:rPr>
        <w:t>References</w:t>
      </w:r>
    </w:p>
    <w:p w14:paraId="77CF04F8" w14:textId="77777777" w:rsidR="001721BC" w:rsidRPr="00582054" w:rsidRDefault="001721BC" w:rsidP="001721BC">
      <w:pPr>
        <w:pStyle w:val="Paragraphedeliste"/>
        <w:numPr>
          <w:ilvl w:val="0"/>
          <w:numId w:val="8"/>
        </w:numPr>
        <w:rPr>
          <w:b/>
          <w:sz w:val="28"/>
        </w:rPr>
      </w:pPr>
      <w:r w:rsidRPr="00582054">
        <w:rPr>
          <w:b/>
          <w:sz w:val="28"/>
        </w:rPr>
        <w:lastRenderedPageBreak/>
        <w:t xml:space="preserve">Supplementary Materials </w:t>
      </w:r>
    </w:p>
    <w:p w14:paraId="4B8E8C6F" w14:textId="4EDF199B" w:rsidR="009C31A9" w:rsidRPr="00582054" w:rsidRDefault="009C31A9" w:rsidP="009C31A9">
      <w:pPr>
        <w:pStyle w:val="Titre1"/>
        <w:rPr>
          <w:b w:val="0"/>
        </w:rPr>
      </w:pPr>
      <w:r w:rsidRPr="00582054">
        <w:t xml:space="preserve">Supplementary Material </w:t>
      </w:r>
      <w:r>
        <w:t>1</w:t>
      </w:r>
      <w:r w:rsidRPr="00582054">
        <w:t>.</w:t>
      </w:r>
      <w:r w:rsidRPr="00582054">
        <w:rPr>
          <w:b w:val="0"/>
        </w:rPr>
        <w:t xml:space="preserve"> Description of variables used to characteri</w:t>
      </w:r>
      <w:r>
        <w:rPr>
          <w:b w:val="0"/>
        </w:rPr>
        <w:t>z</w:t>
      </w:r>
      <w:r w:rsidRPr="00582054">
        <w:rPr>
          <w:b w:val="0"/>
        </w:rPr>
        <w:t xml:space="preserve">e the </w:t>
      </w:r>
      <w:r>
        <w:rPr>
          <w:b w:val="0"/>
        </w:rPr>
        <w:t>sample</w:t>
      </w:r>
      <w:r w:rsidRPr="00582054">
        <w:rPr>
          <w:b w:val="0"/>
        </w:rPr>
        <w:t xml:space="preserve"> and statistical covariates.</w:t>
      </w:r>
    </w:p>
    <w:p w14:paraId="36AE4A3A" w14:textId="77777777" w:rsidR="009C31A9" w:rsidRPr="00582054" w:rsidRDefault="009C31A9" w:rsidP="009C31A9">
      <w:pPr>
        <w:spacing w:before="0" w:after="160"/>
        <w:rPr>
          <w:szCs w:val="24"/>
        </w:rPr>
      </w:pPr>
      <w:r w:rsidRPr="00582054">
        <w:rPr>
          <w:i/>
          <w:szCs w:val="24"/>
        </w:rPr>
        <w:t>Body mass.</w:t>
      </w:r>
      <w:r w:rsidRPr="00582054">
        <w:rPr>
          <w:szCs w:val="24"/>
        </w:rPr>
        <w:t xml:space="preserve"> The Body Mass Index (BMI) was objectively obtained during the medical interview and was calculated as weight in kilograms divided by height in meters squared (kg/m</w:t>
      </w:r>
      <w:r w:rsidRPr="00582054">
        <w:rPr>
          <w:szCs w:val="24"/>
          <w:vertAlign w:val="superscript"/>
        </w:rPr>
        <w:t>2</w:t>
      </w:r>
      <w:r w:rsidRPr="00582054">
        <w:rPr>
          <w:szCs w:val="24"/>
        </w:rPr>
        <w:t xml:space="preserve">). </w:t>
      </w:r>
    </w:p>
    <w:p w14:paraId="57626CFC" w14:textId="77777777" w:rsidR="009C31A9" w:rsidRPr="00582054" w:rsidRDefault="009C31A9" w:rsidP="009C31A9">
      <w:pPr>
        <w:spacing w:before="0" w:after="160"/>
        <w:rPr>
          <w:szCs w:val="24"/>
        </w:rPr>
      </w:pPr>
      <w:r w:rsidRPr="00582054">
        <w:rPr>
          <w:i/>
          <w:szCs w:val="24"/>
        </w:rPr>
        <w:t>Blood Pressure</w:t>
      </w:r>
      <w:r w:rsidRPr="00582054">
        <w:rPr>
          <w:szCs w:val="24"/>
        </w:rPr>
        <w:t xml:space="preserve">. Systolic blood pressure (SBP; mmHg) and diastolic blood pressure (DBP; mmHg) were averaged over three consecutive assessments at two different times in a seated position at rest. </w:t>
      </w:r>
    </w:p>
    <w:p w14:paraId="75FBD82F" w14:textId="77777777" w:rsidR="009C31A9" w:rsidRPr="00582054" w:rsidRDefault="009C31A9" w:rsidP="009C31A9">
      <w:pPr>
        <w:spacing w:before="0" w:after="160"/>
        <w:rPr>
          <w:szCs w:val="24"/>
        </w:rPr>
      </w:pPr>
      <w:r w:rsidRPr="00582054">
        <w:rPr>
          <w:i/>
          <w:szCs w:val="24"/>
        </w:rPr>
        <w:t>Number of depressive episodes and ongoing treatments</w:t>
      </w:r>
      <w:r w:rsidRPr="00582054">
        <w:rPr>
          <w:szCs w:val="24"/>
        </w:rPr>
        <w:t xml:space="preserve">. Participants were assessed during the inclusion process by a physician who inquired about their psychiatric history, the number of past depressive disorder, and ongoing treatments. </w:t>
      </w:r>
    </w:p>
    <w:p w14:paraId="59A17EB4" w14:textId="1E3B33D9" w:rsidR="009C31A9" w:rsidRPr="00582054" w:rsidRDefault="009C31A9" w:rsidP="009C31A9">
      <w:pPr>
        <w:spacing w:before="0" w:after="160"/>
      </w:pPr>
      <w:r w:rsidRPr="00582054">
        <w:rPr>
          <w:i/>
          <w:szCs w:val="24"/>
        </w:rPr>
        <w:t>Global cognition</w:t>
      </w:r>
      <w:r w:rsidRPr="00582054">
        <w:rPr>
          <w:szCs w:val="24"/>
        </w:rPr>
        <w:t xml:space="preserve">. Cognitive performance was measured using the Mini-Mental State Examination (MMSE) </w:t>
      </w:r>
      <w:r w:rsidRPr="00582054">
        <w:fldChar w:fldCharType="begin"/>
      </w:r>
      <w:r w:rsidR="00534BB2">
        <w:instrText xml:space="preserve"> ADDIN ZOTERO_ITEM CSL_CITATION {"citationID":"aDDGF2zZ","properties":{"formattedCitation":"(1)","plainCitation":"(1)","noteIndex":0},"citationItems":[{"id":1589,"uris":["http://zotero.org/users/5050321/items/289FR5ZP"],"itemData":{"id":1589,"type":"article-journal","container-title":"Journal of Psychiatric Research","DOI":"10.1016/0022-3956(75)90026-6","ISSN":"0022-3956","issue":"3","journalAbbreviation":"J Psychiatr Res","language":"eng","note":"PMID: 1202204","page":"189-198","source":"PubMed","title":"\"Mini-mental state\". A practical method for grading the cognitive state of patients for the clinician","volume":"12","author":[{"family":"Folstein","given":"M. F."},{"family":"Folstein","given":"S. E."},{"family":"McHugh","given":"P. R."}],"issued":{"date-parts":[["1975",11]]}}}],"schema":"https://github.com/citation-style-language/schema/raw/master/csl-citation.json"} </w:instrText>
      </w:r>
      <w:r w:rsidRPr="00582054">
        <w:fldChar w:fldCharType="separate"/>
      </w:r>
      <w:r w:rsidR="00534BB2" w:rsidRPr="00534BB2">
        <w:rPr>
          <w:rFonts w:cs="Times New Roman"/>
        </w:rPr>
        <w:t>(1)</w:t>
      </w:r>
      <w:r w:rsidRPr="00582054">
        <w:fldChar w:fldCharType="end"/>
      </w:r>
      <w:r w:rsidRPr="00582054">
        <w:t>,</w:t>
      </w:r>
      <w:r w:rsidRPr="00582054">
        <w:rPr>
          <w:szCs w:val="24"/>
        </w:rPr>
        <w:t xml:space="preserve"> with scores ranging from 0 to 30.</w:t>
      </w:r>
    </w:p>
    <w:p w14:paraId="2386B481" w14:textId="06BAB985" w:rsidR="009C31A9" w:rsidRPr="00582054" w:rsidRDefault="009C31A9" w:rsidP="009C31A9">
      <w:pPr>
        <w:spacing w:before="0" w:after="160"/>
      </w:pPr>
      <w:r w:rsidRPr="00582054">
        <w:rPr>
          <w:i/>
          <w:szCs w:val="24"/>
        </w:rPr>
        <w:t>SUVR and amyloid positivity</w:t>
      </w:r>
      <w:r w:rsidRPr="00582054">
        <w:rPr>
          <w:szCs w:val="24"/>
        </w:rPr>
        <w:t xml:space="preserve">. All participants were scanned on the same Positron Emission Tomography (PET) camera (Discovery RX VCT 64 PET-CT; General Electric Healthcare) at the </w:t>
      </w:r>
      <w:proofErr w:type="spellStart"/>
      <w:r w:rsidRPr="00582054">
        <w:rPr>
          <w:szCs w:val="24"/>
        </w:rPr>
        <w:t>Cyceron</w:t>
      </w:r>
      <w:proofErr w:type="spellEnd"/>
      <w:r w:rsidRPr="00582054">
        <w:rPr>
          <w:szCs w:val="24"/>
        </w:rPr>
        <w:t xml:space="preserve"> Center (Caen, France).</w:t>
      </w:r>
      <w:r w:rsidRPr="00582054">
        <w:t xml:space="preserve"> </w:t>
      </w:r>
      <w:proofErr w:type="spellStart"/>
      <w:r w:rsidRPr="00582054">
        <w:t>Florbetapir</w:t>
      </w:r>
      <w:proofErr w:type="spellEnd"/>
      <w:r w:rsidRPr="00582054">
        <w:t>-PET scans were acquired with a resolution of 3.76 × 3.76 × 4.9 mm</w:t>
      </w:r>
      <w:r w:rsidRPr="00582054">
        <w:rPr>
          <w:vertAlign w:val="superscript"/>
        </w:rPr>
        <w:t>3</w:t>
      </w:r>
      <w:r w:rsidRPr="00582054">
        <w:t xml:space="preserve"> (field of view = 157 mm). Forty-seven planes were obtained with a voxel size of 1.95 × 1.95 × 3.27 mm</w:t>
      </w:r>
      <w:r w:rsidRPr="00582054">
        <w:rPr>
          <w:vertAlign w:val="superscript"/>
        </w:rPr>
        <w:t>3</w:t>
      </w:r>
      <w:r w:rsidRPr="00582054">
        <w:t xml:space="preserve">. A transmission scan was performed for attenuation correction before the PET acquisition. Each participant underwent a 10 min PET scan beginning 50 min after the intravenous injection of ~4MBq/Kg of </w:t>
      </w:r>
      <w:proofErr w:type="spellStart"/>
      <w:r w:rsidRPr="00582054">
        <w:t>Florbetapir</w:t>
      </w:r>
      <w:proofErr w:type="spellEnd"/>
      <w:r w:rsidRPr="00582054">
        <w:t xml:space="preserve">, reflecting brain amyloid burden. PET images were </w:t>
      </w:r>
      <w:proofErr w:type="spellStart"/>
      <w:r w:rsidRPr="00582054">
        <w:t>coregistered</w:t>
      </w:r>
      <w:proofErr w:type="spellEnd"/>
      <w:r w:rsidRPr="00582054">
        <w:t xml:space="preserve"> on their corresponding T1-weighted MRI, voxel-wise corrected for partial volume effects (PVE) using the three-compartmental voxel-wise Müller-</w:t>
      </w:r>
      <w:proofErr w:type="spellStart"/>
      <w:r w:rsidRPr="00582054">
        <w:t>Gärtner</w:t>
      </w:r>
      <w:proofErr w:type="spellEnd"/>
      <w:r w:rsidRPr="00582054">
        <w:t xml:space="preserve"> method </w:t>
      </w:r>
      <w:r w:rsidRPr="00582054">
        <w:fldChar w:fldCharType="begin"/>
      </w:r>
      <w:r w:rsidR="00534BB2">
        <w:instrText xml:space="preserve"> ADDIN ZOTERO_ITEM CSL_CITATION {"citationID":"LeawT3xy","properties":{"formattedCitation":"(2)","plainCitation":"(2)","noteIndex":0},"citationItems":[{"id":134,"uris":["http://zotero.org/users/5050321/items/9TNTDSPD"],"itemData":{"id":134,"type":"article-journal","abstract":"Accuracy in in vivo quantitation of brain function with positron emission tomography (PET) has often been limited by partial volume effects. This limitation bec...","archive_location":"Sage UK: London, England","container-title":"Journal of Cerebral Blood Flow &amp; Metabolism","DOI":"10.1038/jcbfm.1992.81","language":"en","license":"© 1992 International Society for Cerebral Blood Flow and Metabolism","note":"publisher: SAGE PublicationsSage UK: London, England","source":"journals.sagepub.com","title":"Measurement of Radiotracer Concentration in Brain Gray Matter Using Positron Emission Tomography: MRI-Based Correction for Partial Volume Effects:","title-short":"Measurement of Radiotracer Concentration in Brain Gray Matter Using Positron Emission Tomography","URL":"https://journals.sagepub.com/doi/10.1038/jcbfm.1992.81","author":[{"family":"Müller-Gärtner","given":"Hans W."},{"family":"Links","given":"Jonathan M."},{"family":"Prince","given":"Jerry L."},{"family":"Bryan","given":"R. Nick"},{"family":"McVeigh","given":"Elliot"},{"family":"Leal","given":"Jeffrey P."},{"family":"Davatzikos","given":"Christos"},{"family":"Frost","given":"J. James"}],"accessed":{"date-parts":[["2020",9,14]]},"issued":{"date-parts":[["2016",6,29]]}}}],"schema":"https://github.com/citation-style-language/schema/raw/master/csl-citation.json"} </w:instrText>
      </w:r>
      <w:r w:rsidRPr="00582054">
        <w:fldChar w:fldCharType="separate"/>
      </w:r>
      <w:r w:rsidR="00534BB2" w:rsidRPr="00534BB2">
        <w:rPr>
          <w:rFonts w:cs="Times New Roman"/>
        </w:rPr>
        <w:t>(2)</w:t>
      </w:r>
      <w:r w:rsidRPr="00582054">
        <w:fldChar w:fldCharType="end"/>
      </w:r>
      <w:r w:rsidRPr="00582054">
        <w:t xml:space="preserve">, and were then normalized to the MNI template using deformation parameters derived from the anatomical MRI. Resulting images were scaled using cerebellar grey matter as a reference. A smoothing kernel of 10 mm Gaussian filter was applied and images were masked to exclude non-grey matter voxels from the analyses. </w:t>
      </w:r>
      <w:bookmarkStart w:id="1" w:name="_Hlk173538987"/>
      <w:r w:rsidRPr="00582054">
        <w:t xml:space="preserve">PVE-corrected normalized and scaled </w:t>
      </w:r>
      <w:proofErr w:type="spellStart"/>
      <w:r w:rsidRPr="00582054">
        <w:t>Florbetapir</w:t>
      </w:r>
      <w:proofErr w:type="spellEnd"/>
      <w:r w:rsidRPr="00582054">
        <w:t xml:space="preserve"> PET images were also used to extract the individual global cortical amyloid standard uptake value ratio (SUVR) using a predetermined neocortical mask including the entire grey matter, except the cerebellum, occipital and sensory motor cortices, hippocampi, amygdala and basal nuclei </w:t>
      </w:r>
      <w:r w:rsidRPr="00582054">
        <w:fldChar w:fldCharType="begin"/>
      </w:r>
      <w:r w:rsidR="00534BB2">
        <w:instrText xml:space="preserve"> ADDIN ZOTERO_ITEM CSL_CITATION {"citationID":"QIU6Y9o8","properties":{"formattedCitation":"(3)","plainCitation":"(3)","noteIndex":0},"citationItems":[{"id":1075,"uris":["http://zotero.org/users/5050321/items/58RMSQKJ"],"itemData":{"id":1075,"type":"article-journal","abstract":"BACKGROUND: Hippocampal atrophy is a well-known feature of Alzheimer's disease (AD), but sensitivity and specificity of hippocampal volumetry are limited. Neuropathological studies have shown that hippocampal subfields are differentially vulnerable to AD; hippocampal subfield volumetry may thus prove to be more accurate than global hippocampal volumetry to detect AD.\nMETHODS: CA1, subiculum and other subfields were manually delineated from 40 healthy controls, 18 AD, 17 amnestic Mild Cognitive Impairment (aMCI), and 8 semantic dementia (SD) patients using a previously developed high resolution MRI procedure. Non-parametric group comparisons and receiver operating characteristic (ROC) analyses were conducted. Complementary analyses were conducted to evaluate differences of hemispheric asymmetry and anterior-predominance between AD and SD patients and to distinguish aMCI patients with or without β-amyloid deposition as assessed by Florbetapir-TEP.\nRESULTS: Global hippocampi were atrophied in all three patient groups and volume decreases were maximal in the CA1 subfield (22% loss in aMCI, 27% in both AD and SD; all p &lt; 0.001). In aMCI, CA1 volumetry was more accurate than global hippocampal measurement to distinguish patients from controls (areas under the ROC curve = 0.88 and 0.76, respectively; p = 0.05) and preliminary analyses suggest that it was independent from the presence of β-amyloid deposition. In patients with SD, whereas the degree of CA1 and subiculum atrophy was similar to that found in AD patients, hemispheric and anterior-posterior asymmetry were significantly more marked than in AD with greater involvement of the left and anterior hippocampal subfields.\nCONCLUSIONS: The findings suggest that CA1 measurement is more sensitive than global hippocampal volumetry to detect structural changes at the pre-dementia stage, although the predominance of CA1 atrophy does not appear to be specific to AD pathophysiological processes.","container-title":"NeuroImage. Clinical","DOI":"10.1016/j.nicl.2013.08.007","ISSN":"2213-1582","journalAbbreviation":"Neuroimage Clin","language":"eng","note":"PMID: 24179859\nPMCID: PMC3791274","page":"155-162","source":"PubMed","title":"Hippocampal subfield volumetry in mild cognitive impairment, Alzheimer's disease and semantic dementia","volume":"3","author":[{"family":"La Joie","given":"Renaud"},{"family":"Perrotin","given":"Audrey"},{"family":"La Sayette","given":"Vincent","non-dropping-particle":"de"},{"family":"Egret","given":"Stéphanie"},{"family":"Doeuvre","given":"Loïc"},{"family":"Belliard","given":"Serge"},{"family":"Eustache","given":"Francis"},{"family":"Desgranges","given":"Béatrice"},{"family":"Chételat","given":"Gaël"}],"issued":{"date-parts":[["2013"]]}}}],"schema":"https://github.com/citation-style-language/schema/raw/master/csl-citation.json"} </w:instrText>
      </w:r>
      <w:r w:rsidRPr="00582054">
        <w:fldChar w:fldCharType="separate"/>
      </w:r>
      <w:r w:rsidR="00534BB2" w:rsidRPr="00534BB2">
        <w:rPr>
          <w:rFonts w:cs="Times New Roman"/>
        </w:rPr>
        <w:t>(3)</w:t>
      </w:r>
      <w:r w:rsidRPr="00582054">
        <w:fldChar w:fldCharType="end"/>
      </w:r>
      <w:r w:rsidRPr="00582054">
        <w:t xml:space="preserve">. The threshold for amyloid positivity was defined as &gt;0.99, and corresponded to the 99.9th percentile of the neocortical SUVR distribution among 45 healthy young individuals, aged &lt;40 years </w:t>
      </w:r>
      <w:r w:rsidRPr="00582054">
        <w:fldChar w:fldCharType="begin"/>
      </w:r>
      <w:r w:rsidR="00534BB2">
        <w:instrText xml:space="preserve"> ADDIN ZOTERO_ITEM CSL_CITATION {"citationID":"ENM2PERQ","properties":{"formattedCitation":"(4,5)","plainCitation":"(4,5)","noteIndex":0},"citationItems":[{"id":1074,"uris":["http://zotero.org/users/5050321/items/A82M6TVR"],"itemData":{"id":1074,"type":"article-journal","abstract":"Importance: Increasing evidence suggests that sleep-disordered breathing (SDB) increases the risk of developing Alzheimer clinical syndrome. However, the brain mechanisms underlying the link between SDB and Alzheimer disease are still unclear.\nObjective: To determine which brain changes are associated with the presence of SDB in older individuals who are cognitively unimpaired, including changes in amyloid deposition, gray matter volume, perfusion, and glucose metabolism.\nDesign, Setting, and Participants: This cross-sectional study was conducted using data from the Age-Well randomized clinical trial of the Medit-Ageing European project, acquired between 2016 and 2018 at Cyceron Center in Caen, France. Community-dwelling older adults were assessed for eligibility and were enrolled in the Age-Well clinical trial if they did not meet medical or cognitive exclusion criteria and were willing to participate. Participants who completed a detailed neuropsychological assessment, polysomnography, a magnetic resonance imaging, and florbetapir and fluorodeoxyglucose positron emission tomography scans were included in the analyses.\nMain Outcomes and Measures: Based on an apnea-hypopnea index cutoff of 15 events per hour, participants were classified as having SDB or not. Voxelwise between-group comparisons were performed for each neuroimaging modality, and secondary analyses aimed at identifying which SDB parameter (sleep fragmentation, hypoxia severity, or frequency of respiratory disturbances) best explained the observed brain changes and assessing whether SDB severity and/or SDB-associated brain changes are associated with cognitive and behavioral changes.\nResults: Of 157 participants initially assessed, 137 were enrolled in the Age-Well clinical trial, and 127 were analyzed in this study. The mean (SD) age of the 127 participants was 69.1 (3.9) years, and 80 (63.0%) were women. Participants with SDB showed greater amyloid burden (t114 = 4.51; familywise error-corrected P = .04; Cohen d, 0.83), gray matter volume (t119 = 4.12; familywise error-corrected P = .04; Cohen d, 0.75), perfusion (t116 = 4.62; familywise error-corrected P = .001; Cohen d, 0.86), and metabolism (t79 = 4.63; familywise error-corrected P = .001; Cohen d, 1.04), overlapping mainly over the posterior cingulate cortex and precuneus. No association was found with cognition, self-reported cognitive and sleep difficulties, or excessive daytime sleepiness symptoms.\nConclusions and Relevance: The SDB-associated brain changes in older adults who are cognitively unimpaired include greater amyloid deposition and neuronal activity in Alzheimer disease-sensitive brain regions, notably the posterior cingulate cortex and precuneus. These results support the need to screen and treat for SDB, especially in asymptomatic older populations, to reduce Alzheimer disease risk.\nTrial Registration: ClinicalTrials.gov Identifier: NCT02977819.","container-title":"JAMA neurology","DOI":"10.1001/jamaneurol.2020.0311","ISSN":"2168-6157","issue":"6","journalAbbreviation":"JAMA Neurol","language":"eng","note":"PMID: 32202593\nPMCID: PMC7091393","page":"716-724","source":"PubMed","title":"Association of Sleep-Disordered Breathing With Alzheimer Disease Biomarkers in Community-Dwelling Older Adults: A Secondary Analysis of a Randomized Clinical Trial","title-short":"Association of Sleep-Disordered Breathing With Alzheimer Disease Biomarkers in Community-Dwelling Older Adults","volume":"77","author":[{"family":"André","given":"Claire"},{"family":"Rehel","given":"Stéphane"},{"family":"Kuhn","given":"Elizabeth"},{"family":"Landeau","given":"Brigitte"},{"family":"Moulinet","given":"Inès"},{"family":"Touron","given":"Edelweiss"},{"family":"Ourry","given":"Valentin"},{"family":"Le Du","given":"Gwendoline"},{"family":"Mézenge","given":"Florence"},{"family":"Tomadesso","given":"Clémence"},{"family":"Flores","given":"Robin","non-dropping-particle":"de"},{"family":"Bejanin","given":"Alexandre"},{"family":"Sherif","given":"Siya"},{"family":"Delcroix","given":"Nicolas"},{"family":"Manrique","given":"Alain"},{"family":"Abbas","given":"Ahmed"},{"family":"Marchant","given":"Natalie L."},{"family":"Lutz","given":"Antoine"},{"family":"Klimecki","given":"Olga M."},{"family":"Collette","given":"Fabienne"},{"family":"Arenaza-Urquijo","given":"Eider M."},{"family":"Poisnel","given":"Géraldine"},{"family":"Vivien","given":"Denis"},{"family":"Bertran","given":"Françoise"},{"family":"Sayette","given":"Vincent","non-dropping-particle":"de la"},{"family":"Chételat","given":"Gaël"},{"family":"Rauchs","given":"Géraldine"},{"literal":"Medit-Ageing Research Group"}],"issued":{"date-parts":[["2020",6,1]]}}},{"id":2009,"uris":["http://zotero.org/users/5050321/items/YGPWI3PP"],"itemData":{"id":2009,"type":"article-journal","abstract":"Subclinical depressive symptoms are associated with increased risk of Alzheimer’s disease (AD), but the brain mechanisms underlying this relationship are still unclear. We aimed to provide a comprehensive overview of the brain substrates of subclinical depressive symptoms in cognitively unimpaired older adults using complementary multimodal neuroimaging data. We included cognitively unimpaired older adults from the baseline data of the primary cohort Age-Well (n = 135), and from the replication cohort ADNI (n = 252). In both cohorts, subclinical depressive symptoms were assessed using the 15-item version of the Geriatric Depression Scale; based on this scale, participants were classified as having depressive symptoms (&gt;0) or not (0). Voxel-wise between-group comparisons were performed to highlight differences in gray matter volume, glucose metabolism and amyloid deposition; as well as white matter integrity (only available in Age-Well). Age-Well participants with subclinical depressive symptoms had lower gray matter volume in the hippocampus and lower white matter integrity in the fornix and the posterior parts of the cingulum and corpus callosum, compared to participants without symptoms. Hippocampal atrophy was recovered in ADNI, where participants with subclinical depressive symptoms also showed glucose hypometabolism in the hippocampus, amygdala, precuneus/posterior cingulate cortex, medial and dorsolateral prefrontal cortex, insula, and temporoparietal cortex. Subclinical depressive symptoms were not associated with brain amyloid deposition in either cohort. Subclinical depressive symptoms in ageing are linked with neurodegeneration biomarkers in the frontolimbic network including brain areas particularly sensitive to AD. The relationship between depressive symptoms and AD may be partly underpinned by neurodegeneration in common brain regions.","container-title":"Molecular Psychiatry","DOI":"10.1038/s41380-022-01772-8","ISSN":"1476-5578","journalAbbreviation":"Mol Psychiatry","language":"en","license":"2022 The Author(s)","note":"publisher: Nature Publishing Group","page":"1-10","source":"www.nature.com","title":"Depressive symptoms in cognitively unimpaired older adults are associated with lower structural and functional integrity in a frontolimbic network","author":[{"family":"Touron","given":"Edelweiss"},{"family":"Moulinet","given":"Inès"},{"family":"Kuhn","given":"Elizabeth"},{"family":"Sherif","given":"Siya"},{"family":"Ourry","given":"Valentin"},{"family":"Landeau","given":"Brigitte"},{"family":"Mézenge","given":"Florence"},{"family":"Vivien","given":"Denis"},{"family":"Klimecki","given":"Olga M."},{"family":"Poisnel","given":"Géraldine"},{"family":"Marchant","given":"Natalie L."},{"family":"Chételat","given":"Gaël"}],"issued":{"date-parts":[["2022",10,18]]}}}],"schema":"https://github.com/citation-style-language/schema/raw/master/csl-citation.json"} </w:instrText>
      </w:r>
      <w:r w:rsidRPr="00582054">
        <w:fldChar w:fldCharType="separate"/>
      </w:r>
      <w:r w:rsidR="00534BB2" w:rsidRPr="00534BB2">
        <w:rPr>
          <w:rFonts w:cs="Times New Roman"/>
        </w:rPr>
        <w:t>(4,5)</w:t>
      </w:r>
      <w:r w:rsidRPr="00582054">
        <w:fldChar w:fldCharType="end"/>
      </w:r>
      <w:r w:rsidRPr="00582054">
        <w:t>.</w:t>
      </w:r>
      <w:bookmarkEnd w:id="1"/>
    </w:p>
    <w:p w14:paraId="01C78F09" w14:textId="77777777" w:rsidR="009C31A9" w:rsidRPr="00582054" w:rsidRDefault="009C31A9" w:rsidP="009C31A9">
      <w:pPr>
        <w:spacing w:before="0" w:after="160"/>
        <w:rPr>
          <w:szCs w:val="24"/>
        </w:rPr>
      </w:pPr>
      <w:r w:rsidRPr="00582054">
        <w:rPr>
          <w:i/>
        </w:rPr>
        <w:t xml:space="preserve">APOEε4 </w:t>
      </w:r>
      <w:r w:rsidRPr="00582054">
        <w:rPr>
          <w:i/>
          <w:szCs w:val="24"/>
        </w:rPr>
        <w:t>status</w:t>
      </w:r>
      <w:r w:rsidRPr="00582054">
        <w:rPr>
          <w:szCs w:val="24"/>
        </w:rPr>
        <w:t xml:space="preserve">. Fasting blood samples were obtained from all participants to identify APOE genotype via restriction isotyping from genomic DNA. </w:t>
      </w:r>
      <w:r w:rsidRPr="00582054">
        <w:t xml:space="preserve">APOEε4 </w:t>
      </w:r>
      <w:r w:rsidRPr="00582054">
        <w:rPr>
          <w:szCs w:val="24"/>
        </w:rPr>
        <w:t xml:space="preserve">carriers were defined as individuals with one or two </w:t>
      </w:r>
      <w:r w:rsidRPr="00582054">
        <w:t xml:space="preserve">ε4 </w:t>
      </w:r>
      <w:r w:rsidRPr="00582054">
        <w:rPr>
          <w:szCs w:val="24"/>
        </w:rPr>
        <w:t xml:space="preserve">alleles, while those with no e4 allele were defined as </w:t>
      </w:r>
      <w:r w:rsidRPr="00582054">
        <w:t xml:space="preserve">APOEε4 </w:t>
      </w:r>
      <w:r w:rsidRPr="00582054">
        <w:rPr>
          <w:szCs w:val="24"/>
        </w:rPr>
        <w:t>non-carriers.</w:t>
      </w:r>
    </w:p>
    <w:p w14:paraId="5FC6FB66" w14:textId="1EF69F33" w:rsidR="009C31A9" w:rsidRPr="00582054" w:rsidRDefault="009C31A9" w:rsidP="009C31A9">
      <w:pPr>
        <w:spacing w:before="0" w:after="160"/>
        <w:rPr>
          <w:szCs w:val="24"/>
        </w:rPr>
      </w:pPr>
      <w:r w:rsidRPr="00582054">
        <w:rPr>
          <w:i/>
        </w:rPr>
        <w:t>Anxiety symptoms</w:t>
      </w:r>
      <w:r w:rsidRPr="00582054">
        <w:t>.</w:t>
      </w:r>
      <w:r w:rsidRPr="00582054">
        <w:rPr>
          <w:szCs w:val="24"/>
        </w:rPr>
        <w:t xml:space="preserve"> Self-reported trait anxiety symptoms were obtained from the 20-item Spielberger State-Trait Anxiety Inventory form Y-B (STAI-B) (scores range from 20 to 80) </w:t>
      </w:r>
      <w:r w:rsidRPr="00582054">
        <w:rPr>
          <w:szCs w:val="24"/>
        </w:rPr>
        <w:fldChar w:fldCharType="begin"/>
      </w:r>
      <w:r w:rsidR="00534BB2">
        <w:rPr>
          <w:szCs w:val="24"/>
        </w:rPr>
        <w:instrText xml:space="preserve"> ADDIN ZOTERO_ITEM CSL_CITATION {"citationID":"kLaxXh18","properties":{"formattedCitation":"(6)","plainCitation":"(6)","noteIndex":0},"citationItems":[{"id":1327,"uris":["http://zotero.org/users/5050321/items/N9R7S6UE"],"itemData":{"id":1327,"type":"book","title":"Manual for the State-Trait Anxiety Inventory","author":[{"family":"Spielberger","given":"C.D"},{"family":"Gorsuch","given":"R.L"},{"family":"Lushene","given":"R.E"}],"accessed":{"date-parts":[["2022",3,7]]},"issued":{"date-parts":[["1970"]]}}}],"schema":"https://github.com/citation-style-language/schema/raw/master/csl-citation.json"} </w:instrText>
      </w:r>
      <w:r w:rsidRPr="00582054">
        <w:rPr>
          <w:szCs w:val="24"/>
        </w:rPr>
        <w:fldChar w:fldCharType="separate"/>
      </w:r>
      <w:r w:rsidR="00534BB2" w:rsidRPr="00534BB2">
        <w:rPr>
          <w:rFonts w:cs="Times New Roman"/>
        </w:rPr>
        <w:t>(6)</w:t>
      </w:r>
      <w:r w:rsidRPr="00582054">
        <w:rPr>
          <w:szCs w:val="24"/>
        </w:rPr>
        <w:fldChar w:fldCharType="end"/>
      </w:r>
      <w:r w:rsidRPr="00582054">
        <w:rPr>
          <w:szCs w:val="24"/>
        </w:rPr>
        <w:t>. Each item is rated on a 4-point Likert-type scale, ranging from 1 (</w:t>
      </w:r>
      <w:r w:rsidRPr="00582054">
        <w:rPr>
          <w:i/>
          <w:szCs w:val="24"/>
        </w:rPr>
        <w:t>almost never</w:t>
      </w:r>
      <w:r w:rsidRPr="00582054">
        <w:rPr>
          <w:szCs w:val="24"/>
        </w:rPr>
        <w:t>) to 4 (</w:t>
      </w:r>
      <w:r w:rsidRPr="00582054">
        <w:rPr>
          <w:i/>
          <w:szCs w:val="24"/>
        </w:rPr>
        <w:t>almost always</w:t>
      </w:r>
      <w:r w:rsidRPr="00582054">
        <w:rPr>
          <w:szCs w:val="24"/>
        </w:rPr>
        <w:t>), to assess a general propensity to be anxious, where individuals indicate how they feel “generally”. Higher scores indicate greater anxiety symptoms.</w:t>
      </w:r>
    </w:p>
    <w:p w14:paraId="6FA75B8F" w14:textId="5B120BF3" w:rsidR="009C31A9" w:rsidRPr="00582054" w:rsidRDefault="009C31A9" w:rsidP="009C31A9">
      <w:pPr>
        <w:spacing w:before="0" w:after="160"/>
        <w:rPr>
          <w:sz w:val="26"/>
        </w:rPr>
      </w:pPr>
      <w:r w:rsidRPr="00582054">
        <w:rPr>
          <w:i/>
        </w:rPr>
        <w:t>Positive and Negative Affect.</w:t>
      </w:r>
      <w:r w:rsidRPr="00582054">
        <w:t xml:space="preserve"> The 20-item Positive and Negative Affect Schedule (PANAS) includes 20 words that describe different feelings and emotions resulting in two subscales, one measuring positive affect (scores from 10 to 50) and the other measuring negative affect (scores </w:t>
      </w:r>
      <w:r w:rsidRPr="00582054">
        <w:lastRenderedPageBreak/>
        <w:t xml:space="preserve">from 10 to 50) </w:t>
      </w:r>
      <w:r w:rsidRPr="00582054">
        <w:fldChar w:fldCharType="begin"/>
      </w:r>
      <w:r w:rsidR="00534BB2">
        <w:instrText xml:space="preserve"> ADDIN ZOTERO_ITEM CSL_CITATION {"citationID":"wwdkvfyb","properties":{"formattedCitation":"(7)","plainCitation":"(7)","noteIndex":0},"citationItems":[{"id":1577,"uris":["http://zotero.org/users/5050321/items/HK4F2VP2"],"itemData":{"id":1577,"type":"article-journal","abstract":"In recent studies of the structure of affect, positive and negative affect have consistently emerged as two dominant and relatively independent dimensions. A number of mood scales have been created to measure these factors; however, many existing measures are inadequate, showing low reliability or poor convergent or discriminant validity. To fill the need for reliable and valid Positive Affect and Negative Affect scales that are also brief and easy to administer, we developed two 10-item mood scales that comprise the Positive and Negative Affect Schedule (PANAS). The scales are shown to be highly internally consistent, largely uncorrelated, and stable at appropriate levels over a 2-month time period. Normative data and factorial and external evidence of convergent and discriminant validity for the scales are also presented.","container-title":"Journal of Personality and Social Psychology","DOI":"10.1037//0022-3514.54.6.1063","ISSN":"0022-3514","issue":"6","journalAbbreviation":"J Pers Soc Psychol","language":"eng","note":"PMID: 3397865","page":"1063-1070","source":"PubMed","title":"Development and validation of brief measures of positive and negative affect: the PANAS scales","title-short":"Development and validation of brief measures of positive and negative affect","volume":"54","author":[{"family":"Watson","given":"D."},{"family":"Clark","given":"L. A."},{"family":"Tellegen","given":"A."}],"issued":{"date-parts":[["1988",6]]}}}],"schema":"https://github.com/citation-style-language/schema/raw/master/csl-citation.json"} </w:instrText>
      </w:r>
      <w:r w:rsidRPr="00582054">
        <w:fldChar w:fldCharType="separate"/>
      </w:r>
      <w:r w:rsidR="00534BB2" w:rsidRPr="00534BB2">
        <w:rPr>
          <w:rFonts w:cs="Times New Roman"/>
        </w:rPr>
        <w:t>(7)</w:t>
      </w:r>
      <w:r w:rsidRPr="00582054">
        <w:fldChar w:fldCharType="end"/>
      </w:r>
      <w:r w:rsidRPr="00582054">
        <w:t xml:space="preserve">. Each item is rated on a 5-point </w:t>
      </w:r>
      <w:r>
        <w:t>L</w:t>
      </w:r>
      <w:r w:rsidRPr="00582054">
        <w:t>ikert-type scale, ranging from 1 (</w:t>
      </w:r>
      <w:r w:rsidRPr="00582054">
        <w:rPr>
          <w:i/>
        </w:rPr>
        <w:t>very slightly or not at all</w:t>
      </w:r>
      <w:r w:rsidRPr="00582054">
        <w:t>) to 5 (</w:t>
      </w:r>
      <w:r w:rsidRPr="00582054">
        <w:rPr>
          <w:i/>
        </w:rPr>
        <w:t>extremely</w:t>
      </w:r>
      <w:r w:rsidRPr="00582054">
        <w:t>), to indicate the extent to which the respondent has felt this way at the present moment. Higher scores indicate greater positive or negative affect.</w:t>
      </w:r>
    </w:p>
    <w:p w14:paraId="02707630" w14:textId="76A8D96D" w:rsidR="009C31A9" w:rsidRPr="00582054" w:rsidRDefault="009C31A9" w:rsidP="009C31A9">
      <w:pPr>
        <w:spacing w:before="0" w:after="160"/>
      </w:pPr>
      <w:r w:rsidRPr="00582054">
        <w:rPr>
          <w:i/>
        </w:rPr>
        <w:t>Rumination</w:t>
      </w:r>
      <w:r w:rsidRPr="00582054">
        <w:t xml:space="preserve">. Ruminative brooding assessment was obtained from the full 22-item Rumination Response Scale (RRS), with scores from the 5-item brooding subscale (scores from 5 to 20) </w:t>
      </w:r>
      <w:r w:rsidRPr="00582054">
        <w:fldChar w:fldCharType="begin"/>
      </w:r>
      <w:r w:rsidR="00534BB2">
        <w:instrText xml:space="preserve"> ADDIN ZOTERO_ITEM CSL_CITATION {"citationID":"WrGN9tBH","properties":{"formattedCitation":"(8)","plainCitation":"(8)","noteIndex":0},"citationItems":[{"id":1575,"uris":["http://zotero.org/users/5050321/items/U9CE4WAE"],"itemData":{"id":1575,"type":"article-journal","abstract":"In an attempt to eliminate similar item content as an alternative explanation for the relation between depression and rumination, a secondary analysis was conducted using the data from S. Nolen-Hoeksema, J. Larson, and C. Grayson (1999). After constructing a measure of rumination unconfounded with depression content, support for a two factor model of rumination was found. These analyses indicate that the 2 components, reflective pondering and brooding, differentially relate to depression in terms of predictive ability and gender difference mediation. The results presented here support the general premise of Nolen-Hoeksema's Response Styles Theory (S. Nolen-Hoeksema 1987) that rumination can contribute to more depressive symptoms and to the gender difference in depression, but suggest important refinements of the theory. Such refinements include the need to differentiate between the reflective pondering component of rumination and the brooding component in rumination research.","container-title":"Cognitive Therapy and Research","DOI":"10.1023/A:1023910315561","ISSN":"1573-2819","issue":"3","journalAbbreviation":"Cognitive Therapy and Research","language":"en","page":"247-259","source":"Springer Link","title":"Rumination Reconsidered: A Psychometric Analysis","title-short":"Rumination Reconsidered","volume":"27","author":[{"family":"Treynor","given":"Wendy"},{"family":"Gonzalez","given":"Richard"},{"family":"Nolen-Hoeksema","given":"Susan"}],"issued":{"date-parts":[["2003",6,1]]}}}],"schema":"https://github.com/citation-style-language/schema/raw/master/csl-citation.json"} </w:instrText>
      </w:r>
      <w:r w:rsidRPr="00582054">
        <w:fldChar w:fldCharType="separate"/>
      </w:r>
      <w:r w:rsidR="00534BB2" w:rsidRPr="00534BB2">
        <w:rPr>
          <w:rFonts w:cs="Times New Roman"/>
        </w:rPr>
        <w:t>(8)</w:t>
      </w:r>
      <w:r w:rsidRPr="00582054">
        <w:fldChar w:fldCharType="end"/>
      </w:r>
      <w:r w:rsidRPr="00582054">
        <w:t xml:space="preserve">. Each item is rated on a 4-point </w:t>
      </w:r>
      <w:r>
        <w:t>L</w:t>
      </w:r>
      <w:r w:rsidRPr="00582054">
        <w:t>ikert-type scale, ranging from 1 (</w:t>
      </w:r>
      <w:r w:rsidRPr="00582054">
        <w:rPr>
          <w:i/>
        </w:rPr>
        <w:t>almost never</w:t>
      </w:r>
      <w:r w:rsidRPr="00582054">
        <w:t>) to 4 (</w:t>
      </w:r>
      <w:r w:rsidRPr="00582054">
        <w:rPr>
          <w:i/>
        </w:rPr>
        <w:t>almost always</w:t>
      </w:r>
      <w:r w:rsidRPr="00582054">
        <w:t>). Higher scores indicate greater ruminative brooding.</w:t>
      </w:r>
    </w:p>
    <w:p w14:paraId="2F72BF05" w14:textId="29ABACDA" w:rsidR="009C31A9" w:rsidRPr="00582054" w:rsidRDefault="009C31A9" w:rsidP="009C31A9">
      <w:pPr>
        <w:spacing w:before="0" w:after="160"/>
      </w:pPr>
      <w:r w:rsidRPr="00582054">
        <w:rPr>
          <w:i/>
        </w:rPr>
        <w:t xml:space="preserve">Psychological </w:t>
      </w:r>
      <w:proofErr w:type="spellStart"/>
      <w:r w:rsidRPr="00582054">
        <w:rPr>
          <w:i/>
        </w:rPr>
        <w:t>defusion</w:t>
      </w:r>
      <w:proofErr w:type="spellEnd"/>
      <w:r w:rsidRPr="00582054">
        <w:t xml:space="preserve">. The Drexel </w:t>
      </w:r>
      <w:proofErr w:type="spellStart"/>
      <w:r w:rsidRPr="00582054">
        <w:t>Defusion</w:t>
      </w:r>
      <w:proofErr w:type="spellEnd"/>
      <w:r w:rsidRPr="00582054">
        <w:t xml:space="preserve"> Scale (DDS) consists of 10 items that evaluate the extent to which individuals can defuse from difficult internal experiences (i.e. their ability to achieve psychological distance from one’s thoughts and feelings) in a specific situation (scores from 0 to 50) </w:t>
      </w:r>
      <w:r w:rsidRPr="00582054">
        <w:fldChar w:fldCharType="begin"/>
      </w:r>
      <w:r w:rsidR="00534BB2">
        <w:instrText xml:space="preserve"> ADDIN ZOTERO_ITEM CSL_CITATION {"citationID":"MvyLOhTl","properties":{"formattedCitation":"(9)","plainCitation":"(9)","noteIndex":0},"citationItems":[{"id":1572,"uris":["http://zotero.org/users/5050321/items/33AFRAIJ"],"itemData":{"id":1572,"type":"article-journal","abstract":"Defusion, the ability to achieve psychological distance from internal experiences such as thoughts and feelings, is considered to be a key mechanism of cognitive behavior therapy and is particularly emphasized in certain acceptance-based behavior therapies like mindfulness-based cognitive therapy and acceptance and commitment therapy (ACT). Unlike other treatment components such as cognitive restructuring, however, defusion has been less well studied as a potential mediator of change. One reason for this lack of attention is the absence of a well-validated measure of defusion. Current measures confound defusion with other related, yet distinct, constructs such as psychological acceptance or mindful awareness. One challenge in measuring defusion is that the meaning of the construct is not readily apparent to respondents. The current study reports on a new measure, the Drexel defusion scale (DDS), by providing information about its development, reliability, and validity. Results from several samples indicate that the measure is unidimensional, with good internal consistency. The DDS is highly correlated with measures of acceptance and decentering, suggesting high convergent validity. Higher scores on the DDS are also associated with less psychopathology and a higher quality of life, even after controlling for measures of similar constructs, indicating that the DDS provides incremental validity beyond existing measures. Additionally, among a treatment-seeking sample, increases in the DDS were associated with improvements in psychological functioning, for both those receiving ACT and CT treatment. The DDS appears to be a reliable and valid measure of defusion.","container-title":"Journal of Contextual Behavioral Science","DOI":"10.1016/j.jcbs.2012.09.001","ISSN":"2212-1447","issue":"1","journalAbbreviation":"Journal of Contextual Behavioral Science","language":"en","page":"55-65","source":"ScienceDirect","title":"The Drexel defusion scale: A new measure of experiential distancing","title-short":"The Drexel defusion scale","volume":"1","author":[{"family":"Forman","given":"Evan M."},{"family":"Herbert","given":"James D."},{"family":"Juarascio","given":"Adrienne S."},{"family":"Yeomans","given":"Peter D."},{"family":"Zebell","given":"John A."},{"family":"Goetter","given":"Elizabeth M."},{"family":"Moitra","given":"Ethan"}],"issued":{"date-parts":[["2012",12,10]]}}}],"schema":"https://github.com/citation-style-language/schema/raw/master/csl-citation.json"} </w:instrText>
      </w:r>
      <w:r w:rsidRPr="00582054">
        <w:fldChar w:fldCharType="separate"/>
      </w:r>
      <w:r w:rsidR="00534BB2" w:rsidRPr="00534BB2">
        <w:rPr>
          <w:rFonts w:cs="Times New Roman"/>
        </w:rPr>
        <w:t>(9)</w:t>
      </w:r>
      <w:r w:rsidRPr="00582054">
        <w:fldChar w:fldCharType="end"/>
      </w:r>
      <w:r w:rsidRPr="00582054">
        <w:t xml:space="preserve">. Each item is rated on a 6-point </w:t>
      </w:r>
      <w:r>
        <w:t>L</w:t>
      </w:r>
      <w:r w:rsidRPr="00582054">
        <w:t>ikert-type scale, ranging from 0 (</w:t>
      </w:r>
      <w:r w:rsidRPr="00582054">
        <w:rPr>
          <w:i/>
        </w:rPr>
        <w:t>not at all</w:t>
      </w:r>
      <w:r w:rsidRPr="00582054">
        <w:t>) to 5 (</w:t>
      </w:r>
      <w:r w:rsidRPr="00582054">
        <w:rPr>
          <w:i/>
        </w:rPr>
        <w:t>very much</w:t>
      </w:r>
      <w:r w:rsidRPr="00582054">
        <w:t xml:space="preserve">). Higher scores indicate greater psychological </w:t>
      </w:r>
      <w:proofErr w:type="spellStart"/>
      <w:r w:rsidRPr="00582054">
        <w:t>defusion</w:t>
      </w:r>
      <w:proofErr w:type="spellEnd"/>
      <w:r w:rsidRPr="00582054">
        <w:t>.</w:t>
      </w:r>
    </w:p>
    <w:p w14:paraId="6016E368" w14:textId="1368C8F7" w:rsidR="009C31A9" w:rsidRPr="00582054" w:rsidRDefault="009C31A9" w:rsidP="009C31A9">
      <w:pPr>
        <w:spacing w:before="0" w:after="160"/>
      </w:pPr>
      <w:r w:rsidRPr="00582054">
        <w:rPr>
          <w:i/>
        </w:rPr>
        <w:t>Emotion regulation abilities</w:t>
      </w:r>
      <w:r w:rsidRPr="00582054">
        <w:t xml:space="preserve">. The Emotion Regulation Questionnaire (ERQ) consists of 10 items that evaluate the tendency to regulate emotions through two strategies, resulting in two distinct subscales: cognitive reappraisal (i.e. changing one's way of thinking in an emotional situation, scores from 6 to 42) or expressive suppression (i.e. inhibiting one’s expressive behavior in an emotional situation, scores from 4 to 28) </w:t>
      </w:r>
      <w:r w:rsidRPr="00582054">
        <w:fldChar w:fldCharType="begin"/>
      </w:r>
      <w:r w:rsidR="00534BB2">
        <w:instrText xml:space="preserve"> ADDIN ZOTERO_ITEM CSL_CITATION {"citationID":"DC3Ksbe9","properties":{"formattedCitation":"(10)","plainCitation":"(10)","noteIndex":0},"citationItems":[{"id":1576,"uris":["http://zotero.org/users/5050321/items/Z8IVEH4A"],"itemData":{"id":1576,"type":"article-journal","abstract":"Five studies tested two general hypotheses: Individuals differ in their use of emotion regulation strategies such as reappraisal and suppression, and these individual differences have implications for affect, well-being, and social relationships. Study 1 presents new measures of the habitual use of reappraisal and suppression. Study 2 examines convergent and discriminant validity. Study 3 shows that reappraisers experience and express greater positive emotion and lesser negative emotion, whereas suppressors experience and express lesser positive emotion, yet experience greater negative emotion. Study 4 indicates that using reappraisal is associated with better interpersonal functioning, whereas using suppression is associated with worse interpersonal functioning. Study 5 shows that using reappraisal is related positively to well-being, whereas using suppression is related negatively.","container-title":"Journal of Personality and Social Psychology","DOI":"10.1037/0022-3514.85.2.348","ISSN":"0022-3514","issue":"2","journalAbbreviation":"J Pers Soc Psychol","language":"eng","note":"PMID: 12916575","page":"348-362","source":"PubMed","title":"Individual differences in two emotion regulation processes: implications for affect, relationships, and well-being","title-short":"Individual differences in two emotion regulation processes","volume":"85","author":[{"family":"Gross","given":"James J."},{"family":"John","given":"Oliver P."}],"issued":{"date-parts":[["2003",8]]}}}],"schema":"https://github.com/citation-style-language/schema/raw/master/csl-citation.json"} </w:instrText>
      </w:r>
      <w:r w:rsidRPr="00582054">
        <w:fldChar w:fldCharType="separate"/>
      </w:r>
      <w:r w:rsidR="00534BB2" w:rsidRPr="00534BB2">
        <w:rPr>
          <w:rFonts w:cs="Times New Roman"/>
        </w:rPr>
        <w:t>(10)</w:t>
      </w:r>
      <w:r w:rsidRPr="00582054">
        <w:fldChar w:fldCharType="end"/>
      </w:r>
      <w:r w:rsidRPr="00582054">
        <w:t xml:space="preserve">. Each item is rated on a 7-point </w:t>
      </w:r>
      <w:r>
        <w:t>L</w:t>
      </w:r>
      <w:r w:rsidRPr="00582054">
        <w:t>ikert-type scale, ranging from 1 (</w:t>
      </w:r>
      <w:r w:rsidRPr="00582054">
        <w:rPr>
          <w:i/>
        </w:rPr>
        <w:t>strongly disagree</w:t>
      </w:r>
      <w:r w:rsidRPr="00582054">
        <w:t>) to 7 (</w:t>
      </w:r>
      <w:r w:rsidRPr="00582054">
        <w:rPr>
          <w:i/>
        </w:rPr>
        <w:t>strongly agree</w:t>
      </w:r>
      <w:r w:rsidRPr="00582054">
        <w:t>). Higher scores indicate greater cognitive reappraisal or expressive suppression.</w:t>
      </w:r>
    </w:p>
    <w:p w14:paraId="691EED49" w14:textId="77777777" w:rsidR="009C31A9" w:rsidRPr="00582054" w:rsidRDefault="009C31A9" w:rsidP="009C31A9">
      <w:pPr>
        <w:spacing w:before="0" w:after="160" w:line="259" w:lineRule="auto"/>
      </w:pPr>
      <w:r w:rsidRPr="00582054">
        <w:br w:type="page"/>
      </w:r>
    </w:p>
    <w:p w14:paraId="5BFE8F89" w14:textId="0BA1E101" w:rsidR="001721BC" w:rsidRPr="00582054" w:rsidRDefault="001721BC" w:rsidP="001721BC">
      <w:pPr>
        <w:pStyle w:val="Titre1"/>
        <w:rPr>
          <w:b w:val="0"/>
        </w:rPr>
      </w:pPr>
      <w:r w:rsidRPr="00582054">
        <w:lastRenderedPageBreak/>
        <w:t xml:space="preserve">Supplementary Material </w:t>
      </w:r>
      <w:r w:rsidR="009C31A9">
        <w:t>2</w:t>
      </w:r>
      <w:r w:rsidRPr="00582054">
        <w:t>.</w:t>
      </w:r>
      <w:r w:rsidRPr="00582054">
        <w:rPr>
          <w:b w:val="0"/>
        </w:rPr>
        <w:t xml:space="preserve"> Neuroimaging procedures</w:t>
      </w:r>
      <w:r w:rsidR="00E053F9" w:rsidRPr="00582054">
        <w:rPr>
          <w:b w:val="0"/>
        </w:rPr>
        <w:t xml:space="preserve"> of the Age-Well </w:t>
      </w:r>
      <w:r w:rsidR="00E44E94" w:rsidRPr="00582054">
        <w:rPr>
          <w:b w:val="0"/>
        </w:rPr>
        <w:t>trial</w:t>
      </w:r>
      <w:r w:rsidR="00286AB6" w:rsidRPr="00582054">
        <w:rPr>
          <w:b w:val="0"/>
        </w:rPr>
        <w:t>.</w:t>
      </w:r>
    </w:p>
    <w:p w14:paraId="4FD554E8" w14:textId="77777777" w:rsidR="001721BC" w:rsidRPr="00582054" w:rsidRDefault="001721BC" w:rsidP="001721BC">
      <w:pPr>
        <w:pStyle w:val="Titre1"/>
      </w:pPr>
      <w:r w:rsidRPr="00582054">
        <w:t>Structural MRI data</w:t>
      </w:r>
    </w:p>
    <w:p w14:paraId="462735D4" w14:textId="77777777" w:rsidR="001721BC" w:rsidRPr="00582054" w:rsidRDefault="001721BC" w:rsidP="001721BC">
      <w:pPr>
        <w:pStyle w:val="Titre2"/>
      </w:pPr>
      <w:r w:rsidRPr="00582054">
        <w:t>T1-weighted images</w:t>
      </w:r>
    </w:p>
    <w:p w14:paraId="46831F6F" w14:textId="75C528EC" w:rsidR="00200C5D" w:rsidRPr="00582054" w:rsidRDefault="001721BC" w:rsidP="00426A1A">
      <w:r w:rsidRPr="00582054">
        <w:t xml:space="preserve">A high-resolution T1-weighted structural image was acquired using a 3D fast-field echo sequence (3D-T1-FFE sagittal, repetition time = 7.1 </w:t>
      </w:r>
      <w:proofErr w:type="spellStart"/>
      <w:r w:rsidRPr="00582054">
        <w:t>ms</w:t>
      </w:r>
      <w:proofErr w:type="spellEnd"/>
      <w:r w:rsidR="00426A1A" w:rsidRPr="00582054">
        <w:t>;</w:t>
      </w:r>
      <w:r w:rsidRPr="00582054">
        <w:t xml:space="preserve"> echo time = 3.3 </w:t>
      </w:r>
      <w:proofErr w:type="spellStart"/>
      <w:r w:rsidRPr="00582054">
        <w:t>ms</w:t>
      </w:r>
      <w:proofErr w:type="spellEnd"/>
      <w:r w:rsidR="00426A1A" w:rsidRPr="00582054">
        <w:t>;</w:t>
      </w:r>
      <w:r w:rsidRPr="00582054">
        <w:t xml:space="preserve"> flip angle = 6°</w:t>
      </w:r>
      <w:r w:rsidR="00426A1A" w:rsidRPr="00582054">
        <w:t>;</w:t>
      </w:r>
      <w:r w:rsidRPr="00582054">
        <w:t xml:space="preserve"> 180 slices with no gap</w:t>
      </w:r>
      <w:r w:rsidR="00426A1A" w:rsidRPr="00582054">
        <w:t>;</w:t>
      </w:r>
      <w:r w:rsidRPr="00582054">
        <w:t xml:space="preserve"> slice thickness = 1mm</w:t>
      </w:r>
      <w:r w:rsidR="00426A1A" w:rsidRPr="00582054">
        <w:t>;</w:t>
      </w:r>
      <w:r w:rsidRPr="00582054">
        <w:t xml:space="preserve"> field of view = 256x256 mm²</w:t>
      </w:r>
      <w:r w:rsidR="00426A1A" w:rsidRPr="00582054">
        <w:t>;</w:t>
      </w:r>
      <w:r w:rsidRPr="00582054">
        <w:t xml:space="preserve"> in-plane resolution = 1x1x1 mm</w:t>
      </w:r>
      <w:r w:rsidRPr="00582054">
        <w:rPr>
          <w:vertAlign w:val="superscript"/>
        </w:rPr>
        <w:t>3</w:t>
      </w:r>
      <w:r w:rsidRPr="00582054">
        <w:t>). T1-weighted images were segmented using FLAIR images (3D-IR sagittal</w:t>
      </w:r>
      <w:r w:rsidR="00426A1A" w:rsidRPr="00582054">
        <w:t>;</w:t>
      </w:r>
      <w:r w:rsidRPr="00582054">
        <w:t xml:space="preserve"> TR/TE/TI = 4800/272/1650 </w:t>
      </w:r>
      <w:proofErr w:type="spellStart"/>
      <w:r w:rsidRPr="00582054">
        <w:t>ms</w:t>
      </w:r>
      <w:proofErr w:type="spellEnd"/>
      <w:r w:rsidR="00426A1A" w:rsidRPr="00582054">
        <w:t>;</w:t>
      </w:r>
      <w:r w:rsidRPr="00582054">
        <w:t xml:space="preserve"> flip angle = 40°</w:t>
      </w:r>
      <w:r w:rsidR="00426A1A" w:rsidRPr="00582054">
        <w:t>;</w:t>
      </w:r>
      <w:r w:rsidRPr="00582054">
        <w:t xml:space="preserve"> 180 slices with no gap</w:t>
      </w:r>
      <w:r w:rsidR="00426A1A" w:rsidRPr="00582054">
        <w:t>;</w:t>
      </w:r>
      <w:r w:rsidRPr="00582054">
        <w:t xml:space="preserve"> slice thickness = 1 mm</w:t>
      </w:r>
      <w:r w:rsidR="00426A1A" w:rsidRPr="00582054">
        <w:t>;</w:t>
      </w:r>
      <w:r w:rsidRPr="00582054">
        <w:t xml:space="preserve"> field of view = 250x250 mm</w:t>
      </w:r>
      <w:r w:rsidRPr="00582054">
        <w:rPr>
          <w:vertAlign w:val="superscript"/>
        </w:rPr>
        <w:t>2</w:t>
      </w:r>
      <w:r w:rsidR="00BB7677" w:rsidRPr="00582054">
        <w:t>;</w:t>
      </w:r>
      <w:r w:rsidRPr="00582054">
        <w:t xml:space="preserve"> in-plane resolution = 0.98x0.98 mm</w:t>
      </w:r>
      <w:r w:rsidRPr="00582054">
        <w:rPr>
          <w:vertAlign w:val="superscript"/>
        </w:rPr>
        <w:t>2</w:t>
      </w:r>
      <w:r w:rsidRPr="00582054">
        <w:t>), spatially normalized to the Montreal Neurological Institute (MNI) template</w:t>
      </w:r>
      <w:r w:rsidR="00144E30" w:rsidRPr="00582054">
        <w:t xml:space="preserve"> and</w:t>
      </w:r>
      <w:r w:rsidRPr="00582054">
        <w:t xml:space="preserve"> modulated using the SPM12 segmentation procedure (</w:t>
      </w:r>
      <w:hyperlink r:id="rId9" w:history="1">
        <w:r w:rsidRPr="00582054">
          <w:rPr>
            <w:rStyle w:val="Lienhypertexte"/>
          </w:rPr>
          <w:t>http://www.fil.ion.ucl.ac.uk</w:t>
        </w:r>
      </w:hyperlink>
      <w:r w:rsidRPr="00582054">
        <w:t>)</w:t>
      </w:r>
      <w:r w:rsidR="00144E30" w:rsidRPr="00582054">
        <w:t xml:space="preserve">. </w:t>
      </w:r>
    </w:p>
    <w:p w14:paraId="6948CEEB" w14:textId="7A1B841F" w:rsidR="001721BC" w:rsidRPr="00582054" w:rsidRDefault="00144E30" w:rsidP="00426A1A">
      <w:r w:rsidRPr="00582054">
        <w:t xml:space="preserve">For </w:t>
      </w:r>
      <w:r w:rsidR="00481511" w:rsidRPr="00582054">
        <w:t xml:space="preserve">the </w:t>
      </w:r>
      <w:proofErr w:type="spellStart"/>
      <w:r w:rsidRPr="00582054">
        <w:t>voxelwise</w:t>
      </w:r>
      <w:proofErr w:type="spellEnd"/>
      <w:r w:rsidRPr="00582054">
        <w:t xml:space="preserve"> analyses, these images were then</w:t>
      </w:r>
      <w:r w:rsidR="001721BC" w:rsidRPr="00582054">
        <w:t xml:space="preserve"> smoothed with an 8 mm full-width at half-maximum (FWHM) Gaussian filter. Images were then masked to exclude non-grey matter voxels from the analyses.</w:t>
      </w:r>
    </w:p>
    <w:p w14:paraId="29370376" w14:textId="77777777" w:rsidR="001721BC" w:rsidRPr="00582054" w:rsidRDefault="001721BC" w:rsidP="001721BC">
      <w:pPr>
        <w:pStyle w:val="Titre1"/>
      </w:pPr>
      <w:r w:rsidRPr="00582054">
        <w:t>Functional MRI</w:t>
      </w:r>
    </w:p>
    <w:p w14:paraId="013545B2" w14:textId="1F714ACB" w:rsidR="00FC61A9" w:rsidRPr="00582054" w:rsidRDefault="00426A1A" w:rsidP="00426A1A">
      <w:pPr>
        <w:spacing w:before="0" w:after="160" w:line="259" w:lineRule="auto"/>
      </w:pPr>
      <w:r w:rsidRPr="00582054">
        <w:t xml:space="preserve">A high-resolution T2-weighted spin echo anatomical acquisition (3D-T2-SE sagittal; SENSE factor = 2; repetition time = 2500 </w:t>
      </w:r>
      <w:proofErr w:type="spellStart"/>
      <w:r w:rsidRPr="00582054">
        <w:t>ms</w:t>
      </w:r>
      <w:proofErr w:type="spellEnd"/>
      <w:r w:rsidRPr="00582054">
        <w:t xml:space="preserve">; echo time = 236 </w:t>
      </w:r>
      <w:proofErr w:type="spellStart"/>
      <w:r w:rsidRPr="00582054">
        <w:t>ms</w:t>
      </w:r>
      <w:proofErr w:type="spellEnd"/>
      <w:r w:rsidRPr="00582054">
        <w:t xml:space="preserve">; flip angle = 90°; 180 slices with no gap; slice thickness = 1 mm; field of view = 250x250 mm2; in-plane resolution = 0.98x0.98 mm2) and a non-Echo-Planar Imaging (EPI) T2* volume (2D-T2*-FFE axial; SENSE factor = 2; repetition time = 600 </w:t>
      </w:r>
      <w:proofErr w:type="spellStart"/>
      <w:r w:rsidRPr="00582054">
        <w:t>ms</w:t>
      </w:r>
      <w:proofErr w:type="spellEnd"/>
      <w:r w:rsidRPr="00582054">
        <w:t xml:space="preserve">; echo time = 16 </w:t>
      </w:r>
      <w:proofErr w:type="spellStart"/>
      <w:r w:rsidRPr="00582054">
        <w:t>ms</w:t>
      </w:r>
      <w:proofErr w:type="spellEnd"/>
      <w:r w:rsidRPr="00582054">
        <w:t xml:space="preserve">; flip angle = 20°; 70 slices with no gap; slice thickness = 2 mm; field of view = 256x256 mm2; in-plane resolution = 2x2 mm2) were obtained. Lastly, resting-state functional volumes were obtained using an interleaved 2D T2* SENSE EPI sequence designed to reduce geometric distortions using parallel imaging, short echo time, and small voxels (2D-T2*-FFE-EPI axial, SENSE = 2.5; Time Repetition = 2400 </w:t>
      </w:r>
      <w:proofErr w:type="spellStart"/>
      <w:r w:rsidRPr="00582054">
        <w:t>ms</w:t>
      </w:r>
      <w:proofErr w:type="spellEnd"/>
      <w:r w:rsidRPr="00582054">
        <w:t xml:space="preserve">; Time Echo = 30 </w:t>
      </w:r>
      <w:proofErr w:type="spellStart"/>
      <w:r w:rsidRPr="00582054">
        <w:t>ms</w:t>
      </w:r>
      <w:proofErr w:type="spellEnd"/>
      <w:r w:rsidRPr="00582054">
        <w:t>; flip angle = 85°; 44 slices with no gap; slice thickness = 2.8 mm; field of view = 200x200 mm</w:t>
      </w:r>
      <w:r w:rsidRPr="00582054">
        <w:rPr>
          <w:vertAlign w:val="superscript"/>
        </w:rPr>
        <w:t>2</w:t>
      </w:r>
      <w:r w:rsidRPr="00582054">
        <w:t>; in-plane resolution = 2.5x2.5 mm</w:t>
      </w:r>
      <w:r w:rsidRPr="00582054">
        <w:rPr>
          <w:vertAlign w:val="superscript"/>
        </w:rPr>
        <w:t>2</w:t>
      </w:r>
      <w:r w:rsidRPr="00582054">
        <w:t xml:space="preserve">; 200 volumes). </w:t>
      </w:r>
    </w:p>
    <w:p w14:paraId="40D8776B" w14:textId="492BDDF9" w:rsidR="008B3509" w:rsidRPr="00582054" w:rsidRDefault="00873634" w:rsidP="00D2154B">
      <w:pPr>
        <w:spacing w:before="0" w:after="160" w:line="259" w:lineRule="auto"/>
      </w:pPr>
      <w:r w:rsidRPr="00582054">
        <w:t xml:space="preserve">Individual resting-state functional MRI datasets were first checked for motion artefacts using the </w:t>
      </w:r>
      <w:proofErr w:type="spellStart"/>
      <w:r w:rsidRPr="00582054">
        <w:t>TSDiffAna</w:t>
      </w:r>
      <w:proofErr w:type="spellEnd"/>
      <w:r w:rsidRPr="00582054">
        <w:t xml:space="preserve"> routine. Briefly, a variance volume was created for each subject to check that most signal variability was restricted to the cortex. As dynamic functional analyses can be blurred by head motion, datasets showing evidence for significant movements (&gt; 3 mm translation or 1.5 rotation) associated with image artefacts and/or an abnormal variance distribution, were excluded from subsequent analyses (n = 8). Data were then processed using the Statistical Parametric Mapping software (SPM12), including slice timing correction</w:t>
      </w:r>
      <w:r w:rsidR="003F094A" w:rsidRPr="00582054">
        <w:t xml:space="preserve"> and</w:t>
      </w:r>
      <w:r w:rsidRPr="00582054">
        <w:t xml:space="preserve"> realignment to the first volume</w:t>
      </w:r>
      <w:r w:rsidR="003E395B" w:rsidRPr="00582054">
        <w:t>.</w:t>
      </w:r>
      <w:r w:rsidRPr="00582054">
        <w:t xml:space="preserve">  </w:t>
      </w:r>
    </w:p>
    <w:p w14:paraId="24D63ED4" w14:textId="33AA4994" w:rsidR="004A17B1" w:rsidRPr="00582054" w:rsidRDefault="00BD4AA2" w:rsidP="00D2154B">
      <w:pPr>
        <w:spacing w:before="0" w:after="160" w:line="259" w:lineRule="auto"/>
      </w:pPr>
      <w:r w:rsidRPr="00582054">
        <w:t>Then,</w:t>
      </w:r>
      <w:r w:rsidR="00D2154B" w:rsidRPr="00582054">
        <w:t xml:space="preserve"> a</w:t>
      </w:r>
      <w:r w:rsidRPr="00582054">
        <w:t xml:space="preserve"> data denoising process was performed as follows</w:t>
      </w:r>
      <w:r w:rsidR="00601900" w:rsidRPr="00582054">
        <w:t xml:space="preserve">, according to the procedure of previous studies </w:t>
      </w:r>
      <w:r w:rsidR="00601900" w:rsidRPr="00582054">
        <w:fldChar w:fldCharType="begin"/>
      </w:r>
      <w:r w:rsidR="00534BB2">
        <w:instrText xml:space="preserve"> ADDIN ZOTERO_ITEM CSL_CITATION {"citationID":"8KGlhHAs","properties":{"formattedCitation":"(11\\uc0\\u8211{}14)","plainCitation":"(11–14)","noteIndex":0},"citationItems":[{"id":1784,"uris":["http://zotero.org/users/5050321/items/GG57KXB8"],"itemData":{"id":1784,"type":"article-journal","abstract":"We present a practical \"how-to\" guide to help determine whether single-subject fMRI independent components (ICs) characterise structured noise or not. Manual identification of signal and noise after ICA decomposition is required for efficient data denoising: to train supervised algorithms, to check the results of unsupervised ones or to manually clean the data. In this paper we describe the main spatial and temporal features of ICs and provide general guidelines on how to evaluate these. Examples of signal and noise components are provided from a wide range of datasets (3T data, including examples from the UK Biobank and the Human Connectome Project, and 7T data), together with practical guidelines for their identification. Finally, we discuss how the data quality, data type and preprocessing can influence the characteristics of the ICs and present examples of particularly challenging datasets.","container-title":"NeuroImage","DOI":"10.1016/j.neuroimage.2016.12.036","ISSN":"1095-9572","journalAbbreviation":"Neuroimage","language":"eng","note":"PMID: 27989777\nPMCID: PMC5489418","page":"188-205","source":"PubMed","title":"Hand classification of fMRI ICA noise components","volume":"154","author":[{"family":"Griffanti","given":"Ludovica"},{"family":"Douaud","given":"Gwenaëlle"},{"family":"Bijsterbosch","given":"Janine"},{"family":"Evangelisti","given":"Stefania"},{"family":"Alfaro-Almagro","given":"Fidel"},{"family":"Glasser","given":"Matthew F."},{"family":"Duff","given":"Eugene P."},{"family":"Fitzgibbon","given":"Sean"},{"family":"Westphal","given":"Robert"},{"family":"Carone","given":"Davide"},{"family":"Beckmann","given":"Christian F."},{"family":"Smith","given":"Stephen M."}],"issued":{"date-parts":[["2017",7,1]]}}},{"id":1783,"uris":["http://zotero.org/users/5050321/items/REXGKB7U"],"itemData":{"id":1783,"type":"article-journal","abstract":"Artifacts in functional magnetic resonance imaging (fMRI) data, primarily those related to motion and physiological sources, negatively impact the functional signal-to-noise ratio in fMRI studies, even after conventional fMRI preprocessing. Independent component analysis’ demonstrated capacity to separate sources of neural signal, structured noise, and random noise into separate components might be utilized in improved procedures to remove artifacts from fMRI data. Such procedures require a method for labeling independent components (ICs) as representing artifacts to be removed or neural signals of interest to be spared. Visual inspection is often considered an accurate method for such labeling as well as a standard to which automated labeling methods are compared. However, detailed descriptions of methods for visual inspection of ICs are lacking in the literature. Here we describe the details of, and the rationale for, an operationalized fMRI data denoising procedure that involves visual inspection of ICs (96% inter-rater agreement). We estimate that dozens of subjects/sessions can be processed within a few hours using the described method of visual inspection. Our hope is that continued scientific discussion of and testing of visual inspection methods will lead to the development of improved, cost-effective fMRI denoising procedures.","container-title":"Journal of Neuroscience Methods","DOI":"10.1016/j.jneumeth.2010.03.028","ISSN":"0165-0270","issue":"2","journalAbbreviation":"Journal of Neuroscience Methods","language":"en","page":"233-245","source":"ScienceDirect","title":"Visual inspection of independent components: Defining a procedure for artifact removal from fMRI data","title-short":"Visual inspection of independent components","volume":"189","author":[{"family":"Kelly","given":"Robert E."},{"family":"Alexopoulos","given":"George S."},{"family":"Wang","given":"Zhishun"},{"family":"Gunning","given":"Faith M."},{"family":"Murphy","given":"Christopher F."},{"family":"Morimoto","given":"Sarah Shizuko"},{"family":"Kanellopoulos","given":"Dora"},{"family":"Jia","given":"Zhiru"},{"family":"Lim","given":"Kelvin O."},{"family":"Hoptman","given":"Matthew J."}],"issued":{"date-parts":[["2010",6,15]]}}},{"id":1782,"uris":["http://zotero.org/users/5050321/items/2KSXEEII"],"itemData":{"id":1782,"type":"article-journal","abstract":"Functional connectivity using task-residual data capitalizes on remaining variance after mean task-related signal is removed from a time series. The degree of network specificity in language and attention domains featured by task-residual and resting-state data types were compared. Functional connectivity based on task-residual data evidenced stronger laterality of the language and attention connections and thus greater network specificity compared to resting-state functional connectivity of the same connections. Covariance between network nodes of task-residuals may thus reflect the degree to which two regions are coordinated in their specific activity, rather than a general shared co-activation. Task-residual functional connectivity provides complementary data to that of resting-state, emphasizing network relationships during task engagement.","container-title":"Brain and Cognition","DOI":"10.1016/j.bandc.2018.02.003","ISSN":"0278-2626","journalAbbreviation":"Brain and Cognition","language":"en","page":"52-58","source":"ScienceDirect","title":"Task-residual functional connectivity of language and attention networks","volume":"122","author":[{"family":"Tran","given":"Stella M."},{"family":"McGregor","given":"Keith M."},{"family":"James","given":"George Andrew"},{"family":"Gopinath","given":"Kaundinya"},{"family":"Krishnamurthy","given":"Venkatagiri"},{"family":"Krishnamurthy","given":"Lisa C."},{"family":"Crosson","given":"Bruce"}],"issued":{"date-parts":[["2018",4,1]]}}},{"id":1974,"uris":["http://zotero.org/users/5050321/items/CZAVX98M"],"itemData":{"id":1974,"type":"article-journal","abstract":"Background\nDuring the last years, many investigations focused on spontaneously active cerebral networks such as the default-mode network. A data-driven technique, the independent component analysis, allows segregating such spontaneous (co-)activity maps (SAM) from noise in functional magnetic resonance imaging (fMRI) time series. The inter-rater reliability of manual selection of not only the default-mode network but all SAMs remained to be assessed.\nNew method\nThe current study was performed on 20min (400 volumes) fMRI time series of 30 healthy participants. SAMs’ selection criteria were first established on past experience and from the literature. The inter-rater reliability of SAMs vs non-SAMs manual selection was then investigated from 250 independent components per participant.\nResults\nInter-rater Kappa coefficient was of 0.89±0.01 on whole analysis, and 0.88±0.09 on participant per participant analysis.\nComparison with existing methods\nWithout focusing on specific and predetermined SAMs only, our criteria allow a reliable selection of all SAMs including the idiosyncratic networks.\nConclusions\nThe proposed SAM's selection criteria are reliable enough to allow scientific exploration of all SAMs at the single subject level.","container-title":"Journal of Neuroscience Methods","DOI":"10.1016/j.jneumeth.2013.11.014","ISSN":"0165-0270","journalAbbreviation":"Journal of Neuroscience Methods","language":"en","page":"30-34","source":"ScienceDirect","title":"Manual selection of spontaneous activity maps derived from independent component analysis: Criteria and inter-rater reliability study","title-short":"Manual selection of spontaneous activity maps derived from independent component analysis","volume":"223","author":[{"family":"Roquet","given":"Daniel R."},{"family":"Pham","given":"Bich-Tuy"},{"family":"Foucher","given":"Jack R."}],"issued":{"date-parts":[["2014",2,15]]}}}],"schema":"https://github.com/citation-style-language/schema/raw/master/csl-citation.json"} </w:instrText>
      </w:r>
      <w:r w:rsidR="00601900" w:rsidRPr="00582054">
        <w:fldChar w:fldCharType="separate"/>
      </w:r>
      <w:r w:rsidR="00534BB2" w:rsidRPr="00534BB2">
        <w:rPr>
          <w:rFonts w:cs="Times New Roman"/>
          <w:szCs w:val="24"/>
        </w:rPr>
        <w:t>(11–14)</w:t>
      </w:r>
      <w:r w:rsidR="00601900" w:rsidRPr="00582054">
        <w:fldChar w:fldCharType="end"/>
      </w:r>
      <w:r w:rsidRPr="00582054">
        <w:t>. Firstly, i</w:t>
      </w:r>
      <w:r w:rsidR="003E395B" w:rsidRPr="00582054">
        <w:t xml:space="preserve">ndividual independent component analysis (ICA) </w:t>
      </w:r>
      <w:r w:rsidRPr="00582054">
        <w:t>was used to decompose each participant’s functional time series into 50 components, using FSL’s MELODIC (Multivariate Exploratory Linear Decomposition into Independent Components) version 5.0.9.</w:t>
      </w:r>
      <w:r w:rsidR="00D2154B" w:rsidRPr="00582054">
        <w:t xml:space="preserve"> Each </w:t>
      </w:r>
      <w:r w:rsidR="00D04132" w:rsidRPr="00582054">
        <w:t xml:space="preserve">ICA </w:t>
      </w:r>
      <w:r w:rsidR="00D2154B" w:rsidRPr="00582054">
        <w:t>component of all participant</w:t>
      </w:r>
      <w:r w:rsidR="00D04132" w:rsidRPr="00582054">
        <w:t>s</w:t>
      </w:r>
      <w:r w:rsidR="00D2154B" w:rsidRPr="00582054">
        <w:t xml:space="preserve"> was screened and </w:t>
      </w:r>
      <w:r w:rsidR="00D04132" w:rsidRPr="00582054">
        <w:t xml:space="preserve">the components considered </w:t>
      </w:r>
      <w:r w:rsidR="004A103B" w:rsidRPr="00582054">
        <w:t>as</w:t>
      </w:r>
      <w:r w:rsidR="00D04132" w:rsidRPr="00582054">
        <w:t xml:space="preserve"> represent</w:t>
      </w:r>
      <w:r w:rsidR="004A103B" w:rsidRPr="00582054">
        <w:t>ing</w:t>
      </w:r>
      <w:r w:rsidR="00D04132" w:rsidRPr="00582054">
        <w:t xml:space="preserve"> predominantly </w:t>
      </w:r>
      <w:r w:rsidR="004A103B" w:rsidRPr="00582054">
        <w:t>stripes alternating along the z-axis</w:t>
      </w:r>
      <w:r w:rsidR="00D2154B" w:rsidRPr="00582054">
        <w:t xml:space="preserve"> </w:t>
      </w:r>
      <w:r w:rsidR="00BB158A" w:rsidRPr="00582054">
        <w:t>were</w:t>
      </w:r>
      <w:r w:rsidR="00D04132" w:rsidRPr="00582054">
        <w:t xml:space="preserve"> identified</w:t>
      </w:r>
      <w:r w:rsidR="004A103B" w:rsidRPr="00582054">
        <w:t>, since they reflected noise within the fMRI data</w:t>
      </w:r>
      <w:r w:rsidR="00D04132" w:rsidRPr="00582054">
        <w:t>.</w:t>
      </w:r>
      <w:r w:rsidR="008B3509" w:rsidRPr="00582054">
        <w:t xml:space="preserve"> Then, t</w:t>
      </w:r>
      <w:r w:rsidR="00D2154B" w:rsidRPr="00582054">
        <w:t>he time courses for the</w:t>
      </w:r>
      <w:r w:rsidR="004A103B" w:rsidRPr="00582054">
        <w:t>se noise components</w:t>
      </w:r>
      <w:r w:rsidR="00E84163" w:rsidRPr="00582054">
        <w:t xml:space="preserve"> </w:t>
      </w:r>
      <w:r w:rsidR="00D2154B" w:rsidRPr="00582054">
        <w:t xml:space="preserve">were regressed out of the fMRI data using the </w:t>
      </w:r>
      <w:proofErr w:type="spellStart"/>
      <w:r w:rsidR="00D2154B" w:rsidRPr="00582054">
        <w:t>fsl_regfilt</w:t>
      </w:r>
      <w:proofErr w:type="spellEnd"/>
      <w:r w:rsidR="00D2154B" w:rsidRPr="00582054">
        <w:t xml:space="preserve"> utility</w:t>
      </w:r>
      <w:r w:rsidR="00C66391" w:rsidRPr="00582054">
        <w:t xml:space="preserve"> from FSL (FMRIB's </w:t>
      </w:r>
      <w:r w:rsidR="00C66391" w:rsidRPr="00582054">
        <w:lastRenderedPageBreak/>
        <w:t>Software Library) developed at FMRIB (Functional Magnetic Resonance Imaging of the Brain), Analysis Group, Oxford University, UK</w:t>
      </w:r>
      <w:r w:rsidR="00D2154B" w:rsidRPr="00582054">
        <w:t>.</w:t>
      </w:r>
    </w:p>
    <w:p w14:paraId="584F03FE" w14:textId="2ABC34F5" w:rsidR="00873634" w:rsidRPr="00582054" w:rsidRDefault="004A17B1" w:rsidP="00426A1A">
      <w:pPr>
        <w:spacing w:before="0" w:after="160" w:line="259" w:lineRule="auto"/>
      </w:pPr>
      <w:r w:rsidRPr="00582054">
        <w:t>S</w:t>
      </w:r>
      <w:r w:rsidR="00873634" w:rsidRPr="00582054">
        <w:t xml:space="preserve">patial normalization within the native space </w:t>
      </w:r>
      <w:r w:rsidRPr="00582054">
        <w:t xml:space="preserve">was then applied </w:t>
      </w:r>
      <w:r w:rsidR="00873634" w:rsidRPr="00582054">
        <w:t xml:space="preserve">to correct for distortion effects </w:t>
      </w:r>
      <w:r w:rsidR="00562FCB" w:rsidRPr="00582054">
        <w:fldChar w:fldCharType="begin"/>
      </w:r>
      <w:r w:rsidR="00534BB2">
        <w:instrText xml:space="preserve"> ADDIN ZOTERO_ITEM CSL_CITATION {"citationID":"gDQRSK6p","properties":{"formattedCitation":"(15)","plainCitation":"(15)","noteIndex":0},"citationItems":[{"id":1785,"uris":["http://zotero.org/users/5050321/items/345NXN3I"],"itemData":{"id":1785,"type":"article-journal","abstract":"BACKGROUND AND PURPOSE Advances in functional neuroimaging studies have led to the need for improved anatomical precision to face with more and more specific challenges. Nevertheless, functional magnetic resonance imaging (MRI) (fMRI) suffers from geometrical distortions, which limit the matching between functional and anatomical data necessary to interpret fMRI results. The “FieldMap” method is the most widely used technique to correct for geometrical distortions but in some cases cannot be applied or provides unsatisfactory results. The objective of this study is thus to provide a very simple alternative method for distortion correction and to demonstrate its efficiency. METHODS This correction relies on the nonlinear registration of echo-planar imaging (EPI) acquisitions onto their corresponding undistorted non-EPI T2 Star volume, and was tested on two independent groups of subjects undertaking the same paradigm but scanned with distinct EPI sequences. RESULTS This procedure was found to considerably decrease the mismatch between functional and anatomical data in both groups, as revealed through several quantitative and qualitative measures on both EPI volumes and activation maps. CONCLUSION This study describes a simple, rapid, and easily implementable method to significantly improve neuroanatomical accuracy of fMRI results localization, which may be relevant for future neuroimaging studies.","container-title":"Journal of Neuroimaging","DOI":"10.1111/j.1552-6569.2010.00470.x","ISSN":"1552-6569","issue":"4","language":"en","note":"_eprint: https://onlinelibrary.wiley.com/doi/pdf/10.1111/j.1552-6569.2010.00470.x","page":"324-333","source":"Wiley Online Library","title":"A Simple Way to Improve Anatomical Mapping of Functional Brain Imaging","volume":"20","author":[{"family":"Villain","given":"Nicolas"},{"family":"Landeau","given":"Brigitte"},{"family":"Groussard","given":"Mathilde"},{"family":"Mevel","given":"Katell"},{"family":"Fouquet","given":"Marine"},{"family":"Dayan","given":"Jacques"},{"family":"Eustache","given":"Francis"},{"family":"Desgranges","given":"Béatrice"},{"family":"Chételat","given":"Gaël"}],"issued":{"date-parts":[["2010"]]}}}],"schema":"https://github.com/citation-style-language/schema/raw/master/csl-citation.json"} </w:instrText>
      </w:r>
      <w:r w:rsidR="00562FCB" w:rsidRPr="00582054">
        <w:fldChar w:fldCharType="separate"/>
      </w:r>
      <w:r w:rsidR="00534BB2" w:rsidRPr="00534BB2">
        <w:rPr>
          <w:rFonts w:cs="Times New Roman"/>
        </w:rPr>
        <w:t>(15)</w:t>
      </w:r>
      <w:r w:rsidR="00562FCB" w:rsidRPr="00582054">
        <w:fldChar w:fldCharType="end"/>
      </w:r>
      <w:r w:rsidR="00873634" w:rsidRPr="00582054">
        <w:t>. Echo planar imaging (EPI) volumes were then co-registered on the corresponding T1-weightedMRI images, normalized to the MNI space, applying the normalization parameters of the anatomical MRI, and smoothed with a 4 mm full-width at half-maximum Gaussian kernel.</w:t>
      </w:r>
    </w:p>
    <w:p w14:paraId="162FD9CB" w14:textId="43AE39B4" w:rsidR="00A74C7C" w:rsidRDefault="00A74C7C" w:rsidP="007C6BD8">
      <w:pPr>
        <w:pStyle w:val="Paragraphedeliste"/>
        <w:numPr>
          <w:ilvl w:val="0"/>
          <w:numId w:val="8"/>
        </w:numPr>
        <w:rPr>
          <w:b/>
          <w:sz w:val="28"/>
        </w:rPr>
      </w:pPr>
      <w:r>
        <w:rPr>
          <w:b/>
          <w:sz w:val="28"/>
        </w:rPr>
        <w:t>Supplementary Figures</w:t>
      </w:r>
    </w:p>
    <w:p w14:paraId="0DE89592" w14:textId="47E468B5" w:rsidR="00A74C7C" w:rsidRDefault="007B366D" w:rsidP="00A74C7C">
      <w:pPr>
        <w:rPr>
          <w:b/>
          <w:sz w:val="28"/>
        </w:rPr>
      </w:pPr>
      <w:r>
        <w:rPr>
          <w:b/>
          <w:noProof/>
          <w:sz w:val="28"/>
        </w:rPr>
        <w:drawing>
          <wp:inline distT="0" distB="0" distL="0" distR="0" wp14:anchorId="238A2881" wp14:editId="3DA87D00">
            <wp:extent cx="5751195" cy="2818475"/>
            <wp:effectExtent l="0" t="0" r="0" b="127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2830" cy="2824177"/>
                    </a:xfrm>
                    <a:prstGeom prst="rect">
                      <a:avLst/>
                    </a:prstGeom>
                    <a:noFill/>
                  </pic:spPr>
                </pic:pic>
              </a:graphicData>
            </a:graphic>
          </wp:inline>
        </w:drawing>
      </w:r>
    </w:p>
    <w:p w14:paraId="016CC9DC" w14:textId="797722F8" w:rsidR="00CA1D7F" w:rsidRPr="00582054" w:rsidRDefault="00CA1D7F" w:rsidP="00CA1D7F">
      <w:r w:rsidRPr="00A74C7C">
        <w:rPr>
          <w:b/>
        </w:rPr>
        <w:t>Supplementary Fig</w:t>
      </w:r>
      <w:r w:rsidRPr="00F83520">
        <w:rPr>
          <w:b/>
        </w:rPr>
        <w:t>ure 1.</w:t>
      </w:r>
      <w:r w:rsidRPr="00582054">
        <w:t xml:space="preserve"> </w:t>
      </w:r>
      <w:r w:rsidRPr="008F188C">
        <w:t xml:space="preserve">Distribution of depressive symptoms according to </w:t>
      </w:r>
      <w:r>
        <w:t>Geriatric Depression Scale</w:t>
      </w:r>
      <w:r w:rsidR="00B0603F">
        <w:t xml:space="preserve"> (GDS)</w:t>
      </w:r>
      <w:r>
        <w:t xml:space="preserve"> </w:t>
      </w:r>
      <w:r w:rsidRPr="008F188C">
        <w:t>items</w:t>
      </w:r>
      <w:r w:rsidR="00795BB3">
        <w:t xml:space="preserve"> </w:t>
      </w:r>
      <w:r w:rsidR="00795BB3">
        <w:fldChar w:fldCharType="begin"/>
      </w:r>
      <w:r w:rsidR="00795BB3">
        <w:instrText xml:space="preserve"> ADDIN ZOTERO_ITEM CSL_CITATION {"citationID":"l5dQovVq","properties":{"formattedCitation":"(16)","plainCitation":"(16)","noteIndex":0},"citationItems":[{"id":129,"uris":["http://zotero.org/users/5050321/items/PEMSDRMM"],"itemData":{"id":129,"type":"article-journal","abstract":"Reviews validation studies of the Geriatric Depression Scale (GDS) indicating that the GDS is a promising screen for detecting depression in the elderly. A study comparing the GDS with the Center for Epidemiological Studies-Depression Scale, the Hamilton Rating Scale for Depression, and the Depression Adjective Checklist is described. Data show that the GDS represents a reliable and valid screening device for measuring depression with the elderly, and that the GDS is also sensitive to depression among elderly persons suffering from mild to moderate dementia and physical illness. The Short Form of the GDS is considered useful in situations where economy of time is required. (PsycINFO Database Record (c) 2016 APA, all rights reserved)","container-title":"Clinical Gerontologist: The Journal of Aging and Mental Health","DOI":"10.1300/J018v05n01_09","ISSN":"1545-2301(Electronic),0731-7115(Print)","issue":"1-2","note":"publisher-place: US\npublisher: Haworth Press","page":"165-173","source":"APA PsycNET","title":"Geriatric Depression Scale (GDS): Recent evidence and development of a shorter version","title-short":"Geriatric Depression Scale (GDS)","volume":"5","author":[{"family":"Sheikh","given":"Javaid I."},{"family":"Yesavage","given":"Jerome A."}],"issued":{"date-parts":[["1986"]]}}}],"schema":"https://github.com/citation-style-language/schema/raw/master/csl-citation.json"} </w:instrText>
      </w:r>
      <w:r w:rsidR="00795BB3">
        <w:fldChar w:fldCharType="separate"/>
      </w:r>
      <w:r w:rsidR="00795BB3" w:rsidRPr="00795BB3">
        <w:rPr>
          <w:rFonts w:cs="Times New Roman"/>
        </w:rPr>
        <w:t>(16)</w:t>
      </w:r>
      <w:r w:rsidR="00795BB3">
        <w:fldChar w:fldCharType="end"/>
      </w:r>
      <w:r w:rsidRPr="008F188C">
        <w:t>.</w:t>
      </w:r>
    </w:p>
    <w:p w14:paraId="499A342E" w14:textId="751902A7" w:rsidR="00E37513" w:rsidRDefault="00E37513">
      <w:pPr>
        <w:spacing w:before="0" w:after="160" w:line="259" w:lineRule="auto"/>
        <w:jc w:val="left"/>
        <w:rPr>
          <w:b/>
          <w:sz w:val="28"/>
        </w:rPr>
      </w:pPr>
      <w:r>
        <w:rPr>
          <w:b/>
          <w:sz w:val="28"/>
        </w:rPr>
        <w:br w:type="page"/>
      </w:r>
    </w:p>
    <w:p w14:paraId="2F9EE50E" w14:textId="7823F30B" w:rsidR="007C6BD8" w:rsidRPr="00582054" w:rsidRDefault="007C6BD8" w:rsidP="007C6BD8">
      <w:pPr>
        <w:pStyle w:val="Paragraphedeliste"/>
        <w:numPr>
          <w:ilvl w:val="0"/>
          <w:numId w:val="8"/>
        </w:numPr>
        <w:rPr>
          <w:b/>
          <w:sz w:val="28"/>
        </w:rPr>
      </w:pPr>
      <w:r w:rsidRPr="00582054">
        <w:rPr>
          <w:b/>
          <w:sz w:val="28"/>
        </w:rPr>
        <w:lastRenderedPageBreak/>
        <w:t>Supplementary Tables</w:t>
      </w:r>
    </w:p>
    <w:p w14:paraId="7DC60C18" w14:textId="77777777" w:rsidR="007C6BD8" w:rsidRPr="00582054" w:rsidRDefault="007C6BD8" w:rsidP="001933E3">
      <w:pPr>
        <w:rPr>
          <w:b/>
          <w:sz w:val="28"/>
        </w:rPr>
      </w:pPr>
      <w:r w:rsidRPr="00582054">
        <w:rPr>
          <w:b/>
        </w:rPr>
        <w:t>Supplementary Table 1.</w:t>
      </w:r>
      <w:r w:rsidRPr="00582054">
        <w:t xml:space="preserve"> Between-group differences in blood stress markers corrected for additional health variables and medical use.</w:t>
      </w:r>
    </w:p>
    <w:tbl>
      <w:tblPr>
        <w:tblW w:w="5059" w:type="pct"/>
        <w:tblLayout w:type="fixed"/>
        <w:tblCellMar>
          <w:left w:w="0" w:type="dxa"/>
          <w:right w:w="0" w:type="dxa"/>
        </w:tblCellMar>
        <w:tblLook w:val="0420" w:firstRow="1" w:lastRow="0" w:firstColumn="0" w:lastColumn="0" w:noHBand="0" w:noVBand="1"/>
      </w:tblPr>
      <w:tblGrid>
        <w:gridCol w:w="2554"/>
        <w:gridCol w:w="2267"/>
        <w:gridCol w:w="2412"/>
        <w:gridCol w:w="991"/>
        <w:gridCol w:w="955"/>
      </w:tblGrid>
      <w:tr w:rsidR="009B32DB" w:rsidRPr="00582054" w14:paraId="09EFFCC4" w14:textId="77777777" w:rsidTr="008D4AF7">
        <w:trPr>
          <w:trHeight w:val="20"/>
        </w:trPr>
        <w:tc>
          <w:tcPr>
            <w:tcW w:w="1391" w:type="pct"/>
            <w:vMerge w:val="restart"/>
            <w:tcBorders>
              <w:top w:val="single" w:sz="4" w:space="0" w:color="auto"/>
            </w:tcBorders>
            <w:shd w:val="clear" w:color="auto" w:fill="FFFFFF"/>
            <w:tcMar>
              <w:top w:w="72" w:type="dxa"/>
              <w:left w:w="144" w:type="dxa"/>
              <w:bottom w:w="72" w:type="dxa"/>
              <w:right w:w="144" w:type="dxa"/>
            </w:tcMar>
            <w:vAlign w:val="center"/>
            <w:hideMark/>
          </w:tcPr>
          <w:p w14:paraId="6BC8B56E" w14:textId="77777777" w:rsidR="007C6BD8" w:rsidRPr="00582054" w:rsidRDefault="007C6BD8" w:rsidP="007C6BD8">
            <w:pPr>
              <w:spacing w:before="0" w:after="0"/>
              <w:rPr>
                <w:rFonts w:cs="Times New Roman"/>
                <w:b/>
                <w:sz w:val="18"/>
                <w:szCs w:val="18"/>
                <w:lang w:eastAsia="fr-FR"/>
              </w:rPr>
            </w:pPr>
            <w:r w:rsidRPr="00582054">
              <w:rPr>
                <w:rFonts w:cs="Times New Roman"/>
                <w:b/>
                <w:sz w:val="18"/>
                <w:szCs w:val="18"/>
                <w:lang w:eastAsia="fr-FR"/>
              </w:rPr>
              <w:t>Blood Stress Markers</w:t>
            </w:r>
          </w:p>
        </w:tc>
        <w:tc>
          <w:tcPr>
            <w:tcW w:w="1235" w:type="pct"/>
            <w:vMerge w:val="restart"/>
            <w:tcBorders>
              <w:top w:val="single" w:sz="4" w:space="0" w:color="auto"/>
            </w:tcBorders>
            <w:shd w:val="clear" w:color="auto" w:fill="auto"/>
            <w:tcMar>
              <w:top w:w="72" w:type="dxa"/>
              <w:left w:w="144" w:type="dxa"/>
              <w:bottom w:w="72" w:type="dxa"/>
              <w:right w:w="144" w:type="dxa"/>
            </w:tcMar>
            <w:vAlign w:val="center"/>
            <w:hideMark/>
          </w:tcPr>
          <w:p w14:paraId="0DE51D06" w14:textId="77777777" w:rsidR="007C6BD8" w:rsidRPr="00582054" w:rsidRDefault="007C6BD8" w:rsidP="007C6BD8">
            <w:pPr>
              <w:spacing w:before="0" w:after="0"/>
              <w:jc w:val="center"/>
              <w:rPr>
                <w:rFonts w:cs="Times New Roman"/>
                <w:b/>
                <w:sz w:val="18"/>
                <w:szCs w:val="18"/>
                <w:lang w:eastAsia="fr-FR"/>
              </w:rPr>
            </w:pPr>
            <w:proofErr w:type="spellStart"/>
            <w:r w:rsidRPr="00582054">
              <w:rPr>
                <w:rFonts w:cs="Times New Roman"/>
                <w:b/>
                <w:sz w:val="18"/>
                <w:szCs w:val="18"/>
                <w:lang w:eastAsia="fr-FR"/>
              </w:rPr>
              <w:t>NoDepS</w:t>
            </w:r>
            <w:proofErr w:type="spellEnd"/>
            <w:r w:rsidRPr="00582054">
              <w:rPr>
                <w:rFonts w:cs="Times New Roman"/>
                <w:b/>
                <w:sz w:val="18"/>
                <w:szCs w:val="18"/>
                <w:lang w:eastAsia="fr-FR"/>
              </w:rPr>
              <w:t xml:space="preserve"> Group</w:t>
            </w:r>
          </w:p>
          <w:p w14:paraId="29971D90" w14:textId="77777777" w:rsidR="007C6BD8" w:rsidRPr="00582054" w:rsidRDefault="007C6BD8" w:rsidP="007C6BD8">
            <w:pPr>
              <w:spacing w:before="0" w:after="0"/>
              <w:jc w:val="center"/>
              <w:rPr>
                <w:rFonts w:cs="Times New Roman"/>
                <w:b/>
                <w:sz w:val="18"/>
                <w:szCs w:val="18"/>
                <w:lang w:eastAsia="fr-FR"/>
              </w:rPr>
            </w:pPr>
            <w:r w:rsidRPr="00582054">
              <w:rPr>
                <w:rFonts w:cs="Times New Roman"/>
                <w:b/>
                <w:sz w:val="18"/>
                <w:szCs w:val="18"/>
                <w:lang w:eastAsia="fr-FR"/>
              </w:rPr>
              <w:t>(n=53)</w:t>
            </w:r>
          </w:p>
        </w:tc>
        <w:tc>
          <w:tcPr>
            <w:tcW w:w="1314" w:type="pct"/>
            <w:vMerge w:val="restart"/>
            <w:tcBorders>
              <w:top w:val="single" w:sz="4" w:space="0" w:color="auto"/>
            </w:tcBorders>
            <w:shd w:val="clear" w:color="auto" w:fill="auto"/>
            <w:tcMar>
              <w:top w:w="72" w:type="dxa"/>
              <w:left w:w="144" w:type="dxa"/>
              <w:bottom w:w="72" w:type="dxa"/>
              <w:right w:w="144" w:type="dxa"/>
            </w:tcMar>
            <w:vAlign w:val="center"/>
            <w:hideMark/>
          </w:tcPr>
          <w:p w14:paraId="2555E180" w14:textId="77777777" w:rsidR="007C6BD8" w:rsidRPr="00582054" w:rsidRDefault="007C6BD8" w:rsidP="007C6BD8">
            <w:pPr>
              <w:spacing w:before="0" w:after="0"/>
              <w:jc w:val="center"/>
              <w:rPr>
                <w:rFonts w:cs="Times New Roman"/>
                <w:b/>
                <w:sz w:val="18"/>
                <w:szCs w:val="18"/>
                <w:lang w:eastAsia="fr-FR"/>
              </w:rPr>
            </w:pPr>
            <w:proofErr w:type="spellStart"/>
            <w:r w:rsidRPr="00582054">
              <w:rPr>
                <w:rFonts w:cs="Times New Roman"/>
                <w:b/>
                <w:sz w:val="18"/>
                <w:szCs w:val="18"/>
                <w:lang w:eastAsia="fr-FR"/>
              </w:rPr>
              <w:t>DepS</w:t>
            </w:r>
            <w:proofErr w:type="spellEnd"/>
            <w:r w:rsidRPr="00582054">
              <w:rPr>
                <w:rFonts w:cs="Times New Roman"/>
                <w:b/>
                <w:sz w:val="18"/>
                <w:szCs w:val="18"/>
                <w:lang w:eastAsia="fr-FR"/>
              </w:rPr>
              <w:t xml:space="preserve"> Group</w:t>
            </w:r>
          </w:p>
          <w:p w14:paraId="6AB8AA36" w14:textId="77777777" w:rsidR="007C6BD8" w:rsidRPr="00582054" w:rsidRDefault="007C6BD8" w:rsidP="007C6BD8">
            <w:pPr>
              <w:spacing w:before="0" w:after="0"/>
              <w:jc w:val="center"/>
              <w:rPr>
                <w:rFonts w:cs="Times New Roman"/>
                <w:b/>
                <w:sz w:val="18"/>
                <w:szCs w:val="18"/>
                <w:lang w:eastAsia="fr-FR"/>
              </w:rPr>
            </w:pPr>
            <w:r w:rsidRPr="00582054">
              <w:rPr>
                <w:rFonts w:cs="Times New Roman"/>
                <w:b/>
                <w:sz w:val="18"/>
                <w:szCs w:val="18"/>
                <w:lang w:eastAsia="fr-FR"/>
              </w:rPr>
              <w:t>(n=70)</w:t>
            </w:r>
          </w:p>
        </w:tc>
        <w:tc>
          <w:tcPr>
            <w:tcW w:w="1060" w:type="pct"/>
            <w:gridSpan w:val="2"/>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4966DB18" w14:textId="77777777" w:rsidR="007C6BD8" w:rsidRPr="00582054" w:rsidRDefault="007C6BD8" w:rsidP="007C6BD8">
            <w:pPr>
              <w:spacing w:before="0" w:after="0"/>
              <w:jc w:val="center"/>
              <w:rPr>
                <w:rFonts w:cs="Times New Roman"/>
                <w:b/>
                <w:sz w:val="18"/>
                <w:szCs w:val="18"/>
                <w:lang w:eastAsia="fr-FR"/>
              </w:rPr>
            </w:pPr>
            <w:r w:rsidRPr="00582054">
              <w:rPr>
                <w:rFonts w:cs="Times New Roman"/>
                <w:b/>
                <w:sz w:val="18"/>
                <w:szCs w:val="18"/>
                <w:lang w:eastAsia="fr-FR"/>
              </w:rPr>
              <w:t>Between-group comparisons</w:t>
            </w:r>
          </w:p>
        </w:tc>
      </w:tr>
      <w:tr w:rsidR="007C6BD8" w:rsidRPr="00582054" w14:paraId="23A25554" w14:textId="77777777" w:rsidTr="008D4AF7">
        <w:trPr>
          <w:trHeight w:val="45"/>
        </w:trPr>
        <w:tc>
          <w:tcPr>
            <w:tcW w:w="1391" w:type="pct"/>
            <w:vMerge/>
            <w:tcBorders>
              <w:bottom w:val="single" w:sz="4" w:space="0" w:color="auto"/>
            </w:tcBorders>
            <w:shd w:val="clear" w:color="auto" w:fill="FFFFFF"/>
            <w:tcMar>
              <w:top w:w="72" w:type="dxa"/>
              <w:left w:w="144" w:type="dxa"/>
              <w:bottom w:w="72" w:type="dxa"/>
              <w:right w:w="144" w:type="dxa"/>
            </w:tcMar>
            <w:vAlign w:val="center"/>
          </w:tcPr>
          <w:p w14:paraId="56C0A4E6" w14:textId="77777777" w:rsidR="007C6BD8" w:rsidRPr="00582054" w:rsidRDefault="007C6BD8" w:rsidP="007C6BD8">
            <w:pPr>
              <w:spacing w:before="0" w:after="0"/>
              <w:jc w:val="center"/>
              <w:rPr>
                <w:rFonts w:cs="Times New Roman"/>
                <w:b/>
                <w:sz w:val="18"/>
                <w:szCs w:val="18"/>
                <w:lang w:eastAsia="fr-FR"/>
              </w:rPr>
            </w:pPr>
          </w:p>
        </w:tc>
        <w:tc>
          <w:tcPr>
            <w:tcW w:w="1235" w:type="pct"/>
            <w:vMerge/>
            <w:tcBorders>
              <w:bottom w:val="single" w:sz="4" w:space="0" w:color="auto"/>
            </w:tcBorders>
            <w:shd w:val="clear" w:color="auto" w:fill="auto"/>
            <w:tcMar>
              <w:top w:w="72" w:type="dxa"/>
              <w:left w:w="144" w:type="dxa"/>
              <w:bottom w:w="72" w:type="dxa"/>
              <w:right w:w="144" w:type="dxa"/>
            </w:tcMar>
            <w:vAlign w:val="center"/>
          </w:tcPr>
          <w:p w14:paraId="3782E026" w14:textId="77777777" w:rsidR="007C6BD8" w:rsidRPr="00582054" w:rsidRDefault="007C6BD8" w:rsidP="007C6BD8">
            <w:pPr>
              <w:spacing w:before="0" w:after="0"/>
              <w:jc w:val="center"/>
              <w:rPr>
                <w:rFonts w:cs="Times New Roman"/>
                <w:b/>
                <w:sz w:val="18"/>
                <w:szCs w:val="18"/>
                <w:lang w:eastAsia="fr-FR"/>
              </w:rPr>
            </w:pPr>
          </w:p>
        </w:tc>
        <w:tc>
          <w:tcPr>
            <w:tcW w:w="1314" w:type="pct"/>
            <w:vMerge/>
            <w:tcBorders>
              <w:bottom w:val="single" w:sz="4" w:space="0" w:color="auto"/>
            </w:tcBorders>
            <w:shd w:val="clear" w:color="auto" w:fill="auto"/>
            <w:tcMar>
              <w:top w:w="72" w:type="dxa"/>
              <w:left w:w="144" w:type="dxa"/>
              <w:bottom w:w="72" w:type="dxa"/>
              <w:right w:w="144" w:type="dxa"/>
            </w:tcMar>
            <w:vAlign w:val="center"/>
          </w:tcPr>
          <w:p w14:paraId="32DDEE6B" w14:textId="77777777" w:rsidR="007C6BD8" w:rsidRPr="00582054" w:rsidRDefault="007C6BD8" w:rsidP="007C6BD8">
            <w:pPr>
              <w:spacing w:before="0" w:after="0"/>
              <w:jc w:val="center"/>
              <w:rPr>
                <w:rFonts w:cs="Times New Roman"/>
                <w:b/>
                <w:sz w:val="18"/>
                <w:szCs w:val="18"/>
                <w:lang w:eastAsia="fr-FR"/>
              </w:rPr>
            </w:pPr>
          </w:p>
        </w:tc>
        <w:tc>
          <w:tcPr>
            <w:tcW w:w="540"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071045D5" w14:textId="1E992310" w:rsidR="007C6BD8" w:rsidRPr="00582054" w:rsidRDefault="002D17D2" w:rsidP="007C6BD8">
            <w:pPr>
              <w:spacing w:before="0" w:after="0"/>
              <w:jc w:val="center"/>
              <w:rPr>
                <w:rFonts w:cs="Times New Roman"/>
                <w:b/>
                <w:sz w:val="18"/>
                <w:szCs w:val="18"/>
                <w:lang w:eastAsia="fr-FR"/>
              </w:rPr>
            </w:pPr>
            <w:r>
              <w:rPr>
                <w:rFonts w:cs="Times New Roman"/>
                <w:b/>
                <w:i/>
                <w:sz w:val="18"/>
                <w:szCs w:val="18"/>
                <w:lang w:eastAsia="fr-FR"/>
              </w:rPr>
              <w:t xml:space="preserve">F </w:t>
            </w:r>
            <w:r w:rsidR="007C6BD8" w:rsidRPr="00582054">
              <w:rPr>
                <w:rFonts w:cs="Times New Roman"/>
                <w:b/>
                <w:i/>
                <w:sz w:val="18"/>
                <w:szCs w:val="18"/>
                <w:lang w:eastAsia="fr-FR"/>
              </w:rPr>
              <w:t>value</w:t>
            </w:r>
          </w:p>
        </w:tc>
        <w:tc>
          <w:tcPr>
            <w:tcW w:w="520" w:type="pct"/>
            <w:tcBorders>
              <w:top w:val="single" w:sz="4" w:space="0" w:color="auto"/>
              <w:bottom w:val="single" w:sz="4" w:space="0" w:color="auto"/>
            </w:tcBorders>
            <w:shd w:val="clear" w:color="auto" w:fill="auto"/>
            <w:vAlign w:val="center"/>
          </w:tcPr>
          <w:p w14:paraId="1653B062" w14:textId="10CEC548" w:rsidR="007C6BD8" w:rsidRPr="00582054" w:rsidRDefault="007C6BD8" w:rsidP="007C6BD8">
            <w:pPr>
              <w:spacing w:before="0" w:after="0"/>
              <w:jc w:val="center"/>
              <w:rPr>
                <w:rFonts w:cs="Times New Roman"/>
                <w:b/>
                <w:i/>
                <w:sz w:val="18"/>
                <w:szCs w:val="18"/>
                <w:lang w:eastAsia="fr-FR"/>
              </w:rPr>
            </w:pPr>
            <w:r w:rsidRPr="00582054">
              <w:rPr>
                <w:rFonts w:cs="Times New Roman"/>
                <w:b/>
                <w:i/>
                <w:sz w:val="18"/>
                <w:szCs w:val="18"/>
                <w:lang w:eastAsia="fr-FR"/>
              </w:rPr>
              <w:t xml:space="preserve"> </w:t>
            </w:r>
            <w:r w:rsidR="002D17D2">
              <w:rPr>
                <w:rFonts w:cs="Times New Roman"/>
                <w:b/>
                <w:i/>
                <w:sz w:val="18"/>
                <w:szCs w:val="18"/>
                <w:lang w:eastAsia="fr-FR"/>
              </w:rPr>
              <w:t>p-</w:t>
            </w:r>
            <w:r w:rsidRPr="00582054">
              <w:rPr>
                <w:rFonts w:cs="Times New Roman"/>
                <w:b/>
                <w:i/>
                <w:sz w:val="18"/>
                <w:szCs w:val="18"/>
                <w:lang w:eastAsia="fr-FR"/>
              </w:rPr>
              <w:t>value</w:t>
            </w:r>
          </w:p>
        </w:tc>
      </w:tr>
      <w:tr w:rsidR="009B32DB" w:rsidRPr="00582054" w14:paraId="6C8CBD9D" w14:textId="77777777" w:rsidTr="008D4AF7">
        <w:trPr>
          <w:trHeight w:val="248"/>
        </w:trPr>
        <w:tc>
          <w:tcPr>
            <w:tcW w:w="1391" w:type="pct"/>
            <w:shd w:val="clear" w:color="auto" w:fill="auto"/>
            <w:tcMar>
              <w:top w:w="72" w:type="dxa"/>
              <w:left w:w="144" w:type="dxa"/>
              <w:bottom w:w="72" w:type="dxa"/>
              <w:right w:w="144" w:type="dxa"/>
            </w:tcMar>
            <w:vAlign w:val="center"/>
          </w:tcPr>
          <w:p w14:paraId="25B0340F" w14:textId="77777777" w:rsidR="009B32DB" w:rsidRPr="00582054" w:rsidRDefault="009B32DB" w:rsidP="009B32DB">
            <w:pPr>
              <w:spacing w:after="0"/>
              <w:rPr>
                <w:rFonts w:cs="Times New Roman"/>
                <w:sz w:val="18"/>
                <w:szCs w:val="18"/>
                <w:lang w:eastAsia="fr-FR"/>
              </w:rPr>
            </w:pPr>
            <w:r w:rsidRPr="00582054">
              <w:rPr>
                <w:rFonts w:cs="Times New Roman"/>
                <w:sz w:val="18"/>
                <w:szCs w:val="18"/>
                <w:lang w:eastAsia="fr-FR"/>
              </w:rPr>
              <w:t>Epinephrine µg/L (Range)</w:t>
            </w:r>
          </w:p>
        </w:tc>
        <w:tc>
          <w:tcPr>
            <w:tcW w:w="1235" w:type="pct"/>
            <w:shd w:val="clear" w:color="auto" w:fill="auto"/>
            <w:tcMar>
              <w:top w:w="72" w:type="dxa"/>
              <w:left w:w="144" w:type="dxa"/>
              <w:bottom w:w="72" w:type="dxa"/>
              <w:right w:w="144" w:type="dxa"/>
            </w:tcMar>
            <w:vAlign w:val="center"/>
          </w:tcPr>
          <w:p w14:paraId="73C9F44B" w14:textId="77777777" w:rsidR="009B32DB" w:rsidRPr="00582054" w:rsidRDefault="009B32DB" w:rsidP="009B32DB">
            <w:pPr>
              <w:spacing w:after="0"/>
              <w:jc w:val="center"/>
              <w:rPr>
                <w:rFonts w:cs="Times New Roman"/>
                <w:kern w:val="3"/>
                <w:sz w:val="18"/>
                <w:szCs w:val="18"/>
                <w:highlight w:val="yellow"/>
                <w:lang w:eastAsia="fr-FR"/>
              </w:rPr>
            </w:pPr>
            <w:r w:rsidRPr="00582054">
              <w:rPr>
                <w:rFonts w:cs="Times New Roman"/>
                <w:kern w:val="3"/>
                <w:sz w:val="18"/>
                <w:szCs w:val="18"/>
                <w:lang w:eastAsia="fr-FR"/>
              </w:rPr>
              <w:t>0.035 ± 0.02 (0.00-0.09)</w:t>
            </w:r>
          </w:p>
        </w:tc>
        <w:tc>
          <w:tcPr>
            <w:tcW w:w="1314" w:type="pct"/>
            <w:shd w:val="clear" w:color="auto" w:fill="auto"/>
            <w:tcMar>
              <w:top w:w="72" w:type="dxa"/>
              <w:left w:w="144" w:type="dxa"/>
              <w:bottom w:w="72" w:type="dxa"/>
              <w:right w:w="144" w:type="dxa"/>
            </w:tcMar>
            <w:vAlign w:val="center"/>
          </w:tcPr>
          <w:p w14:paraId="25ADE113" w14:textId="77777777" w:rsidR="009B32DB" w:rsidRPr="00582054" w:rsidRDefault="009B32DB" w:rsidP="009B32DB">
            <w:pPr>
              <w:spacing w:after="0"/>
              <w:jc w:val="center"/>
              <w:rPr>
                <w:rFonts w:eastAsia="SimSun" w:cs="Times New Roman"/>
                <w:kern w:val="3"/>
                <w:sz w:val="18"/>
                <w:szCs w:val="18"/>
                <w:highlight w:val="yellow"/>
                <w:lang w:eastAsia="fr-FR"/>
              </w:rPr>
            </w:pPr>
            <w:r w:rsidRPr="00582054">
              <w:rPr>
                <w:rFonts w:cs="Times New Roman"/>
                <w:kern w:val="3"/>
                <w:sz w:val="18"/>
                <w:szCs w:val="18"/>
                <w:lang w:eastAsia="fr-FR"/>
              </w:rPr>
              <w:t>0.042 ± 0.04 (0.00-0.20)</w:t>
            </w:r>
          </w:p>
        </w:tc>
        <w:tc>
          <w:tcPr>
            <w:tcW w:w="540" w:type="pct"/>
            <w:shd w:val="clear" w:color="auto" w:fill="auto"/>
            <w:tcMar>
              <w:top w:w="72" w:type="dxa"/>
              <w:left w:w="144" w:type="dxa"/>
              <w:bottom w:w="72" w:type="dxa"/>
              <w:right w:w="144" w:type="dxa"/>
            </w:tcMar>
            <w:vAlign w:val="center"/>
          </w:tcPr>
          <w:p w14:paraId="1AA06B40" w14:textId="67730A49" w:rsidR="009B32DB" w:rsidRPr="00582054" w:rsidRDefault="00FC2CD5" w:rsidP="009B32DB">
            <w:pPr>
              <w:spacing w:before="0" w:after="0"/>
              <w:jc w:val="center"/>
              <w:rPr>
                <w:rFonts w:eastAsia="SimSun" w:cs="Times New Roman"/>
                <w:b/>
                <w:kern w:val="3"/>
                <w:sz w:val="18"/>
                <w:szCs w:val="18"/>
                <w:lang w:eastAsia="fr-FR"/>
              </w:rPr>
            </w:pPr>
            <w:r w:rsidRPr="00582054">
              <w:rPr>
                <w:rFonts w:eastAsia="SimSun" w:cs="Times New Roman"/>
                <w:b/>
                <w:kern w:val="3"/>
                <w:sz w:val="18"/>
                <w:szCs w:val="18"/>
                <w:lang w:eastAsia="fr-FR"/>
              </w:rPr>
              <w:t>5.443</w:t>
            </w:r>
          </w:p>
        </w:tc>
        <w:tc>
          <w:tcPr>
            <w:tcW w:w="520" w:type="pct"/>
            <w:vAlign w:val="center"/>
          </w:tcPr>
          <w:p w14:paraId="173F2575" w14:textId="4E905068" w:rsidR="009B32DB" w:rsidRPr="00582054" w:rsidRDefault="00FC2CD5" w:rsidP="009B32DB">
            <w:pPr>
              <w:spacing w:before="0" w:after="0"/>
              <w:jc w:val="center"/>
              <w:rPr>
                <w:rFonts w:eastAsia="SimSun" w:cs="Times New Roman"/>
                <w:b/>
                <w:kern w:val="3"/>
                <w:sz w:val="18"/>
                <w:szCs w:val="18"/>
                <w:lang w:eastAsia="fr-FR"/>
              </w:rPr>
            </w:pPr>
            <w:r w:rsidRPr="00582054">
              <w:rPr>
                <w:rFonts w:eastAsia="SimSun" w:cs="Times New Roman"/>
                <w:b/>
                <w:kern w:val="3"/>
                <w:sz w:val="18"/>
                <w:szCs w:val="18"/>
                <w:lang w:eastAsia="fr-FR"/>
              </w:rPr>
              <w:t>0.021</w:t>
            </w:r>
          </w:p>
        </w:tc>
      </w:tr>
      <w:tr w:rsidR="009B32DB" w:rsidRPr="00582054" w14:paraId="3740478C" w14:textId="77777777" w:rsidTr="008D4AF7">
        <w:trPr>
          <w:trHeight w:val="248"/>
        </w:trPr>
        <w:tc>
          <w:tcPr>
            <w:tcW w:w="1391" w:type="pct"/>
            <w:shd w:val="clear" w:color="auto" w:fill="auto"/>
            <w:tcMar>
              <w:top w:w="72" w:type="dxa"/>
              <w:left w:w="144" w:type="dxa"/>
              <w:bottom w:w="72" w:type="dxa"/>
              <w:right w:w="144" w:type="dxa"/>
            </w:tcMar>
            <w:vAlign w:val="center"/>
          </w:tcPr>
          <w:p w14:paraId="6E530E25" w14:textId="77777777" w:rsidR="009B32DB" w:rsidRPr="00582054" w:rsidRDefault="009B32DB" w:rsidP="009B32DB">
            <w:pPr>
              <w:spacing w:after="0"/>
              <w:rPr>
                <w:rFonts w:cs="Times New Roman"/>
                <w:sz w:val="18"/>
                <w:szCs w:val="18"/>
                <w:lang w:eastAsia="fr-FR"/>
              </w:rPr>
            </w:pPr>
            <w:r w:rsidRPr="00582054">
              <w:rPr>
                <w:rFonts w:cs="Times New Roman"/>
                <w:sz w:val="18"/>
                <w:szCs w:val="18"/>
                <w:lang w:eastAsia="fr-FR"/>
              </w:rPr>
              <w:t>Norepinephrine µg/L (Range)</w:t>
            </w:r>
          </w:p>
        </w:tc>
        <w:tc>
          <w:tcPr>
            <w:tcW w:w="1235" w:type="pct"/>
            <w:shd w:val="clear" w:color="auto" w:fill="auto"/>
            <w:tcMar>
              <w:top w:w="72" w:type="dxa"/>
              <w:left w:w="144" w:type="dxa"/>
              <w:bottom w:w="72" w:type="dxa"/>
              <w:right w:w="144" w:type="dxa"/>
            </w:tcMar>
            <w:vAlign w:val="center"/>
          </w:tcPr>
          <w:p w14:paraId="035280AE" w14:textId="77777777" w:rsidR="009B32DB" w:rsidRPr="00582054" w:rsidRDefault="009B32DB" w:rsidP="009B32DB">
            <w:pPr>
              <w:spacing w:after="0"/>
              <w:jc w:val="center"/>
              <w:rPr>
                <w:rFonts w:cs="Times New Roman"/>
                <w:kern w:val="3"/>
                <w:sz w:val="18"/>
                <w:szCs w:val="18"/>
                <w:lang w:eastAsia="fr-FR"/>
              </w:rPr>
            </w:pPr>
            <w:r w:rsidRPr="00582054">
              <w:rPr>
                <w:rFonts w:cs="Times New Roman"/>
                <w:kern w:val="3"/>
                <w:sz w:val="18"/>
                <w:szCs w:val="18"/>
                <w:lang w:eastAsia="fr-FR"/>
              </w:rPr>
              <w:t>0.56 ± 0.21 (0.24-1.24)</w:t>
            </w:r>
          </w:p>
        </w:tc>
        <w:tc>
          <w:tcPr>
            <w:tcW w:w="1314" w:type="pct"/>
            <w:shd w:val="clear" w:color="auto" w:fill="auto"/>
            <w:tcMar>
              <w:top w:w="72" w:type="dxa"/>
              <w:left w:w="144" w:type="dxa"/>
              <w:bottom w:w="72" w:type="dxa"/>
              <w:right w:w="144" w:type="dxa"/>
            </w:tcMar>
            <w:vAlign w:val="center"/>
          </w:tcPr>
          <w:p w14:paraId="0F1F4198" w14:textId="77777777" w:rsidR="009B32DB" w:rsidRPr="00582054" w:rsidRDefault="009B32DB" w:rsidP="009B32DB">
            <w:pPr>
              <w:spacing w:after="0"/>
              <w:jc w:val="center"/>
              <w:rPr>
                <w:rFonts w:eastAsia="SimSun" w:cs="Times New Roman"/>
                <w:b/>
                <w:kern w:val="3"/>
                <w:sz w:val="18"/>
                <w:szCs w:val="18"/>
                <w:lang w:eastAsia="fr-FR"/>
              </w:rPr>
            </w:pPr>
            <w:r w:rsidRPr="00582054">
              <w:rPr>
                <w:rFonts w:cs="Times New Roman"/>
                <w:kern w:val="3"/>
                <w:sz w:val="18"/>
                <w:szCs w:val="18"/>
                <w:lang w:eastAsia="fr-FR"/>
              </w:rPr>
              <w:t>0.60 ± 0.23 (0.22-1.21)</w:t>
            </w:r>
          </w:p>
        </w:tc>
        <w:tc>
          <w:tcPr>
            <w:tcW w:w="540" w:type="pct"/>
            <w:shd w:val="clear" w:color="auto" w:fill="auto"/>
            <w:tcMar>
              <w:top w:w="72" w:type="dxa"/>
              <w:left w:w="144" w:type="dxa"/>
              <w:bottom w:w="72" w:type="dxa"/>
              <w:right w:w="144" w:type="dxa"/>
            </w:tcMar>
            <w:vAlign w:val="center"/>
          </w:tcPr>
          <w:p w14:paraId="3D242868" w14:textId="3B5F3712" w:rsidR="009B32DB" w:rsidRPr="00582054" w:rsidRDefault="00FC2CD5" w:rsidP="009B32DB">
            <w:pPr>
              <w:spacing w:before="0" w:after="0"/>
              <w:jc w:val="center"/>
              <w:rPr>
                <w:rFonts w:eastAsia="SimSun" w:cs="Times New Roman"/>
                <w:kern w:val="3"/>
                <w:sz w:val="18"/>
                <w:szCs w:val="18"/>
                <w:lang w:eastAsia="fr-FR"/>
              </w:rPr>
            </w:pPr>
            <w:r w:rsidRPr="00582054">
              <w:rPr>
                <w:rFonts w:eastAsia="SimSun" w:cs="Times New Roman"/>
                <w:kern w:val="3"/>
                <w:sz w:val="18"/>
                <w:szCs w:val="18"/>
                <w:lang w:eastAsia="fr-FR"/>
              </w:rPr>
              <w:t>0.971</w:t>
            </w:r>
          </w:p>
        </w:tc>
        <w:tc>
          <w:tcPr>
            <w:tcW w:w="520" w:type="pct"/>
            <w:vAlign w:val="center"/>
          </w:tcPr>
          <w:p w14:paraId="2F2EF380" w14:textId="3F4B254A" w:rsidR="009B32DB" w:rsidRPr="00582054" w:rsidRDefault="00FC2CD5" w:rsidP="009B32DB">
            <w:pPr>
              <w:spacing w:before="0" w:after="0"/>
              <w:jc w:val="center"/>
              <w:rPr>
                <w:rFonts w:eastAsia="SimSun" w:cs="Times New Roman"/>
                <w:kern w:val="3"/>
                <w:sz w:val="18"/>
                <w:szCs w:val="18"/>
                <w:lang w:eastAsia="fr-FR"/>
              </w:rPr>
            </w:pPr>
            <w:r w:rsidRPr="00582054">
              <w:rPr>
                <w:rFonts w:eastAsia="SimSun" w:cs="Times New Roman"/>
                <w:kern w:val="3"/>
                <w:sz w:val="18"/>
                <w:szCs w:val="18"/>
                <w:lang w:eastAsia="fr-FR"/>
              </w:rPr>
              <w:t>0.327</w:t>
            </w:r>
          </w:p>
        </w:tc>
      </w:tr>
      <w:tr w:rsidR="009B32DB" w:rsidRPr="00582054" w14:paraId="5D5667AD" w14:textId="77777777" w:rsidTr="008D4AF7">
        <w:trPr>
          <w:trHeight w:val="166"/>
        </w:trPr>
        <w:tc>
          <w:tcPr>
            <w:tcW w:w="1391" w:type="pct"/>
            <w:tcBorders>
              <w:bottom w:val="single" w:sz="4" w:space="0" w:color="auto"/>
            </w:tcBorders>
            <w:shd w:val="clear" w:color="auto" w:fill="auto"/>
            <w:tcMar>
              <w:top w:w="72" w:type="dxa"/>
              <w:left w:w="144" w:type="dxa"/>
              <w:bottom w:w="72" w:type="dxa"/>
              <w:right w:w="144" w:type="dxa"/>
            </w:tcMar>
            <w:vAlign w:val="center"/>
          </w:tcPr>
          <w:p w14:paraId="38059BBA" w14:textId="77777777" w:rsidR="009B32DB" w:rsidRPr="00582054" w:rsidRDefault="009B32DB" w:rsidP="009B32DB">
            <w:pPr>
              <w:spacing w:after="0"/>
              <w:rPr>
                <w:rFonts w:cs="Times New Roman"/>
                <w:sz w:val="18"/>
                <w:szCs w:val="18"/>
                <w:lang w:eastAsia="fr-FR"/>
              </w:rPr>
            </w:pPr>
            <w:r w:rsidRPr="00582054">
              <w:rPr>
                <w:rFonts w:cs="Times New Roman"/>
                <w:sz w:val="18"/>
                <w:szCs w:val="18"/>
                <w:lang w:eastAsia="fr-FR"/>
              </w:rPr>
              <w:t>Cortisol nmol/L (Range)</w:t>
            </w:r>
          </w:p>
        </w:tc>
        <w:tc>
          <w:tcPr>
            <w:tcW w:w="1235" w:type="pct"/>
            <w:tcBorders>
              <w:bottom w:val="single" w:sz="4" w:space="0" w:color="auto"/>
            </w:tcBorders>
            <w:shd w:val="clear" w:color="auto" w:fill="auto"/>
            <w:tcMar>
              <w:top w:w="72" w:type="dxa"/>
              <w:left w:w="144" w:type="dxa"/>
              <w:bottom w:w="72" w:type="dxa"/>
              <w:right w:w="144" w:type="dxa"/>
            </w:tcMar>
            <w:vAlign w:val="center"/>
          </w:tcPr>
          <w:p w14:paraId="4A340E8E" w14:textId="77777777" w:rsidR="009B32DB" w:rsidRPr="00582054" w:rsidRDefault="009B32DB" w:rsidP="009B32DB">
            <w:pPr>
              <w:spacing w:after="0"/>
              <w:jc w:val="center"/>
              <w:rPr>
                <w:rFonts w:cs="Times New Roman"/>
                <w:kern w:val="3"/>
                <w:sz w:val="18"/>
                <w:szCs w:val="18"/>
                <w:lang w:eastAsia="fr-FR"/>
              </w:rPr>
            </w:pPr>
            <w:r w:rsidRPr="00582054">
              <w:rPr>
                <w:rFonts w:cs="Times New Roman"/>
                <w:kern w:val="3"/>
                <w:sz w:val="18"/>
                <w:szCs w:val="18"/>
                <w:lang w:eastAsia="fr-FR"/>
              </w:rPr>
              <w:t>430.64 ± 96.01 (220-633)</w:t>
            </w:r>
          </w:p>
        </w:tc>
        <w:tc>
          <w:tcPr>
            <w:tcW w:w="1314" w:type="pct"/>
            <w:tcBorders>
              <w:bottom w:val="single" w:sz="4" w:space="0" w:color="auto"/>
            </w:tcBorders>
            <w:shd w:val="clear" w:color="auto" w:fill="auto"/>
            <w:tcMar>
              <w:top w:w="72" w:type="dxa"/>
              <w:left w:w="144" w:type="dxa"/>
              <w:bottom w:w="72" w:type="dxa"/>
              <w:right w:w="144" w:type="dxa"/>
            </w:tcMar>
            <w:vAlign w:val="center"/>
          </w:tcPr>
          <w:p w14:paraId="4A1F2B36" w14:textId="77777777" w:rsidR="009B32DB" w:rsidRPr="00582054" w:rsidRDefault="009B32DB" w:rsidP="009B32DB">
            <w:pPr>
              <w:spacing w:after="0"/>
              <w:jc w:val="center"/>
              <w:rPr>
                <w:rFonts w:cs="Times New Roman"/>
                <w:kern w:val="3"/>
                <w:sz w:val="18"/>
                <w:szCs w:val="18"/>
                <w:lang w:eastAsia="fr-FR"/>
              </w:rPr>
            </w:pPr>
            <w:r w:rsidRPr="00582054">
              <w:rPr>
                <w:rFonts w:cs="Times New Roman"/>
                <w:kern w:val="3"/>
                <w:sz w:val="18"/>
                <w:szCs w:val="18"/>
                <w:lang w:eastAsia="fr-FR"/>
              </w:rPr>
              <w:t>443.33 ± 109.66 (192-736)</w:t>
            </w:r>
          </w:p>
        </w:tc>
        <w:tc>
          <w:tcPr>
            <w:tcW w:w="540" w:type="pct"/>
            <w:tcBorders>
              <w:bottom w:val="single" w:sz="4" w:space="0" w:color="auto"/>
            </w:tcBorders>
            <w:shd w:val="clear" w:color="auto" w:fill="auto"/>
            <w:tcMar>
              <w:top w:w="72" w:type="dxa"/>
              <w:left w:w="144" w:type="dxa"/>
              <w:bottom w:w="72" w:type="dxa"/>
              <w:right w:w="144" w:type="dxa"/>
            </w:tcMar>
            <w:vAlign w:val="center"/>
          </w:tcPr>
          <w:p w14:paraId="28C9975A" w14:textId="457BA285" w:rsidR="009B32DB" w:rsidRPr="00582054" w:rsidRDefault="00FC2CD5" w:rsidP="009B32DB">
            <w:pPr>
              <w:spacing w:before="0" w:after="0"/>
              <w:jc w:val="center"/>
              <w:rPr>
                <w:rFonts w:eastAsia="SimSun" w:cs="Times New Roman"/>
                <w:kern w:val="3"/>
                <w:sz w:val="18"/>
                <w:szCs w:val="18"/>
                <w:lang w:eastAsia="fr-FR"/>
              </w:rPr>
            </w:pPr>
            <w:r w:rsidRPr="00582054">
              <w:rPr>
                <w:rFonts w:eastAsia="SimSun" w:cs="Times New Roman"/>
                <w:kern w:val="3"/>
                <w:sz w:val="18"/>
                <w:szCs w:val="18"/>
                <w:lang w:eastAsia="fr-FR"/>
              </w:rPr>
              <w:t>0.110</w:t>
            </w:r>
          </w:p>
        </w:tc>
        <w:tc>
          <w:tcPr>
            <w:tcW w:w="520" w:type="pct"/>
            <w:tcBorders>
              <w:bottom w:val="single" w:sz="4" w:space="0" w:color="auto"/>
            </w:tcBorders>
            <w:vAlign w:val="center"/>
          </w:tcPr>
          <w:p w14:paraId="58C01E47" w14:textId="1964CA3F" w:rsidR="009B32DB" w:rsidRPr="00582054" w:rsidRDefault="00FC2CD5" w:rsidP="009B32DB">
            <w:pPr>
              <w:spacing w:before="0" w:after="0"/>
              <w:jc w:val="center"/>
              <w:rPr>
                <w:rFonts w:eastAsia="SimSun" w:cs="Times New Roman"/>
                <w:kern w:val="3"/>
                <w:sz w:val="18"/>
                <w:szCs w:val="18"/>
                <w:lang w:eastAsia="fr-FR"/>
              </w:rPr>
            </w:pPr>
            <w:r w:rsidRPr="00582054">
              <w:rPr>
                <w:rFonts w:eastAsia="SimSun" w:cs="Times New Roman"/>
                <w:kern w:val="3"/>
                <w:sz w:val="18"/>
                <w:szCs w:val="18"/>
                <w:lang w:eastAsia="fr-FR"/>
              </w:rPr>
              <w:t>0.740</w:t>
            </w:r>
          </w:p>
        </w:tc>
      </w:tr>
    </w:tbl>
    <w:p w14:paraId="229954D9" w14:textId="34C73F92" w:rsidR="00D70F6A" w:rsidRPr="00582054" w:rsidRDefault="008D4AF7" w:rsidP="00D70F6A">
      <w:r w:rsidRPr="00582054">
        <w:t>Data are presented as mean ± standard deviation of participants. Between-group differences were assessed using ANCOVA</w:t>
      </w:r>
      <w:r w:rsidR="00E45155" w:rsidRPr="00582054">
        <w:t>s</w:t>
      </w:r>
      <w:r w:rsidRPr="00582054">
        <w:t xml:space="preserve"> </w:t>
      </w:r>
      <w:r w:rsidR="00D70F6A" w:rsidRPr="00582054">
        <w:t xml:space="preserve">adjusted for age, sex, education, anxiety symptoms, as well as for </w:t>
      </w:r>
      <w:r w:rsidR="00291E48" w:rsidRPr="00582054">
        <w:t>body mass index, systolic blood pressure, diastolic blood pressure, cardiovascular, hypoglycemic, cholesterol-lowering and anti-inflammatory treatments</w:t>
      </w:r>
      <w:r w:rsidR="007C4A03" w:rsidRPr="00582054">
        <w:t>, and number of past depressive episodes</w:t>
      </w:r>
      <w:r w:rsidR="00D70F6A" w:rsidRPr="00582054">
        <w:t>.</w:t>
      </w:r>
      <w:r w:rsidRPr="00582054">
        <w:t xml:space="preserve"> Values in bold correspond to significant p-values (p&lt;0.05). </w:t>
      </w:r>
      <w:r w:rsidR="001761EB" w:rsidRPr="00582054">
        <w:t>N</w:t>
      </w:r>
      <w:r w:rsidR="00AE6F23" w:rsidRPr="00582054">
        <w:t>,</w:t>
      </w:r>
      <w:r w:rsidR="001761EB" w:rsidRPr="00582054">
        <w:t xml:space="preserve"> Sample </w:t>
      </w:r>
      <w:r w:rsidR="00AE6F23" w:rsidRPr="00582054">
        <w:t>size</w:t>
      </w:r>
      <w:r w:rsidR="00152E35" w:rsidRPr="00582054">
        <w:t>;</w:t>
      </w:r>
      <w:r w:rsidR="00D70F6A" w:rsidRPr="00582054">
        <w:t xml:space="preserve"> </w:t>
      </w:r>
      <w:proofErr w:type="spellStart"/>
      <w:r w:rsidR="00D70F6A" w:rsidRPr="00582054">
        <w:rPr>
          <w:lang w:eastAsia="en-GB"/>
        </w:rPr>
        <w:t>NoDepS</w:t>
      </w:r>
      <w:proofErr w:type="spellEnd"/>
      <w:r w:rsidR="00152E35" w:rsidRPr="00582054">
        <w:rPr>
          <w:lang w:eastAsia="en-GB"/>
        </w:rPr>
        <w:t>,</w:t>
      </w:r>
      <w:r w:rsidR="00D70F6A" w:rsidRPr="00582054">
        <w:rPr>
          <w:lang w:eastAsia="en-GB"/>
        </w:rPr>
        <w:t xml:space="preserve"> Group without depressive symptoms</w:t>
      </w:r>
      <w:r w:rsidR="00152E35" w:rsidRPr="00582054">
        <w:rPr>
          <w:lang w:eastAsia="en-GB"/>
        </w:rPr>
        <w:t>;</w:t>
      </w:r>
      <w:r w:rsidR="00D70F6A" w:rsidRPr="00582054">
        <w:rPr>
          <w:lang w:eastAsia="en-GB"/>
        </w:rPr>
        <w:t xml:space="preserve"> </w:t>
      </w:r>
      <w:proofErr w:type="spellStart"/>
      <w:r w:rsidR="00D70F6A" w:rsidRPr="00582054">
        <w:rPr>
          <w:lang w:eastAsia="en-GB"/>
        </w:rPr>
        <w:t>DepS</w:t>
      </w:r>
      <w:proofErr w:type="spellEnd"/>
      <w:r w:rsidR="00152E35" w:rsidRPr="00582054">
        <w:rPr>
          <w:lang w:eastAsia="en-GB"/>
        </w:rPr>
        <w:t>,</w:t>
      </w:r>
      <w:r w:rsidR="00D70F6A" w:rsidRPr="00582054">
        <w:rPr>
          <w:lang w:eastAsia="en-GB"/>
        </w:rPr>
        <w:t xml:space="preserve"> Group with subclinical depressive symptoms.</w:t>
      </w:r>
    </w:p>
    <w:p w14:paraId="6F58CC7D" w14:textId="705CD02B" w:rsidR="00270B50" w:rsidRPr="00582054" w:rsidRDefault="00270B50" w:rsidP="003E022B">
      <w:r w:rsidRPr="00582054">
        <w:rPr>
          <w:b/>
        </w:rPr>
        <w:t>Supplementary Table 2.</w:t>
      </w:r>
      <w:r w:rsidRPr="00582054">
        <w:t xml:space="preserve"> Intra-group associations between epinephrine and</w:t>
      </w:r>
      <w:r w:rsidR="0036172E" w:rsidRPr="00582054">
        <w:t xml:space="preserve"> resting</w:t>
      </w:r>
      <w:r w:rsidR="008E2543" w:rsidRPr="00582054">
        <w:t>-</w:t>
      </w:r>
      <w:r w:rsidR="0036172E" w:rsidRPr="00582054">
        <w:t>state</w:t>
      </w:r>
      <w:r w:rsidRPr="00582054">
        <w:t xml:space="preserve"> functional connectivity, as well as hypothalamic and hippocampal gray matter volumes.</w:t>
      </w:r>
    </w:p>
    <w:tbl>
      <w:tblPr>
        <w:tblW w:w="5060" w:type="pct"/>
        <w:tblLayout w:type="fixed"/>
        <w:tblCellMar>
          <w:left w:w="0" w:type="dxa"/>
          <w:right w:w="0" w:type="dxa"/>
        </w:tblCellMar>
        <w:tblLook w:val="0420" w:firstRow="1" w:lastRow="0" w:firstColumn="0" w:lastColumn="0" w:noHBand="0" w:noVBand="1"/>
      </w:tblPr>
      <w:tblGrid>
        <w:gridCol w:w="3970"/>
        <w:gridCol w:w="1557"/>
        <w:gridCol w:w="2080"/>
        <w:gridCol w:w="1574"/>
      </w:tblGrid>
      <w:tr w:rsidR="00270B50" w:rsidRPr="00582054" w14:paraId="1D67ABCD" w14:textId="77777777" w:rsidTr="001144B9">
        <w:trPr>
          <w:trHeight w:val="587"/>
        </w:trPr>
        <w:tc>
          <w:tcPr>
            <w:tcW w:w="2162" w:type="pct"/>
            <w:tcBorders>
              <w:top w:val="single" w:sz="4" w:space="0" w:color="auto"/>
              <w:bottom w:val="single" w:sz="4" w:space="0" w:color="auto"/>
            </w:tcBorders>
            <w:shd w:val="clear" w:color="auto" w:fill="FFFFFF"/>
            <w:tcMar>
              <w:top w:w="72" w:type="dxa"/>
              <w:left w:w="144" w:type="dxa"/>
              <w:bottom w:w="72" w:type="dxa"/>
              <w:right w:w="144" w:type="dxa"/>
            </w:tcMar>
            <w:vAlign w:val="center"/>
            <w:hideMark/>
          </w:tcPr>
          <w:p w14:paraId="56D4488A" w14:textId="77777777" w:rsidR="00270B50" w:rsidRPr="00582054" w:rsidRDefault="00270B50" w:rsidP="00270B50">
            <w:pPr>
              <w:spacing w:before="0" w:after="0"/>
              <w:rPr>
                <w:rFonts w:cs="Times New Roman"/>
                <w:b/>
                <w:sz w:val="18"/>
                <w:szCs w:val="18"/>
                <w:lang w:eastAsia="fr-FR"/>
              </w:rPr>
            </w:pPr>
            <w:r w:rsidRPr="00582054">
              <w:rPr>
                <w:rFonts w:cs="Times New Roman"/>
                <w:b/>
                <w:sz w:val="18"/>
                <w:szCs w:val="18"/>
                <w:lang w:eastAsia="fr-FR"/>
              </w:rPr>
              <w:t xml:space="preserve">Pearson’s Partial Correlations </w:t>
            </w:r>
          </w:p>
          <w:p w14:paraId="28EFB72B" w14:textId="5B710A27" w:rsidR="00270B50" w:rsidRPr="00582054" w:rsidRDefault="00270B50" w:rsidP="00270B50">
            <w:pPr>
              <w:spacing w:before="0" w:after="0"/>
              <w:rPr>
                <w:rFonts w:cs="Times New Roman"/>
                <w:b/>
                <w:sz w:val="18"/>
                <w:szCs w:val="18"/>
                <w:lang w:eastAsia="fr-FR"/>
              </w:rPr>
            </w:pPr>
            <w:r w:rsidRPr="00582054">
              <w:rPr>
                <w:rFonts w:cs="Times New Roman"/>
                <w:b/>
                <w:sz w:val="18"/>
                <w:szCs w:val="18"/>
                <w:lang w:eastAsia="fr-FR"/>
              </w:rPr>
              <w:t>with Plasma Epinephrine</w:t>
            </w:r>
          </w:p>
          <w:p w14:paraId="0F52A8B8" w14:textId="77777777" w:rsidR="00270B50" w:rsidRPr="00582054" w:rsidRDefault="00270B50" w:rsidP="00270B50">
            <w:pPr>
              <w:spacing w:before="0" w:after="0"/>
              <w:rPr>
                <w:rFonts w:cs="Times New Roman"/>
                <w:b/>
                <w:sz w:val="18"/>
                <w:szCs w:val="18"/>
                <w:lang w:eastAsia="fr-FR"/>
              </w:rPr>
            </w:pPr>
            <w:r w:rsidRPr="00582054">
              <w:rPr>
                <w:rFonts w:cs="Times New Roman"/>
                <w:b/>
                <w:sz w:val="18"/>
                <w:szCs w:val="18"/>
                <w:lang w:eastAsia="fr-FR"/>
              </w:rPr>
              <w:t>r (p)</w:t>
            </w:r>
          </w:p>
        </w:tc>
        <w:tc>
          <w:tcPr>
            <w:tcW w:w="848"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711F41E1" w14:textId="77777777" w:rsidR="00270B50" w:rsidRPr="00582054" w:rsidRDefault="00270B50" w:rsidP="00270B50">
            <w:pPr>
              <w:spacing w:before="0" w:after="0"/>
              <w:jc w:val="center"/>
              <w:rPr>
                <w:rFonts w:cs="Times New Roman"/>
                <w:b/>
                <w:sz w:val="18"/>
                <w:szCs w:val="18"/>
                <w:lang w:eastAsia="fr-FR"/>
              </w:rPr>
            </w:pPr>
            <w:proofErr w:type="spellStart"/>
            <w:r w:rsidRPr="00582054">
              <w:rPr>
                <w:rFonts w:cs="Times New Roman"/>
                <w:b/>
                <w:sz w:val="18"/>
                <w:szCs w:val="18"/>
                <w:lang w:eastAsia="fr-FR"/>
              </w:rPr>
              <w:t>NoDepS</w:t>
            </w:r>
            <w:proofErr w:type="spellEnd"/>
            <w:r w:rsidRPr="00582054">
              <w:rPr>
                <w:rFonts w:cs="Times New Roman"/>
                <w:b/>
                <w:sz w:val="18"/>
                <w:szCs w:val="18"/>
                <w:lang w:eastAsia="fr-FR"/>
              </w:rPr>
              <w:t xml:space="preserve"> Group</w:t>
            </w:r>
          </w:p>
          <w:p w14:paraId="572F46EE" w14:textId="77777777" w:rsidR="00270B50" w:rsidRPr="00582054" w:rsidRDefault="00270B50" w:rsidP="00270B50">
            <w:pPr>
              <w:spacing w:before="0" w:after="0"/>
              <w:jc w:val="center"/>
              <w:rPr>
                <w:rFonts w:cs="Times New Roman"/>
                <w:b/>
                <w:sz w:val="18"/>
                <w:szCs w:val="18"/>
                <w:lang w:eastAsia="fr-FR"/>
              </w:rPr>
            </w:pPr>
          </w:p>
          <w:p w14:paraId="4BC0EB68" w14:textId="77777777" w:rsidR="00270B50" w:rsidRPr="00582054" w:rsidRDefault="00270B50" w:rsidP="00270B50">
            <w:pPr>
              <w:spacing w:before="0" w:after="0"/>
              <w:jc w:val="center"/>
              <w:rPr>
                <w:rFonts w:cs="Times New Roman"/>
                <w:b/>
                <w:sz w:val="18"/>
                <w:szCs w:val="18"/>
                <w:lang w:eastAsia="fr-FR"/>
              </w:rPr>
            </w:pPr>
          </w:p>
        </w:tc>
        <w:tc>
          <w:tcPr>
            <w:tcW w:w="1133"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4313D18B" w14:textId="77777777" w:rsidR="00270B50" w:rsidRPr="00582054" w:rsidRDefault="00270B50" w:rsidP="00270B50">
            <w:pPr>
              <w:spacing w:before="0" w:after="0"/>
              <w:jc w:val="center"/>
              <w:rPr>
                <w:rFonts w:cs="Times New Roman"/>
                <w:b/>
                <w:sz w:val="18"/>
                <w:szCs w:val="18"/>
                <w:lang w:eastAsia="fr-FR"/>
              </w:rPr>
            </w:pPr>
            <w:proofErr w:type="spellStart"/>
            <w:r w:rsidRPr="00582054">
              <w:rPr>
                <w:rFonts w:cs="Times New Roman"/>
                <w:b/>
                <w:sz w:val="18"/>
                <w:szCs w:val="18"/>
                <w:lang w:eastAsia="fr-FR"/>
              </w:rPr>
              <w:t>DepS</w:t>
            </w:r>
            <w:proofErr w:type="spellEnd"/>
            <w:r w:rsidRPr="00582054">
              <w:rPr>
                <w:rFonts w:cs="Times New Roman"/>
                <w:b/>
                <w:sz w:val="18"/>
                <w:szCs w:val="18"/>
                <w:lang w:eastAsia="fr-FR"/>
              </w:rPr>
              <w:t xml:space="preserve"> Group</w:t>
            </w:r>
          </w:p>
          <w:p w14:paraId="6A5A9663" w14:textId="77777777" w:rsidR="00270B50" w:rsidRPr="00582054" w:rsidRDefault="00270B50" w:rsidP="00270B50">
            <w:pPr>
              <w:spacing w:before="0" w:after="0"/>
              <w:jc w:val="center"/>
              <w:rPr>
                <w:rFonts w:cs="Times New Roman"/>
                <w:b/>
                <w:sz w:val="18"/>
                <w:szCs w:val="18"/>
                <w:lang w:eastAsia="fr-FR"/>
              </w:rPr>
            </w:pPr>
          </w:p>
          <w:p w14:paraId="30484C73" w14:textId="77777777" w:rsidR="00270B50" w:rsidRPr="00582054" w:rsidRDefault="00270B50" w:rsidP="00270B50">
            <w:pPr>
              <w:spacing w:before="0" w:after="0"/>
              <w:jc w:val="center"/>
              <w:rPr>
                <w:rFonts w:cs="Times New Roman"/>
                <w:b/>
                <w:sz w:val="18"/>
                <w:szCs w:val="18"/>
                <w:lang w:eastAsia="fr-FR"/>
              </w:rPr>
            </w:pPr>
          </w:p>
        </w:tc>
        <w:tc>
          <w:tcPr>
            <w:tcW w:w="858"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6982C6E5" w14:textId="3ED3B66C" w:rsidR="00270B50" w:rsidRPr="00582054" w:rsidRDefault="004A3709" w:rsidP="00270B50">
            <w:pPr>
              <w:spacing w:before="0" w:after="0"/>
              <w:jc w:val="center"/>
              <w:rPr>
                <w:rFonts w:cs="Times New Roman"/>
                <w:b/>
                <w:sz w:val="18"/>
                <w:szCs w:val="18"/>
                <w:lang w:eastAsia="fr-FR"/>
              </w:rPr>
            </w:pPr>
            <w:r w:rsidRPr="00582054">
              <w:rPr>
                <w:rFonts w:cs="Times New Roman"/>
                <w:b/>
                <w:sz w:val="18"/>
                <w:szCs w:val="18"/>
                <w:lang w:eastAsia="fr-FR"/>
              </w:rPr>
              <w:t>Entire Sample</w:t>
            </w:r>
          </w:p>
          <w:p w14:paraId="5915338E" w14:textId="77777777" w:rsidR="00270B50" w:rsidRPr="00582054" w:rsidRDefault="00270B50" w:rsidP="00270B50">
            <w:pPr>
              <w:spacing w:before="0" w:after="0"/>
              <w:jc w:val="center"/>
              <w:rPr>
                <w:rFonts w:cs="Times New Roman"/>
                <w:b/>
                <w:sz w:val="18"/>
                <w:szCs w:val="18"/>
                <w:lang w:eastAsia="fr-FR"/>
              </w:rPr>
            </w:pPr>
          </w:p>
        </w:tc>
      </w:tr>
      <w:tr w:rsidR="00270B50" w:rsidRPr="00582054" w14:paraId="1712B0B5" w14:textId="77777777" w:rsidTr="001144B9">
        <w:trPr>
          <w:trHeight w:val="23"/>
        </w:trPr>
        <w:tc>
          <w:tcPr>
            <w:tcW w:w="2162"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2D368974" w14:textId="59BA3600" w:rsidR="00270B50" w:rsidRPr="00582054" w:rsidRDefault="00270B50" w:rsidP="00270B50">
            <w:pPr>
              <w:spacing w:before="0" w:after="0"/>
              <w:rPr>
                <w:rFonts w:cs="Times New Roman"/>
                <w:b/>
                <w:sz w:val="18"/>
                <w:szCs w:val="18"/>
                <w:lang w:eastAsia="fr-FR"/>
              </w:rPr>
            </w:pPr>
            <w:r w:rsidRPr="00582054">
              <w:rPr>
                <w:rFonts w:cs="Times New Roman"/>
                <w:b/>
                <w:sz w:val="18"/>
                <w:szCs w:val="18"/>
                <w:lang w:eastAsia="fr-FR"/>
              </w:rPr>
              <w:t>Resting</w:t>
            </w:r>
            <w:r w:rsidR="008E2543" w:rsidRPr="00582054">
              <w:rPr>
                <w:rFonts w:cs="Times New Roman"/>
                <w:b/>
                <w:sz w:val="18"/>
                <w:szCs w:val="18"/>
                <w:lang w:eastAsia="fr-FR"/>
              </w:rPr>
              <w:t>-</w:t>
            </w:r>
            <w:r w:rsidRPr="00582054">
              <w:rPr>
                <w:rFonts w:cs="Times New Roman"/>
                <w:b/>
                <w:sz w:val="18"/>
                <w:szCs w:val="18"/>
                <w:lang w:eastAsia="fr-FR"/>
              </w:rPr>
              <w:t>State Functional Connectivity (R value)</w:t>
            </w:r>
          </w:p>
        </w:tc>
        <w:tc>
          <w:tcPr>
            <w:tcW w:w="848"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2043E08A" w14:textId="77777777" w:rsidR="00270B50" w:rsidRPr="00582054" w:rsidRDefault="00270B50" w:rsidP="00270B50">
            <w:pPr>
              <w:spacing w:before="0" w:after="0"/>
              <w:jc w:val="center"/>
              <w:rPr>
                <w:rFonts w:cs="Times New Roman"/>
                <w:kern w:val="3"/>
                <w:sz w:val="18"/>
                <w:szCs w:val="18"/>
                <w:highlight w:val="yellow"/>
                <w:lang w:eastAsia="fr-FR"/>
              </w:rPr>
            </w:pPr>
            <w:r w:rsidRPr="00582054">
              <w:rPr>
                <w:rFonts w:cs="Times New Roman"/>
                <w:b/>
                <w:sz w:val="18"/>
                <w:szCs w:val="18"/>
                <w:lang w:eastAsia="fr-FR"/>
              </w:rPr>
              <w:t>(n=53)</w:t>
            </w:r>
          </w:p>
        </w:tc>
        <w:tc>
          <w:tcPr>
            <w:tcW w:w="1133"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6709C6DA" w14:textId="77777777" w:rsidR="00270B50" w:rsidRPr="00582054" w:rsidRDefault="00270B50" w:rsidP="00270B50">
            <w:pPr>
              <w:spacing w:before="0" w:after="0"/>
              <w:jc w:val="center"/>
              <w:rPr>
                <w:rFonts w:eastAsia="SimSun" w:cs="Times New Roman"/>
                <w:kern w:val="3"/>
                <w:sz w:val="18"/>
                <w:szCs w:val="18"/>
                <w:highlight w:val="yellow"/>
                <w:lang w:eastAsia="fr-FR"/>
              </w:rPr>
            </w:pPr>
            <w:r w:rsidRPr="00582054">
              <w:rPr>
                <w:rFonts w:cs="Times New Roman"/>
                <w:b/>
                <w:sz w:val="18"/>
                <w:szCs w:val="18"/>
                <w:lang w:eastAsia="fr-FR"/>
              </w:rPr>
              <w:t>(n=70)</w:t>
            </w:r>
          </w:p>
        </w:tc>
        <w:tc>
          <w:tcPr>
            <w:tcW w:w="858"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7D1E864A" w14:textId="77777777" w:rsidR="00270B50" w:rsidRPr="00582054" w:rsidRDefault="00270B50" w:rsidP="00270B50">
            <w:pPr>
              <w:spacing w:before="0" w:after="0"/>
              <w:jc w:val="center"/>
              <w:rPr>
                <w:rFonts w:eastAsia="SimSun" w:cs="Times New Roman"/>
                <w:b/>
                <w:kern w:val="3"/>
                <w:sz w:val="18"/>
                <w:szCs w:val="18"/>
                <w:highlight w:val="yellow"/>
                <w:lang w:eastAsia="fr-FR"/>
              </w:rPr>
            </w:pPr>
            <w:r w:rsidRPr="00582054">
              <w:rPr>
                <w:rFonts w:cs="Times New Roman"/>
                <w:b/>
                <w:sz w:val="18"/>
                <w:szCs w:val="18"/>
                <w:lang w:eastAsia="fr-FR"/>
              </w:rPr>
              <w:t>(n=123)</w:t>
            </w:r>
          </w:p>
        </w:tc>
      </w:tr>
      <w:tr w:rsidR="00270B50" w:rsidRPr="00C933A9" w14:paraId="27665331" w14:textId="77777777" w:rsidTr="001144B9">
        <w:trPr>
          <w:trHeight w:val="248"/>
        </w:trPr>
        <w:tc>
          <w:tcPr>
            <w:tcW w:w="2162" w:type="pct"/>
            <w:tcBorders>
              <w:top w:val="single" w:sz="4" w:space="0" w:color="auto"/>
            </w:tcBorders>
            <w:shd w:val="clear" w:color="auto" w:fill="auto"/>
            <w:tcMar>
              <w:top w:w="72" w:type="dxa"/>
              <w:left w:w="144" w:type="dxa"/>
              <w:bottom w:w="72" w:type="dxa"/>
              <w:right w:w="144" w:type="dxa"/>
            </w:tcMar>
            <w:vAlign w:val="center"/>
          </w:tcPr>
          <w:p w14:paraId="4311D1EA" w14:textId="010FA690" w:rsidR="00270B50" w:rsidRPr="00C933A9" w:rsidRDefault="009941E4" w:rsidP="00270B50">
            <w:pPr>
              <w:spacing w:before="0" w:after="0"/>
              <w:rPr>
                <w:rFonts w:cs="Times New Roman"/>
                <w:sz w:val="18"/>
                <w:szCs w:val="18"/>
                <w:lang w:eastAsia="fr-FR"/>
              </w:rPr>
            </w:pPr>
            <w:r w:rsidRPr="00C933A9">
              <w:rPr>
                <w:rFonts w:cs="Times New Roman"/>
                <w:sz w:val="18"/>
                <w:szCs w:val="18"/>
                <w:lang w:eastAsia="fr-FR"/>
              </w:rPr>
              <w:t xml:space="preserve">Whole Hippocampus – </w:t>
            </w:r>
            <w:r w:rsidR="00270B50" w:rsidRPr="00C933A9">
              <w:rPr>
                <w:rFonts w:cs="Times New Roman"/>
                <w:sz w:val="18"/>
                <w:szCs w:val="18"/>
                <w:lang w:eastAsia="fr-FR"/>
              </w:rPr>
              <w:t>Hypothalamus</w:t>
            </w:r>
          </w:p>
        </w:tc>
        <w:tc>
          <w:tcPr>
            <w:tcW w:w="848" w:type="pct"/>
            <w:tcBorders>
              <w:top w:val="single" w:sz="4" w:space="0" w:color="auto"/>
            </w:tcBorders>
            <w:shd w:val="clear" w:color="auto" w:fill="auto"/>
            <w:tcMar>
              <w:top w:w="72" w:type="dxa"/>
              <w:left w:w="144" w:type="dxa"/>
              <w:bottom w:w="72" w:type="dxa"/>
              <w:right w:w="144" w:type="dxa"/>
            </w:tcMar>
            <w:vAlign w:val="center"/>
          </w:tcPr>
          <w:p w14:paraId="1DAEE6C3"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0.022 (0.878)</w:t>
            </w:r>
          </w:p>
        </w:tc>
        <w:tc>
          <w:tcPr>
            <w:tcW w:w="1133" w:type="pct"/>
            <w:tcBorders>
              <w:top w:val="single" w:sz="4" w:space="0" w:color="auto"/>
            </w:tcBorders>
            <w:shd w:val="clear" w:color="auto" w:fill="auto"/>
            <w:tcMar>
              <w:top w:w="72" w:type="dxa"/>
              <w:left w:w="144" w:type="dxa"/>
              <w:bottom w:w="72" w:type="dxa"/>
              <w:right w:w="144" w:type="dxa"/>
            </w:tcMar>
            <w:vAlign w:val="center"/>
          </w:tcPr>
          <w:p w14:paraId="59D777C4"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0.229 (0.065)</w:t>
            </w:r>
          </w:p>
        </w:tc>
        <w:tc>
          <w:tcPr>
            <w:tcW w:w="858" w:type="pct"/>
            <w:tcBorders>
              <w:top w:val="single" w:sz="4" w:space="0" w:color="auto"/>
            </w:tcBorders>
            <w:shd w:val="clear" w:color="auto" w:fill="auto"/>
            <w:tcMar>
              <w:top w:w="72" w:type="dxa"/>
              <w:left w:w="144" w:type="dxa"/>
              <w:bottom w:w="72" w:type="dxa"/>
              <w:right w:w="144" w:type="dxa"/>
            </w:tcMar>
            <w:vAlign w:val="center"/>
          </w:tcPr>
          <w:p w14:paraId="3A1A8B7F" w14:textId="77777777" w:rsidR="00270B50" w:rsidRPr="00C933A9" w:rsidRDefault="00270B50" w:rsidP="00270B50">
            <w:pPr>
              <w:spacing w:before="0" w:after="0"/>
              <w:jc w:val="center"/>
              <w:rPr>
                <w:rFonts w:eastAsia="SimSun" w:cs="Times New Roman"/>
                <w:kern w:val="3"/>
                <w:sz w:val="18"/>
                <w:szCs w:val="18"/>
                <w:lang w:eastAsia="fr-FR"/>
              </w:rPr>
            </w:pPr>
            <w:r w:rsidRPr="00C933A9">
              <w:rPr>
                <w:rFonts w:eastAsia="SimSun" w:cs="Times New Roman"/>
                <w:kern w:val="3"/>
                <w:sz w:val="18"/>
                <w:szCs w:val="18"/>
                <w:lang w:eastAsia="fr-FR"/>
              </w:rPr>
              <w:t>0.161 (0.081)</w:t>
            </w:r>
          </w:p>
        </w:tc>
      </w:tr>
      <w:tr w:rsidR="00270B50" w:rsidRPr="00C933A9" w14:paraId="60C73DAA" w14:textId="77777777" w:rsidTr="001144B9">
        <w:trPr>
          <w:trHeight w:val="248"/>
        </w:trPr>
        <w:tc>
          <w:tcPr>
            <w:tcW w:w="2162" w:type="pct"/>
            <w:shd w:val="clear" w:color="auto" w:fill="auto"/>
            <w:tcMar>
              <w:top w:w="72" w:type="dxa"/>
              <w:left w:w="144" w:type="dxa"/>
              <w:bottom w:w="72" w:type="dxa"/>
              <w:right w:w="144" w:type="dxa"/>
            </w:tcMar>
            <w:vAlign w:val="center"/>
          </w:tcPr>
          <w:p w14:paraId="1B92404A" w14:textId="3E7B1C0E" w:rsidR="00270B50" w:rsidRPr="00C933A9" w:rsidRDefault="009941E4" w:rsidP="00270B50">
            <w:pPr>
              <w:spacing w:before="0" w:after="0"/>
              <w:rPr>
                <w:rFonts w:cs="Times New Roman"/>
                <w:sz w:val="18"/>
                <w:szCs w:val="18"/>
                <w:lang w:eastAsia="fr-FR"/>
              </w:rPr>
            </w:pPr>
            <w:r w:rsidRPr="00C933A9">
              <w:rPr>
                <w:rFonts w:cs="Times New Roman"/>
                <w:sz w:val="18"/>
                <w:szCs w:val="18"/>
                <w:lang w:eastAsia="fr-FR"/>
              </w:rPr>
              <w:t xml:space="preserve">CA1 – </w:t>
            </w:r>
            <w:r w:rsidR="00270B50" w:rsidRPr="00C933A9">
              <w:rPr>
                <w:rFonts w:cs="Times New Roman"/>
                <w:sz w:val="18"/>
                <w:szCs w:val="18"/>
                <w:lang w:eastAsia="fr-FR"/>
              </w:rPr>
              <w:t>Hypothalamus</w:t>
            </w:r>
          </w:p>
        </w:tc>
        <w:tc>
          <w:tcPr>
            <w:tcW w:w="848" w:type="pct"/>
            <w:shd w:val="clear" w:color="auto" w:fill="auto"/>
            <w:tcMar>
              <w:top w:w="72" w:type="dxa"/>
              <w:left w:w="144" w:type="dxa"/>
              <w:bottom w:w="72" w:type="dxa"/>
              <w:right w:w="144" w:type="dxa"/>
            </w:tcMar>
            <w:vAlign w:val="center"/>
          </w:tcPr>
          <w:p w14:paraId="54B92748"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0.016 (0.913)</w:t>
            </w:r>
          </w:p>
        </w:tc>
        <w:tc>
          <w:tcPr>
            <w:tcW w:w="1133" w:type="pct"/>
            <w:shd w:val="clear" w:color="auto" w:fill="auto"/>
            <w:tcMar>
              <w:top w:w="72" w:type="dxa"/>
              <w:left w:w="144" w:type="dxa"/>
              <w:bottom w:w="72" w:type="dxa"/>
              <w:right w:w="144" w:type="dxa"/>
            </w:tcMar>
            <w:vAlign w:val="center"/>
          </w:tcPr>
          <w:p w14:paraId="5E24CB2C" w14:textId="77777777" w:rsidR="00270B50" w:rsidRPr="00C933A9" w:rsidRDefault="00270B50" w:rsidP="00270B50">
            <w:pPr>
              <w:spacing w:before="0" w:after="0"/>
              <w:jc w:val="center"/>
              <w:rPr>
                <w:rFonts w:cs="Times New Roman"/>
                <w:b/>
                <w:kern w:val="3"/>
                <w:sz w:val="18"/>
                <w:szCs w:val="18"/>
                <w:lang w:eastAsia="fr-FR"/>
              </w:rPr>
            </w:pPr>
            <w:r w:rsidRPr="00C933A9">
              <w:rPr>
                <w:rFonts w:cs="Times New Roman"/>
                <w:b/>
                <w:kern w:val="3"/>
                <w:sz w:val="18"/>
                <w:szCs w:val="18"/>
                <w:lang w:eastAsia="fr-FR"/>
              </w:rPr>
              <w:t>0.327 (0.007)</w:t>
            </w:r>
          </w:p>
        </w:tc>
        <w:tc>
          <w:tcPr>
            <w:tcW w:w="858" w:type="pct"/>
            <w:shd w:val="clear" w:color="auto" w:fill="auto"/>
            <w:tcMar>
              <w:top w:w="72" w:type="dxa"/>
              <w:left w:w="144" w:type="dxa"/>
              <w:bottom w:w="72" w:type="dxa"/>
              <w:right w:w="144" w:type="dxa"/>
            </w:tcMar>
            <w:vAlign w:val="center"/>
          </w:tcPr>
          <w:p w14:paraId="449344E7" w14:textId="77777777" w:rsidR="00270B50" w:rsidRPr="00C933A9" w:rsidRDefault="00270B50" w:rsidP="00270B50">
            <w:pPr>
              <w:spacing w:before="0" w:after="0"/>
              <w:jc w:val="center"/>
              <w:rPr>
                <w:rFonts w:eastAsia="SimSun" w:cs="Times New Roman"/>
                <w:b/>
                <w:kern w:val="3"/>
                <w:sz w:val="18"/>
                <w:szCs w:val="18"/>
                <w:highlight w:val="yellow"/>
                <w:lang w:eastAsia="fr-FR"/>
              </w:rPr>
            </w:pPr>
            <w:r w:rsidRPr="00C933A9">
              <w:rPr>
                <w:rFonts w:eastAsia="SimSun" w:cs="Times New Roman"/>
                <w:b/>
                <w:kern w:val="3"/>
                <w:sz w:val="18"/>
                <w:szCs w:val="18"/>
                <w:lang w:eastAsia="fr-FR"/>
              </w:rPr>
              <w:t>0.224 (0.014)</w:t>
            </w:r>
          </w:p>
        </w:tc>
      </w:tr>
      <w:tr w:rsidR="00270B50" w:rsidRPr="00C933A9" w14:paraId="5136663F" w14:textId="77777777" w:rsidTr="001144B9">
        <w:trPr>
          <w:trHeight w:val="166"/>
        </w:trPr>
        <w:tc>
          <w:tcPr>
            <w:tcW w:w="2162" w:type="pct"/>
            <w:shd w:val="clear" w:color="auto" w:fill="auto"/>
            <w:tcMar>
              <w:top w:w="72" w:type="dxa"/>
              <w:left w:w="144" w:type="dxa"/>
              <w:bottom w:w="72" w:type="dxa"/>
              <w:right w:w="144" w:type="dxa"/>
            </w:tcMar>
            <w:vAlign w:val="center"/>
          </w:tcPr>
          <w:p w14:paraId="5695843D" w14:textId="5292F354" w:rsidR="00270B50" w:rsidRPr="00C933A9" w:rsidRDefault="00270B50" w:rsidP="00270B50">
            <w:pPr>
              <w:spacing w:before="0" w:after="0"/>
              <w:rPr>
                <w:rFonts w:cs="Times New Roman"/>
                <w:sz w:val="18"/>
                <w:szCs w:val="18"/>
                <w:lang w:eastAsia="fr-FR"/>
              </w:rPr>
            </w:pPr>
            <w:r w:rsidRPr="00C933A9">
              <w:rPr>
                <w:rFonts w:cs="Times New Roman"/>
                <w:sz w:val="18"/>
                <w:szCs w:val="18"/>
                <w:lang w:eastAsia="fr-FR"/>
              </w:rPr>
              <w:t>Subiculum</w:t>
            </w:r>
            <w:r w:rsidR="004F1030" w:rsidRPr="00C933A9">
              <w:rPr>
                <w:rFonts w:cs="Times New Roman"/>
                <w:sz w:val="18"/>
                <w:szCs w:val="18"/>
                <w:lang w:eastAsia="fr-FR"/>
              </w:rPr>
              <w:t xml:space="preserve"> –</w:t>
            </w:r>
            <w:r w:rsidRPr="00C933A9">
              <w:rPr>
                <w:rFonts w:cs="Times New Roman"/>
                <w:sz w:val="18"/>
                <w:szCs w:val="18"/>
                <w:lang w:eastAsia="fr-FR"/>
              </w:rPr>
              <w:t xml:space="preserve"> </w:t>
            </w:r>
            <w:r w:rsidR="004F1030" w:rsidRPr="00C933A9">
              <w:rPr>
                <w:rFonts w:cs="Times New Roman"/>
                <w:sz w:val="18"/>
                <w:szCs w:val="18"/>
                <w:lang w:eastAsia="fr-FR"/>
              </w:rPr>
              <w:t>Hypothalamus</w:t>
            </w:r>
          </w:p>
        </w:tc>
        <w:tc>
          <w:tcPr>
            <w:tcW w:w="848" w:type="pct"/>
            <w:shd w:val="clear" w:color="auto" w:fill="auto"/>
            <w:tcMar>
              <w:top w:w="72" w:type="dxa"/>
              <w:left w:w="144" w:type="dxa"/>
              <w:bottom w:w="72" w:type="dxa"/>
              <w:right w:w="144" w:type="dxa"/>
            </w:tcMar>
            <w:vAlign w:val="center"/>
          </w:tcPr>
          <w:p w14:paraId="40FEFE10"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0.017 (0.906)</w:t>
            </w:r>
          </w:p>
        </w:tc>
        <w:tc>
          <w:tcPr>
            <w:tcW w:w="1133" w:type="pct"/>
            <w:shd w:val="clear" w:color="auto" w:fill="auto"/>
            <w:tcMar>
              <w:top w:w="72" w:type="dxa"/>
              <w:left w:w="144" w:type="dxa"/>
              <w:bottom w:w="72" w:type="dxa"/>
              <w:right w:w="144" w:type="dxa"/>
            </w:tcMar>
            <w:vAlign w:val="center"/>
          </w:tcPr>
          <w:p w14:paraId="116586DB" w14:textId="77777777" w:rsidR="00270B50" w:rsidRPr="00C933A9" w:rsidRDefault="00270B50" w:rsidP="00270B50">
            <w:pPr>
              <w:spacing w:before="0" w:after="0"/>
              <w:jc w:val="center"/>
              <w:rPr>
                <w:rFonts w:cs="Times New Roman"/>
                <w:b/>
                <w:kern w:val="3"/>
                <w:sz w:val="18"/>
                <w:szCs w:val="18"/>
                <w:lang w:eastAsia="fr-FR"/>
              </w:rPr>
            </w:pPr>
            <w:r w:rsidRPr="00C933A9">
              <w:rPr>
                <w:rFonts w:cs="Times New Roman"/>
                <w:b/>
                <w:kern w:val="3"/>
                <w:sz w:val="18"/>
                <w:szCs w:val="18"/>
                <w:lang w:eastAsia="fr-FR"/>
              </w:rPr>
              <w:t>0.305 (0.013)</w:t>
            </w:r>
          </w:p>
        </w:tc>
        <w:tc>
          <w:tcPr>
            <w:tcW w:w="858" w:type="pct"/>
            <w:shd w:val="clear" w:color="auto" w:fill="auto"/>
            <w:tcMar>
              <w:top w:w="72" w:type="dxa"/>
              <w:left w:w="144" w:type="dxa"/>
              <w:bottom w:w="72" w:type="dxa"/>
              <w:right w:w="144" w:type="dxa"/>
            </w:tcMar>
            <w:vAlign w:val="center"/>
          </w:tcPr>
          <w:p w14:paraId="7EF32744" w14:textId="77777777" w:rsidR="00270B50" w:rsidRPr="00C933A9" w:rsidRDefault="00270B50" w:rsidP="00270B50">
            <w:pPr>
              <w:spacing w:before="0" w:after="0"/>
              <w:jc w:val="center"/>
              <w:rPr>
                <w:rFonts w:eastAsia="SimSun" w:cs="Times New Roman"/>
                <w:b/>
                <w:kern w:val="3"/>
                <w:sz w:val="18"/>
                <w:szCs w:val="18"/>
                <w:lang w:eastAsia="fr-FR"/>
              </w:rPr>
            </w:pPr>
            <w:r w:rsidRPr="00C933A9">
              <w:rPr>
                <w:rFonts w:eastAsia="SimSun" w:cs="Times New Roman"/>
                <w:b/>
                <w:kern w:val="3"/>
                <w:sz w:val="18"/>
                <w:szCs w:val="18"/>
                <w:lang w:eastAsia="fr-FR"/>
              </w:rPr>
              <w:t>0.221 (0.016)</w:t>
            </w:r>
          </w:p>
        </w:tc>
      </w:tr>
      <w:tr w:rsidR="00270B50" w:rsidRPr="00C933A9" w14:paraId="659E533E" w14:textId="77777777" w:rsidTr="001144B9">
        <w:trPr>
          <w:trHeight w:val="248"/>
        </w:trPr>
        <w:tc>
          <w:tcPr>
            <w:tcW w:w="2162" w:type="pct"/>
            <w:tcBorders>
              <w:bottom w:val="single" w:sz="4" w:space="0" w:color="auto"/>
            </w:tcBorders>
            <w:shd w:val="clear" w:color="auto" w:fill="auto"/>
            <w:tcMar>
              <w:top w:w="72" w:type="dxa"/>
              <w:left w:w="144" w:type="dxa"/>
              <w:bottom w:w="72" w:type="dxa"/>
              <w:right w:w="144" w:type="dxa"/>
            </w:tcMar>
            <w:vAlign w:val="center"/>
          </w:tcPr>
          <w:p w14:paraId="2EFD532F" w14:textId="5EE3AFCC" w:rsidR="00270B50" w:rsidRPr="00C933A9" w:rsidRDefault="00270B50" w:rsidP="00270B50">
            <w:pPr>
              <w:spacing w:before="0" w:after="0"/>
              <w:rPr>
                <w:rFonts w:cs="Times New Roman"/>
                <w:sz w:val="18"/>
                <w:szCs w:val="18"/>
                <w:lang w:eastAsia="fr-FR"/>
              </w:rPr>
            </w:pPr>
            <w:r w:rsidRPr="00C933A9">
              <w:rPr>
                <w:rFonts w:cs="Times New Roman"/>
                <w:sz w:val="18"/>
                <w:szCs w:val="18"/>
                <w:lang w:eastAsia="fr-FR"/>
              </w:rPr>
              <w:t xml:space="preserve">DG/CA2-3-4 </w:t>
            </w:r>
            <w:r w:rsidR="004F1030" w:rsidRPr="00C933A9">
              <w:rPr>
                <w:rFonts w:cs="Times New Roman"/>
                <w:sz w:val="18"/>
                <w:szCs w:val="18"/>
                <w:lang w:eastAsia="fr-FR"/>
              </w:rPr>
              <w:t>– Hypothalamus</w:t>
            </w:r>
          </w:p>
        </w:tc>
        <w:tc>
          <w:tcPr>
            <w:tcW w:w="848" w:type="pct"/>
            <w:tcBorders>
              <w:bottom w:val="single" w:sz="4" w:space="0" w:color="auto"/>
            </w:tcBorders>
            <w:shd w:val="clear" w:color="auto" w:fill="auto"/>
            <w:tcMar>
              <w:top w:w="72" w:type="dxa"/>
              <w:left w:w="144" w:type="dxa"/>
              <w:bottom w:w="72" w:type="dxa"/>
              <w:right w:w="144" w:type="dxa"/>
            </w:tcMar>
            <w:vAlign w:val="center"/>
          </w:tcPr>
          <w:p w14:paraId="476CF2D0"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0.048 (0.742)</w:t>
            </w:r>
          </w:p>
        </w:tc>
        <w:tc>
          <w:tcPr>
            <w:tcW w:w="1133" w:type="pct"/>
            <w:tcBorders>
              <w:bottom w:val="single" w:sz="4" w:space="0" w:color="auto"/>
            </w:tcBorders>
            <w:shd w:val="clear" w:color="auto" w:fill="auto"/>
            <w:tcMar>
              <w:top w:w="72" w:type="dxa"/>
              <w:left w:w="144" w:type="dxa"/>
              <w:bottom w:w="72" w:type="dxa"/>
              <w:right w:w="144" w:type="dxa"/>
            </w:tcMar>
            <w:vAlign w:val="center"/>
          </w:tcPr>
          <w:p w14:paraId="39ABED01"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0.120 (0.335)</w:t>
            </w:r>
          </w:p>
        </w:tc>
        <w:tc>
          <w:tcPr>
            <w:tcW w:w="858" w:type="pct"/>
            <w:tcBorders>
              <w:bottom w:val="single" w:sz="4" w:space="0" w:color="auto"/>
            </w:tcBorders>
            <w:shd w:val="clear" w:color="auto" w:fill="auto"/>
            <w:tcMar>
              <w:top w:w="72" w:type="dxa"/>
              <w:left w:w="144" w:type="dxa"/>
              <w:bottom w:w="72" w:type="dxa"/>
              <w:right w:w="144" w:type="dxa"/>
            </w:tcMar>
            <w:vAlign w:val="center"/>
          </w:tcPr>
          <w:p w14:paraId="13B0183B" w14:textId="77777777" w:rsidR="00270B50" w:rsidRPr="00C933A9" w:rsidRDefault="00270B50" w:rsidP="00270B50">
            <w:pPr>
              <w:spacing w:before="0" w:after="0"/>
              <w:jc w:val="center"/>
              <w:rPr>
                <w:rFonts w:eastAsia="SimSun" w:cs="Times New Roman"/>
                <w:kern w:val="3"/>
                <w:sz w:val="18"/>
                <w:szCs w:val="18"/>
                <w:highlight w:val="yellow"/>
                <w:lang w:eastAsia="fr-FR"/>
              </w:rPr>
            </w:pPr>
            <w:r w:rsidRPr="00C933A9">
              <w:rPr>
                <w:rFonts w:eastAsia="SimSun" w:cs="Times New Roman"/>
                <w:kern w:val="3"/>
                <w:sz w:val="18"/>
                <w:szCs w:val="18"/>
                <w:lang w:eastAsia="fr-FR"/>
              </w:rPr>
              <w:t>0.087 (0.349)</w:t>
            </w:r>
          </w:p>
        </w:tc>
      </w:tr>
      <w:tr w:rsidR="00270B50" w:rsidRPr="00C933A9" w14:paraId="7475FC50" w14:textId="77777777" w:rsidTr="001144B9">
        <w:trPr>
          <w:trHeight w:val="23"/>
        </w:trPr>
        <w:tc>
          <w:tcPr>
            <w:tcW w:w="2162"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05EC5A21" w14:textId="77777777" w:rsidR="00270B50" w:rsidRPr="00C933A9" w:rsidRDefault="00270B50" w:rsidP="00270B50">
            <w:pPr>
              <w:spacing w:before="0" w:after="0"/>
              <w:rPr>
                <w:rFonts w:cs="Times New Roman"/>
                <w:b/>
                <w:sz w:val="18"/>
                <w:szCs w:val="18"/>
                <w:lang w:eastAsia="fr-FR"/>
              </w:rPr>
            </w:pPr>
            <w:r w:rsidRPr="00C933A9">
              <w:rPr>
                <w:rFonts w:cs="Times New Roman"/>
                <w:b/>
                <w:sz w:val="18"/>
                <w:szCs w:val="18"/>
                <w:lang w:eastAsia="fr-FR"/>
              </w:rPr>
              <w:t>Gray Matter Volumes (mm</w:t>
            </w:r>
            <w:r w:rsidRPr="00C933A9">
              <w:rPr>
                <w:rFonts w:cs="Times New Roman"/>
                <w:b/>
                <w:sz w:val="18"/>
                <w:szCs w:val="18"/>
                <w:vertAlign w:val="superscript"/>
                <w:lang w:eastAsia="fr-FR"/>
              </w:rPr>
              <w:t>3</w:t>
            </w:r>
            <w:r w:rsidRPr="00C933A9">
              <w:rPr>
                <w:rFonts w:cs="Times New Roman"/>
                <w:b/>
                <w:sz w:val="18"/>
                <w:szCs w:val="18"/>
                <w:lang w:eastAsia="fr-FR"/>
              </w:rPr>
              <w:t>)</w:t>
            </w:r>
          </w:p>
        </w:tc>
        <w:tc>
          <w:tcPr>
            <w:tcW w:w="848"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574A46FB"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b/>
                <w:sz w:val="18"/>
                <w:szCs w:val="18"/>
                <w:lang w:eastAsia="fr-FR"/>
              </w:rPr>
              <w:t>(n=58)</w:t>
            </w:r>
          </w:p>
        </w:tc>
        <w:tc>
          <w:tcPr>
            <w:tcW w:w="1133"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5791DE5A"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b/>
                <w:sz w:val="18"/>
                <w:szCs w:val="18"/>
                <w:lang w:eastAsia="fr-FR"/>
              </w:rPr>
              <w:t>(n=73)</w:t>
            </w:r>
          </w:p>
        </w:tc>
        <w:tc>
          <w:tcPr>
            <w:tcW w:w="858"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120C145D" w14:textId="77777777" w:rsidR="00270B50" w:rsidRPr="00C933A9" w:rsidRDefault="00270B50" w:rsidP="00270B50">
            <w:pPr>
              <w:spacing w:before="0" w:after="0"/>
              <w:jc w:val="center"/>
              <w:rPr>
                <w:rFonts w:eastAsia="SimSun" w:cs="Times New Roman"/>
                <w:b/>
                <w:kern w:val="3"/>
                <w:sz w:val="18"/>
                <w:szCs w:val="18"/>
                <w:highlight w:val="yellow"/>
                <w:lang w:eastAsia="fr-FR"/>
              </w:rPr>
            </w:pPr>
            <w:r w:rsidRPr="00C933A9">
              <w:rPr>
                <w:rFonts w:cs="Times New Roman"/>
                <w:b/>
                <w:sz w:val="18"/>
                <w:szCs w:val="18"/>
                <w:lang w:eastAsia="fr-FR"/>
              </w:rPr>
              <w:t>(n=131)</w:t>
            </w:r>
          </w:p>
        </w:tc>
      </w:tr>
      <w:tr w:rsidR="00270B50" w:rsidRPr="00C933A9" w14:paraId="60B46CD5" w14:textId="77777777" w:rsidTr="001144B9">
        <w:trPr>
          <w:trHeight w:val="23"/>
        </w:trPr>
        <w:tc>
          <w:tcPr>
            <w:tcW w:w="2162" w:type="pct"/>
            <w:tcBorders>
              <w:top w:val="single" w:sz="4" w:space="0" w:color="auto"/>
            </w:tcBorders>
            <w:shd w:val="clear" w:color="auto" w:fill="auto"/>
            <w:tcMar>
              <w:top w:w="72" w:type="dxa"/>
              <w:left w:w="144" w:type="dxa"/>
              <w:bottom w:w="72" w:type="dxa"/>
              <w:right w:w="144" w:type="dxa"/>
            </w:tcMar>
            <w:vAlign w:val="center"/>
          </w:tcPr>
          <w:p w14:paraId="6D5D82AB" w14:textId="77777777" w:rsidR="00270B50" w:rsidRPr="00C933A9" w:rsidRDefault="00270B50" w:rsidP="00270B50">
            <w:pPr>
              <w:spacing w:before="0" w:after="0"/>
              <w:rPr>
                <w:rFonts w:cs="Times New Roman"/>
                <w:b/>
                <w:sz w:val="18"/>
                <w:szCs w:val="18"/>
                <w:lang w:eastAsia="fr-FR"/>
              </w:rPr>
            </w:pPr>
            <w:r w:rsidRPr="00C933A9">
              <w:rPr>
                <w:rFonts w:cs="Times New Roman"/>
                <w:sz w:val="18"/>
                <w:szCs w:val="18"/>
                <w:lang w:eastAsia="fr-FR"/>
              </w:rPr>
              <w:t xml:space="preserve">Hypothalamus </w:t>
            </w:r>
          </w:p>
        </w:tc>
        <w:tc>
          <w:tcPr>
            <w:tcW w:w="848" w:type="pct"/>
            <w:tcBorders>
              <w:top w:val="single" w:sz="4" w:space="0" w:color="auto"/>
            </w:tcBorders>
            <w:shd w:val="clear" w:color="auto" w:fill="auto"/>
            <w:tcMar>
              <w:top w:w="72" w:type="dxa"/>
              <w:left w:w="144" w:type="dxa"/>
              <w:bottom w:w="72" w:type="dxa"/>
              <w:right w:w="144" w:type="dxa"/>
            </w:tcMar>
            <w:vAlign w:val="center"/>
          </w:tcPr>
          <w:p w14:paraId="376AD2D5"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0.040 (0.773)</w:t>
            </w:r>
          </w:p>
        </w:tc>
        <w:tc>
          <w:tcPr>
            <w:tcW w:w="1133" w:type="pct"/>
            <w:tcBorders>
              <w:top w:val="single" w:sz="4" w:space="0" w:color="auto"/>
            </w:tcBorders>
            <w:shd w:val="clear" w:color="auto" w:fill="auto"/>
            <w:tcMar>
              <w:top w:w="72" w:type="dxa"/>
              <w:left w:w="144" w:type="dxa"/>
              <w:bottom w:w="72" w:type="dxa"/>
              <w:right w:w="144" w:type="dxa"/>
            </w:tcMar>
            <w:vAlign w:val="center"/>
          </w:tcPr>
          <w:p w14:paraId="182700D6"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0.003 (0.978)</w:t>
            </w:r>
          </w:p>
        </w:tc>
        <w:tc>
          <w:tcPr>
            <w:tcW w:w="858" w:type="pct"/>
            <w:tcBorders>
              <w:top w:val="single" w:sz="4" w:space="0" w:color="auto"/>
            </w:tcBorders>
            <w:shd w:val="clear" w:color="auto" w:fill="auto"/>
            <w:tcMar>
              <w:top w:w="72" w:type="dxa"/>
              <w:left w:w="144" w:type="dxa"/>
              <w:bottom w:w="72" w:type="dxa"/>
              <w:right w:w="144" w:type="dxa"/>
            </w:tcMar>
            <w:vAlign w:val="center"/>
          </w:tcPr>
          <w:p w14:paraId="2B57C1D9" w14:textId="77777777" w:rsidR="00270B50" w:rsidRPr="00C933A9" w:rsidRDefault="00270B50" w:rsidP="00270B50">
            <w:pPr>
              <w:spacing w:before="0" w:after="0"/>
              <w:jc w:val="center"/>
              <w:rPr>
                <w:rFonts w:eastAsia="SimSun" w:cs="Times New Roman"/>
                <w:kern w:val="3"/>
                <w:sz w:val="18"/>
                <w:szCs w:val="18"/>
                <w:lang w:eastAsia="fr-FR"/>
              </w:rPr>
            </w:pPr>
            <w:r w:rsidRPr="00C933A9">
              <w:rPr>
                <w:rFonts w:eastAsia="SimSun" w:cs="Times New Roman"/>
                <w:kern w:val="3"/>
                <w:sz w:val="18"/>
                <w:szCs w:val="18"/>
                <w:lang w:eastAsia="fr-FR"/>
              </w:rPr>
              <w:t>-0.009 (0.923)</w:t>
            </w:r>
          </w:p>
        </w:tc>
      </w:tr>
      <w:tr w:rsidR="00270B50" w:rsidRPr="00C933A9" w14:paraId="2B1503C4" w14:textId="77777777" w:rsidTr="001144B9">
        <w:trPr>
          <w:trHeight w:val="23"/>
        </w:trPr>
        <w:tc>
          <w:tcPr>
            <w:tcW w:w="2162" w:type="pct"/>
            <w:shd w:val="clear" w:color="auto" w:fill="auto"/>
            <w:tcMar>
              <w:top w:w="72" w:type="dxa"/>
              <w:left w:w="144" w:type="dxa"/>
              <w:bottom w:w="72" w:type="dxa"/>
              <w:right w:w="144" w:type="dxa"/>
            </w:tcMar>
            <w:vAlign w:val="center"/>
          </w:tcPr>
          <w:p w14:paraId="04C020C4" w14:textId="77777777" w:rsidR="00270B50" w:rsidRPr="00C933A9" w:rsidRDefault="00270B50" w:rsidP="00270B50">
            <w:pPr>
              <w:spacing w:before="0" w:after="0"/>
              <w:rPr>
                <w:rFonts w:cs="Times New Roman"/>
                <w:b/>
                <w:sz w:val="18"/>
                <w:szCs w:val="18"/>
                <w:lang w:eastAsia="fr-FR"/>
              </w:rPr>
            </w:pPr>
            <w:r w:rsidRPr="00C933A9">
              <w:rPr>
                <w:rFonts w:cs="Times New Roman"/>
                <w:sz w:val="18"/>
                <w:szCs w:val="18"/>
                <w:lang w:eastAsia="fr-FR"/>
              </w:rPr>
              <w:t>Whole Hippocampus</w:t>
            </w:r>
          </w:p>
        </w:tc>
        <w:tc>
          <w:tcPr>
            <w:tcW w:w="848" w:type="pct"/>
            <w:shd w:val="clear" w:color="auto" w:fill="auto"/>
            <w:tcMar>
              <w:top w:w="72" w:type="dxa"/>
              <w:left w:w="144" w:type="dxa"/>
              <w:bottom w:w="72" w:type="dxa"/>
              <w:right w:w="144" w:type="dxa"/>
            </w:tcMar>
            <w:vAlign w:val="center"/>
          </w:tcPr>
          <w:p w14:paraId="59B5BC91"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-0.078 (0.576)</w:t>
            </w:r>
          </w:p>
        </w:tc>
        <w:tc>
          <w:tcPr>
            <w:tcW w:w="1133" w:type="pct"/>
            <w:shd w:val="clear" w:color="auto" w:fill="auto"/>
            <w:tcMar>
              <w:top w:w="72" w:type="dxa"/>
              <w:left w:w="144" w:type="dxa"/>
              <w:bottom w:w="72" w:type="dxa"/>
              <w:right w:w="144" w:type="dxa"/>
            </w:tcMar>
            <w:vAlign w:val="center"/>
          </w:tcPr>
          <w:p w14:paraId="2C0FFDD0"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0.169 (0.166)</w:t>
            </w:r>
          </w:p>
        </w:tc>
        <w:tc>
          <w:tcPr>
            <w:tcW w:w="858" w:type="pct"/>
            <w:shd w:val="clear" w:color="auto" w:fill="auto"/>
            <w:tcMar>
              <w:top w:w="72" w:type="dxa"/>
              <w:left w:w="144" w:type="dxa"/>
              <w:bottom w:w="72" w:type="dxa"/>
              <w:right w:w="144" w:type="dxa"/>
            </w:tcMar>
            <w:vAlign w:val="center"/>
          </w:tcPr>
          <w:p w14:paraId="7C88E70E" w14:textId="77777777" w:rsidR="00270B50" w:rsidRPr="00C933A9" w:rsidRDefault="00270B50" w:rsidP="00270B50">
            <w:pPr>
              <w:spacing w:before="0" w:after="0"/>
              <w:jc w:val="center"/>
              <w:rPr>
                <w:rFonts w:eastAsia="SimSun" w:cs="Times New Roman"/>
                <w:kern w:val="3"/>
                <w:sz w:val="18"/>
                <w:szCs w:val="18"/>
                <w:lang w:eastAsia="fr-FR"/>
              </w:rPr>
            </w:pPr>
            <w:r w:rsidRPr="00C933A9">
              <w:rPr>
                <w:rFonts w:eastAsia="SimSun" w:cs="Times New Roman"/>
                <w:kern w:val="3"/>
                <w:sz w:val="18"/>
                <w:szCs w:val="18"/>
                <w:lang w:eastAsia="fr-FR"/>
              </w:rPr>
              <w:t>0.034 (0.704)</w:t>
            </w:r>
          </w:p>
        </w:tc>
      </w:tr>
      <w:tr w:rsidR="00270B50" w:rsidRPr="00C933A9" w14:paraId="6877712B" w14:textId="77777777" w:rsidTr="001144B9">
        <w:trPr>
          <w:trHeight w:val="23"/>
        </w:trPr>
        <w:tc>
          <w:tcPr>
            <w:tcW w:w="2162" w:type="pct"/>
            <w:shd w:val="clear" w:color="auto" w:fill="auto"/>
            <w:tcMar>
              <w:top w:w="72" w:type="dxa"/>
              <w:left w:w="144" w:type="dxa"/>
              <w:bottom w:w="72" w:type="dxa"/>
              <w:right w:w="144" w:type="dxa"/>
            </w:tcMar>
            <w:vAlign w:val="center"/>
          </w:tcPr>
          <w:p w14:paraId="603E3D75" w14:textId="77777777" w:rsidR="00270B50" w:rsidRPr="00C933A9" w:rsidRDefault="00270B50" w:rsidP="00270B50">
            <w:pPr>
              <w:spacing w:before="0" w:after="0"/>
              <w:rPr>
                <w:rFonts w:cs="Times New Roman"/>
                <w:b/>
                <w:sz w:val="18"/>
                <w:szCs w:val="18"/>
                <w:lang w:eastAsia="fr-FR"/>
              </w:rPr>
            </w:pPr>
            <w:r w:rsidRPr="00C933A9">
              <w:rPr>
                <w:rFonts w:cs="Times New Roman"/>
                <w:sz w:val="18"/>
                <w:szCs w:val="18"/>
                <w:lang w:eastAsia="fr-FR"/>
              </w:rPr>
              <w:t>CA1</w:t>
            </w:r>
          </w:p>
        </w:tc>
        <w:tc>
          <w:tcPr>
            <w:tcW w:w="848" w:type="pct"/>
            <w:shd w:val="clear" w:color="auto" w:fill="auto"/>
            <w:tcMar>
              <w:top w:w="72" w:type="dxa"/>
              <w:left w:w="144" w:type="dxa"/>
              <w:bottom w:w="72" w:type="dxa"/>
              <w:right w:w="144" w:type="dxa"/>
            </w:tcMar>
            <w:vAlign w:val="center"/>
          </w:tcPr>
          <w:p w14:paraId="4EC8A7BD"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-0.131 (0.344)</w:t>
            </w:r>
          </w:p>
        </w:tc>
        <w:tc>
          <w:tcPr>
            <w:tcW w:w="1133" w:type="pct"/>
            <w:shd w:val="clear" w:color="auto" w:fill="auto"/>
            <w:tcMar>
              <w:top w:w="72" w:type="dxa"/>
              <w:left w:w="144" w:type="dxa"/>
              <w:bottom w:w="72" w:type="dxa"/>
              <w:right w:w="144" w:type="dxa"/>
            </w:tcMar>
            <w:vAlign w:val="center"/>
          </w:tcPr>
          <w:p w14:paraId="02D7EFA1"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0.193 (0.112)</w:t>
            </w:r>
          </w:p>
        </w:tc>
        <w:tc>
          <w:tcPr>
            <w:tcW w:w="858" w:type="pct"/>
            <w:shd w:val="clear" w:color="auto" w:fill="auto"/>
            <w:tcMar>
              <w:top w:w="72" w:type="dxa"/>
              <w:left w:w="144" w:type="dxa"/>
              <w:bottom w:w="72" w:type="dxa"/>
              <w:right w:w="144" w:type="dxa"/>
            </w:tcMar>
            <w:vAlign w:val="center"/>
          </w:tcPr>
          <w:p w14:paraId="3110B188" w14:textId="77777777" w:rsidR="00270B50" w:rsidRPr="00C933A9" w:rsidRDefault="00270B50" w:rsidP="00270B50">
            <w:pPr>
              <w:spacing w:before="0" w:after="0"/>
              <w:jc w:val="center"/>
              <w:rPr>
                <w:rFonts w:eastAsia="SimSun" w:cs="Times New Roman"/>
                <w:kern w:val="3"/>
                <w:sz w:val="18"/>
                <w:szCs w:val="18"/>
                <w:lang w:eastAsia="fr-FR"/>
              </w:rPr>
            </w:pPr>
            <w:r w:rsidRPr="00C933A9">
              <w:rPr>
                <w:rFonts w:eastAsia="SimSun" w:cs="Times New Roman"/>
                <w:kern w:val="3"/>
                <w:sz w:val="18"/>
                <w:szCs w:val="18"/>
                <w:lang w:eastAsia="fr-FR"/>
              </w:rPr>
              <w:t>0.045 (0.615)</w:t>
            </w:r>
          </w:p>
        </w:tc>
      </w:tr>
      <w:tr w:rsidR="00270B50" w:rsidRPr="00C933A9" w14:paraId="4DBF226D" w14:textId="77777777" w:rsidTr="001144B9">
        <w:trPr>
          <w:trHeight w:val="23"/>
        </w:trPr>
        <w:tc>
          <w:tcPr>
            <w:tcW w:w="2162" w:type="pct"/>
            <w:shd w:val="clear" w:color="auto" w:fill="auto"/>
            <w:tcMar>
              <w:top w:w="72" w:type="dxa"/>
              <w:left w:w="144" w:type="dxa"/>
              <w:bottom w:w="72" w:type="dxa"/>
              <w:right w:w="144" w:type="dxa"/>
            </w:tcMar>
            <w:vAlign w:val="center"/>
          </w:tcPr>
          <w:p w14:paraId="493D6965" w14:textId="77777777" w:rsidR="00270B50" w:rsidRPr="00C933A9" w:rsidRDefault="00270B50" w:rsidP="00270B50">
            <w:pPr>
              <w:spacing w:before="0" w:after="0"/>
              <w:rPr>
                <w:rFonts w:cs="Times New Roman"/>
                <w:sz w:val="18"/>
                <w:szCs w:val="18"/>
                <w:lang w:eastAsia="fr-FR"/>
              </w:rPr>
            </w:pPr>
            <w:r w:rsidRPr="00C933A9">
              <w:rPr>
                <w:rFonts w:cs="Times New Roman"/>
                <w:sz w:val="18"/>
                <w:szCs w:val="18"/>
                <w:lang w:eastAsia="fr-FR"/>
              </w:rPr>
              <w:t xml:space="preserve">Subiculum </w:t>
            </w:r>
          </w:p>
        </w:tc>
        <w:tc>
          <w:tcPr>
            <w:tcW w:w="848" w:type="pct"/>
            <w:shd w:val="clear" w:color="auto" w:fill="auto"/>
            <w:tcMar>
              <w:top w:w="72" w:type="dxa"/>
              <w:left w:w="144" w:type="dxa"/>
              <w:bottom w:w="72" w:type="dxa"/>
              <w:right w:w="144" w:type="dxa"/>
            </w:tcMar>
            <w:vAlign w:val="center"/>
          </w:tcPr>
          <w:p w14:paraId="54011B4F"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0.025 (0.858)</w:t>
            </w:r>
          </w:p>
        </w:tc>
        <w:tc>
          <w:tcPr>
            <w:tcW w:w="1133" w:type="pct"/>
            <w:shd w:val="clear" w:color="auto" w:fill="auto"/>
            <w:tcMar>
              <w:top w:w="72" w:type="dxa"/>
              <w:left w:w="144" w:type="dxa"/>
              <w:bottom w:w="72" w:type="dxa"/>
              <w:right w:w="144" w:type="dxa"/>
            </w:tcMar>
            <w:vAlign w:val="center"/>
          </w:tcPr>
          <w:p w14:paraId="49819AD0"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0.097 (0.430)</w:t>
            </w:r>
          </w:p>
        </w:tc>
        <w:tc>
          <w:tcPr>
            <w:tcW w:w="858" w:type="pct"/>
            <w:shd w:val="clear" w:color="auto" w:fill="auto"/>
            <w:tcMar>
              <w:top w:w="72" w:type="dxa"/>
              <w:left w:w="144" w:type="dxa"/>
              <w:bottom w:w="72" w:type="dxa"/>
              <w:right w:w="144" w:type="dxa"/>
            </w:tcMar>
            <w:vAlign w:val="center"/>
          </w:tcPr>
          <w:p w14:paraId="0C1CF3BC" w14:textId="77777777" w:rsidR="00270B50" w:rsidRPr="00C933A9" w:rsidRDefault="00270B50" w:rsidP="00270B50">
            <w:pPr>
              <w:spacing w:before="0" w:after="0"/>
              <w:jc w:val="center"/>
              <w:rPr>
                <w:rFonts w:eastAsia="SimSun" w:cs="Times New Roman"/>
                <w:kern w:val="3"/>
                <w:sz w:val="18"/>
                <w:szCs w:val="18"/>
                <w:lang w:eastAsia="fr-FR"/>
              </w:rPr>
            </w:pPr>
            <w:r w:rsidRPr="00C933A9">
              <w:rPr>
                <w:rFonts w:eastAsia="SimSun" w:cs="Times New Roman"/>
                <w:kern w:val="3"/>
                <w:sz w:val="18"/>
                <w:szCs w:val="18"/>
                <w:lang w:eastAsia="fr-FR"/>
              </w:rPr>
              <w:t>0.066 (0.464)</w:t>
            </w:r>
          </w:p>
        </w:tc>
      </w:tr>
      <w:tr w:rsidR="00270B50" w:rsidRPr="00C933A9" w14:paraId="713519BC" w14:textId="77777777" w:rsidTr="001144B9">
        <w:trPr>
          <w:trHeight w:val="23"/>
        </w:trPr>
        <w:tc>
          <w:tcPr>
            <w:tcW w:w="2162" w:type="pct"/>
            <w:tcBorders>
              <w:bottom w:val="single" w:sz="4" w:space="0" w:color="auto"/>
            </w:tcBorders>
            <w:shd w:val="clear" w:color="auto" w:fill="auto"/>
            <w:tcMar>
              <w:top w:w="72" w:type="dxa"/>
              <w:left w:w="144" w:type="dxa"/>
              <w:bottom w:w="72" w:type="dxa"/>
              <w:right w:w="144" w:type="dxa"/>
            </w:tcMar>
            <w:vAlign w:val="center"/>
          </w:tcPr>
          <w:p w14:paraId="3898931A" w14:textId="77777777" w:rsidR="00270B50" w:rsidRPr="00C933A9" w:rsidRDefault="00270B50" w:rsidP="00270B50">
            <w:pPr>
              <w:spacing w:before="0" w:after="0"/>
              <w:rPr>
                <w:rFonts w:cs="Times New Roman"/>
                <w:sz w:val="18"/>
                <w:szCs w:val="18"/>
                <w:lang w:eastAsia="fr-FR"/>
              </w:rPr>
            </w:pPr>
            <w:r w:rsidRPr="00C933A9">
              <w:rPr>
                <w:rFonts w:cs="Times New Roman"/>
                <w:sz w:val="18"/>
                <w:szCs w:val="18"/>
                <w:lang w:eastAsia="fr-FR"/>
              </w:rPr>
              <w:t>DG/CA2-3-4</w:t>
            </w:r>
          </w:p>
        </w:tc>
        <w:tc>
          <w:tcPr>
            <w:tcW w:w="848" w:type="pct"/>
            <w:tcBorders>
              <w:bottom w:val="single" w:sz="4" w:space="0" w:color="auto"/>
            </w:tcBorders>
            <w:shd w:val="clear" w:color="auto" w:fill="auto"/>
            <w:tcMar>
              <w:top w:w="72" w:type="dxa"/>
              <w:left w:w="144" w:type="dxa"/>
              <w:bottom w:w="72" w:type="dxa"/>
              <w:right w:w="144" w:type="dxa"/>
            </w:tcMar>
            <w:vAlign w:val="center"/>
          </w:tcPr>
          <w:p w14:paraId="50502EAD" w14:textId="77777777" w:rsidR="00270B50" w:rsidRPr="00C933A9" w:rsidRDefault="00270B50" w:rsidP="00270B50">
            <w:pPr>
              <w:spacing w:before="0" w:after="0"/>
              <w:jc w:val="center"/>
              <w:rPr>
                <w:rFonts w:cs="Times New Roman"/>
                <w:kern w:val="3"/>
                <w:sz w:val="18"/>
                <w:szCs w:val="18"/>
                <w:lang w:eastAsia="fr-FR"/>
              </w:rPr>
            </w:pPr>
            <w:r w:rsidRPr="00C933A9">
              <w:rPr>
                <w:rFonts w:cs="Times New Roman"/>
                <w:kern w:val="3"/>
                <w:sz w:val="18"/>
                <w:szCs w:val="18"/>
                <w:lang w:eastAsia="fr-FR"/>
              </w:rPr>
              <w:t>-0.082 (0.557)</w:t>
            </w:r>
          </w:p>
        </w:tc>
        <w:tc>
          <w:tcPr>
            <w:tcW w:w="1133" w:type="pct"/>
            <w:tcBorders>
              <w:bottom w:val="single" w:sz="4" w:space="0" w:color="auto"/>
            </w:tcBorders>
            <w:shd w:val="clear" w:color="auto" w:fill="auto"/>
            <w:tcMar>
              <w:top w:w="72" w:type="dxa"/>
              <w:left w:w="144" w:type="dxa"/>
              <w:bottom w:w="72" w:type="dxa"/>
              <w:right w:w="144" w:type="dxa"/>
            </w:tcMar>
            <w:vAlign w:val="center"/>
          </w:tcPr>
          <w:p w14:paraId="2F1B81B5" w14:textId="77777777" w:rsidR="00270B50" w:rsidRPr="00C933A9" w:rsidRDefault="00270B50" w:rsidP="00270B50">
            <w:pPr>
              <w:spacing w:before="0" w:after="0"/>
              <w:jc w:val="center"/>
              <w:rPr>
                <w:rFonts w:cs="Times New Roman"/>
                <w:b/>
                <w:kern w:val="3"/>
                <w:sz w:val="18"/>
                <w:szCs w:val="18"/>
                <w:lang w:eastAsia="fr-FR"/>
              </w:rPr>
            </w:pPr>
            <w:r w:rsidRPr="00C933A9">
              <w:rPr>
                <w:rFonts w:cs="Times New Roman"/>
                <w:kern w:val="3"/>
                <w:sz w:val="18"/>
                <w:szCs w:val="18"/>
                <w:lang w:eastAsia="fr-FR"/>
              </w:rPr>
              <w:t>0.173 (0.156)</w:t>
            </w:r>
          </w:p>
        </w:tc>
        <w:tc>
          <w:tcPr>
            <w:tcW w:w="858" w:type="pct"/>
            <w:tcBorders>
              <w:bottom w:val="single" w:sz="4" w:space="0" w:color="auto"/>
            </w:tcBorders>
            <w:shd w:val="clear" w:color="auto" w:fill="auto"/>
            <w:tcMar>
              <w:top w:w="72" w:type="dxa"/>
              <w:left w:w="144" w:type="dxa"/>
              <w:bottom w:w="72" w:type="dxa"/>
              <w:right w:w="144" w:type="dxa"/>
            </w:tcMar>
            <w:vAlign w:val="center"/>
          </w:tcPr>
          <w:p w14:paraId="4D4BD4F2" w14:textId="77777777" w:rsidR="00270B50" w:rsidRPr="00C933A9" w:rsidRDefault="00270B50" w:rsidP="00270B50">
            <w:pPr>
              <w:spacing w:before="0" w:after="0"/>
              <w:jc w:val="center"/>
              <w:rPr>
                <w:rFonts w:eastAsia="SimSun" w:cs="Times New Roman"/>
                <w:kern w:val="3"/>
                <w:sz w:val="18"/>
                <w:szCs w:val="18"/>
                <w:lang w:eastAsia="fr-FR"/>
              </w:rPr>
            </w:pPr>
            <w:r w:rsidRPr="00C933A9">
              <w:rPr>
                <w:rFonts w:eastAsia="SimSun" w:cs="Times New Roman"/>
                <w:kern w:val="3"/>
                <w:sz w:val="18"/>
                <w:szCs w:val="18"/>
                <w:lang w:eastAsia="fr-FR"/>
              </w:rPr>
              <w:t>0.022 (0.804)</w:t>
            </w:r>
          </w:p>
        </w:tc>
      </w:tr>
    </w:tbl>
    <w:p w14:paraId="6DE4B398" w14:textId="08EB8E0B" w:rsidR="00CB2457" w:rsidRPr="00C933A9" w:rsidRDefault="009A7E43" w:rsidP="009A7E43">
      <w:pPr>
        <w:rPr>
          <w:lang w:eastAsia="en-GB"/>
        </w:rPr>
      </w:pPr>
      <w:r w:rsidRPr="00C933A9">
        <w:t xml:space="preserve">Values </w:t>
      </w:r>
      <w:r w:rsidR="0036172E" w:rsidRPr="00C933A9">
        <w:t xml:space="preserve">indicate r (p) values of the Pearson’s partial correlations between epinephrine and </w:t>
      </w:r>
      <w:r w:rsidR="00702E4D" w:rsidRPr="00C933A9">
        <w:t>hippocampal-hypothalamic</w:t>
      </w:r>
      <w:r w:rsidR="0036172E" w:rsidRPr="00C933A9">
        <w:t xml:space="preserve"> </w:t>
      </w:r>
      <w:r w:rsidR="00367488" w:rsidRPr="00C933A9">
        <w:t xml:space="preserve">functional </w:t>
      </w:r>
      <w:r w:rsidR="0036172E" w:rsidRPr="00C933A9">
        <w:t xml:space="preserve">connectivity </w:t>
      </w:r>
      <w:r w:rsidR="004C19D6" w:rsidRPr="00C933A9">
        <w:t>on the one hand</w:t>
      </w:r>
      <w:r w:rsidR="00CA56BA" w:rsidRPr="00C933A9">
        <w:t xml:space="preserve">, </w:t>
      </w:r>
      <w:r w:rsidR="004C19D6" w:rsidRPr="00C933A9">
        <w:t xml:space="preserve">and </w:t>
      </w:r>
      <w:r w:rsidR="00CA56BA" w:rsidRPr="00C933A9">
        <w:t>hypothalamic and hippocampal gray matter volumes</w:t>
      </w:r>
      <w:r w:rsidR="004C19D6" w:rsidRPr="00C933A9">
        <w:t xml:space="preserve"> on the other hand, for each group (</w:t>
      </w:r>
      <w:proofErr w:type="spellStart"/>
      <w:r w:rsidR="004C19D6" w:rsidRPr="00C933A9">
        <w:t>DepS</w:t>
      </w:r>
      <w:proofErr w:type="spellEnd"/>
      <w:r w:rsidR="004C19D6" w:rsidRPr="00C933A9">
        <w:t xml:space="preserve">, </w:t>
      </w:r>
      <w:proofErr w:type="spellStart"/>
      <w:r w:rsidR="004C19D6" w:rsidRPr="00C933A9">
        <w:t>NoDepS</w:t>
      </w:r>
      <w:proofErr w:type="spellEnd"/>
      <w:r w:rsidR="004C19D6" w:rsidRPr="00C933A9">
        <w:t xml:space="preserve"> and</w:t>
      </w:r>
      <w:r w:rsidR="00721A3A" w:rsidRPr="00C933A9">
        <w:t xml:space="preserve"> </w:t>
      </w:r>
      <w:r w:rsidR="004A3709" w:rsidRPr="00C933A9">
        <w:t>E</w:t>
      </w:r>
      <w:r w:rsidR="00721A3A" w:rsidRPr="00C933A9">
        <w:t>ntire sample</w:t>
      </w:r>
      <w:r w:rsidR="004C19D6" w:rsidRPr="00C933A9">
        <w:t>)</w:t>
      </w:r>
      <w:r w:rsidR="00CA56BA" w:rsidRPr="00C933A9">
        <w:t>.</w:t>
      </w:r>
      <w:r w:rsidR="00817EF8" w:rsidRPr="00C933A9">
        <w:t xml:space="preserve"> </w:t>
      </w:r>
      <w:r w:rsidR="000F5840" w:rsidRPr="00C933A9">
        <w:t>All a</w:t>
      </w:r>
      <w:r w:rsidR="00C17D47" w:rsidRPr="00C933A9">
        <w:t>nalyses were adjusted for age, sex, education and anxiety symptoms.</w:t>
      </w:r>
      <w:r w:rsidR="00482ABB" w:rsidRPr="00C933A9">
        <w:t xml:space="preserve"> Values in bold correspond to significant p-values (p&lt;0.05).</w:t>
      </w:r>
      <w:r w:rsidR="00C17D47" w:rsidRPr="00C933A9">
        <w:t xml:space="preserve"> </w:t>
      </w:r>
      <w:r w:rsidR="00817EF8" w:rsidRPr="00C933A9">
        <w:t xml:space="preserve">N, Sample size; </w:t>
      </w:r>
      <w:proofErr w:type="spellStart"/>
      <w:r w:rsidR="00817EF8" w:rsidRPr="00C933A9">
        <w:rPr>
          <w:lang w:eastAsia="en-GB"/>
        </w:rPr>
        <w:t>NoDepS</w:t>
      </w:r>
      <w:proofErr w:type="spellEnd"/>
      <w:r w:rsidR="00817EF8" w:rsidRPr="00C933A9">
        <w:rPr>
          <w:lang w:eastAsia="en-GB"/>
        </w:rPr>
        <w:t xml:space="preserve">, Group without depressive symptoms; </w:t>
      </w:r>
      <w:proofErr w:type="spellStart"/>
      <w:r w:rsidR="00817EF8" w:rsidRPr="00C933A9">
        <w:rPr>
          <w:lang w:eastAsia="en-GB"/>
        </w:rPr>
        <w:t>DepS</w:t>
      </w:r>
      <w:proofErr w:type="spellEnd"/>
      <w:r w:rsidR="00817EF8" w:rsidRPr="00C933A9">
        <w:rPr>
          <w:lang w:eastAsia="en-GB"/>
        </w:rPr>
        <w:t>, Group with subclinical depressive symptoms</w:t>
      </w:r>
      <w:r w:rsidR="00D75AEB" w:rsidRPr="00C933A9">
        <w:rPr>
          <w:lang w:eastAsia="en-GB"/>
        </w:rPr>
        <w:t xml:space="preserve">; DG, Dentate Gyrus; CA, </w:t>
      </w:r>
      <w:proofErr w:type="spellStart"/>
      <w:r w:rsidR="00D75AEB" w:rsidRPr="00C933A9">
        <w:rPr>
          <w:lang w:eastAsia="en-GB"/>
        </w:rPr>
        <w:t>Cornu</w:t>
      </w:r>
      <w:proofErr w:type="spellEnd"/>
      <w:r w:rsidR="00D75AEB" w:rsidRPr="00C933A9">
        <w:rPr>
          <w:lang w:eastAsia="en-GB"/>
        </w:rPr>
        <w:t xml:space="preserve"> </w:t>
      </w:r>
      <w:proofErr w:type="spellStart"/>
      <w:r w:rsidR="00D75AEB" w:rsidRPr="00C933A9">
        <w:rPr>
          <w:lang w:eastAsia="en-GB"/>
        </w:rPr>
        <w:t>Ammonis</w:t>
      </w:r>
      <w:proofErr w:type="spellEnd"/>
      <w:r w:rsidR="00817EF8" w:rsidRPr="00C933A9">
        <w:rPr>
          <w:lang w:eastAsia="en-GB"/>
        </w:rPr>
        <w:t>.</w:t>
      </w:r>
    </w:p>
    <w:p w14:paraId="148800CA" w14:textId="0A4350B9" w:rsidR="0021446F" w:rsidRPr="00582054" w:rsidRDefault="0021446F" w:rsidP="0021446F">
      <w:bookmarkStart w:id="2" w:name="_Hlk173537414"/>
      <w:r w:rsidRPr="00C933A9">
        <w:rPr>
          <w:b/>
        </w:rPr>
        <w:lastRenderedPageBreak/>
        <w:t xml:space="preserve">Supplementary Table </w:t>
      </w:r>
      <w:r w:rsidR="008920ED" w:rsidRPr="00C933A9">
        <w:rPr>
          <w:b/>
        </w:rPr>
        <w:t>3</w:t>
      </w:r>
      <w:r w:rsidRPr="002A59FE">
        <w:rPr>
          <w:b/>
        </w:rPr>
        <w:t>.</w:t>
      </w:r>
      <w:r w:rsidRPr="002A59FE">
        <w:t xml:space="preserve"> Intra-group associations between epinephrine and resting-state functional connectivity, as well as hypothalamic and hippocampal gray matter volumes</w:t>
      </w:r>
      <w:r w:rsidRPr="00582054">
        <w:t xml:space="preserve"> corrected for additional </w:t>
      </w:r>
      <w:r w:rsidR="008920ED" w:rsidRPr="00582054">
        <w:t>covariates</w:t>
      </w:r>
      <w:r w:rsidRPr="00582054">
        <w:t>.</w:t>
      </w:r>
    </w:p>
    <w:tbl>
      <w:tblPr>
        <w:tblW w:w="5060" w:type="pct"/>
        <w:tblLayout w:type="fixed"/>
        <w:tblCellMar>
          <w:left w:w="0" w:type="dxa"/>
          <w:right w:w="0" w:type="dxa"/>
        </w:tblCellMar>
        <w:tblLook w:val="0420" w:firstRow="1" w:lastRow="0" w:firstColumn="0" w:lastColumn="0" w:noHBand="0" w:noVBand="1"/>
      </w:tblPr>
      <w:tblGrid>
        <w:gridCol w:w="3970"/>
        <w:gridCol w:w="1557"/>
        <w:gridCol w:w="2080"/>
        <w:gridCol w:w="1574"/>
      </w:tblGrid>
      <w:tr w:rsidR="0021446F" w:rsidRPr="00582054" w14:paraId="18B64899" w14:textId="77777777" w:rsidTr="008920ED">
        <w:trPr>
          <w:trHeight w:val="587"/>
        </w:trPr>
        <w:tc>
          <w:tcPr>
            <w:tcW w:w="2162" w:type="pct"/>
            <w:tcBorders>
              <w:top w:val="single" w:sz="4" w:space="0" w:color="auto"/>
              <w:bottom w:val="single" w:sz="4" w:space="0" w:color="auto"/>
            </w:tcBorders>
            <w:shd w:val="clear" w:color="auto" w:fill="FFFFFF"/>
            <w:tcMar>
              <w:top w:w="72" w:type="dxa"/>
              <w:left w:w="144" w:type="dxa"/>
              <w:bottom w:w="72" w:type="dxa"/>
              <w:right w:w="144" w:type="dxa"/>
            </w:tcMar>
            <w:vAlign w:val="center"/>
            <w:hideMark/>
          </w:tcPr>
          <w:bookmarkEnd w:id="2"/>
          <w:p w14:paraId="4092F21E" w14:textId="77777777" w:rsidR="0021446F" w:rsidRPr="00582054" w:rsidRDefault="0021446F" w:rsidP="00E47344">
            <w:pPr>
              <w:spacing w:before="0" w:after="0"/>
              <w:rPr>
                <w:rFonts w:cs="Times New Roman"/>
                <w:b/>
                <w:sz w:val="18"/>
                <w:szCs w:val="18"/>
                <w:lang w:eastAsia="fr-FR"/>
              </w:rPr>
            </w:pPr>
            <w:r w:rsidRPr="00582054">
              <w:rPr>
                <w:rFonts w:cs="Times New Roman"/>
                <w:b/>
                <w:sz w:val="18"/>
                <w:szCs w:val="18"/>
                <w:lang w:eastAsia="fr-FR"/>
              </w:rPr>
              <w:t xml:space="preserve">Pearson’s Partial Correlations </w:t>
            </w:r>
          </w:p>
          <w:p w14:paraId="605F2D3B" w14:textId="77777777" w:rsidR="0021446F" w:rsidRPr="00582054" w:rsidRDefault="0021446F" w:rsidP="00E47344">
            <w:pPr>
              <w:spacing w:before="0" w:after="0"/>
              <w:rPr>
                <w:rFonts w:cs="Times New Roman"/>
                <w:b/>
                <w:sz w:val="18"/>
                <w:szCs w:val="18"/>
                <w:lang w:eastAsia="fr-FR"/>
              </w:rPr>
            </w:pPr>
            <w:r w:rsidRPr="00582054">
              <w:rPr>
                <w:rFonts w:cs="Times New Roman"/>
                <w:b/>
                <w:sz w:val="18"/>
                <w:szCs w:val="18"/>
                <w:lang w:eastAsia="fr-FR"/>
              </w:rPr>
              <w:t>with Plasma Epinephrine</w:t>
            </w:r>
          </w:p>
          <w:p w14:paraId="3E572373" w14:textId="77777777" w:rsidR="0021446F" w:rsidRPr="00582054" w:rsidRDefault="0021446F" w:rsidP="00E47344">
            <w:pPr>
              <w:spacing w:before="0" w:after="0"/>
              <w:rPr>
                <w:rFonts w:cs="Times New Roman"/>
                <w:b/>
                <w:sz w:val="18"/>
                <w:szCs w:val="18"/>
                <w:lang w:eastAsia="fr-FR"/>
              </w:rPr>
            </w:pPr>
            <w:r w:rsidRPr="00582054">
              <w:rPr>
                <w:rFonts w:cs="Times New Roman"/>
                <w:b/>
                <w:sz w:val="18"/>
                <w:szCs w:val="18"/>
                <w:lang w:eastAsia="fr-FR"/>
              </w:rPr>
              <w:t>r (p)</w:t>
            </w:r>
          </w:p>
        </w:tc>
        <w:tc>
          <w:tcPr>
            <w:tcW w:w="848"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2FF7C5A6" w14:textId="77777777" w:rsidR="0021446F" w:rsidRPr="00582054" w:rsidRDefault="0021446F" w:rsidP="00E47344">
            <w:pPr>
              <w:spacing w:before="0" w:after="0"/>
              <w:jc w:val="center"/>
              <w:rPr>
                <w:rFonts w:cs="Times New Roman"/>
                <w:b/>
                <w:sz w:val="18"/>
                <w:szCs w:val="18"/>
                <w:lang w:eastAsia="fr-FR"/>
              </w:rPr>
            </w:pPr>
            <w:proofErr w:type="spellStart"/>
            <w:r w:rsidRPr="00582054">
              <w:rPr>
                <w:rFonts w:cs="Times New Roman"/>
                <w:b/>
                <w:sz w:val="18"/>
                <w:szCs w:val="18"/>
                <w:lang w:eastAsia="fr-FR"/>
              </w:rPr>
              <w:t>NoDepS</w:t>
            </w:r>
            <w:proofErr w:type="spellEnd"/>
            <w:r w:rsidRPr="00582054">
              <w:rPr>
                <w:rFonts w:cs="Times New Roman"/>
                <w:b/>
                <w:sz w:val="18"/>
                <w:szCs w:val="18"/>
                <w:lang w:eastAsia="fr-FR"/>
              </w:rPr>
              <w:t xml:space="preserve"> Group</w:t>
            </w:r>
          </w:p>
          <w:p w14:paraId="4F664719" w14:textId="77777777" w:rsidR="0021446F" w:rsidRPr="00582054" w:rsidRDefault="0021446F" w:rsidP="00E47344">
            <w:pPr>
              <w:spacing w:before="0" w:after="0"/>
              <w:jc w:val="center"/>
              <w:rPr>
                <w:rFonts w:cs="Times New Roman"/>
                <w:b/>
                <w:sz w:val="18"/>
                <w:szCs w:val="18"/>
                <w:lang w:eastAsia="fr-FR"/>
              </w:rPr>
            </w:pPr>
          </w:p>
          <w:p w14:paraId="21C26319" w14:textId="77777777" w:rsidR="0021446F" w:rsidRPr="00582054" w:rsidRDefault="0021446F" w:rsidP="00E47344">
            <w:pPr>
              <w:spacing w:before="0" w:after="0"/>
              <w:jc w:val="center"/>
              <w:rPr>
                <w:rFonts w:cs="Times New Roman"/>
                <w:b/>
                <w:sz w:val="18"/>
                <w:szCs w:val="18"/>
                <w:lang w:eastAsia="fr-FR"/>
              </w:rPr>
            </w:pPr>
          </w:p>
        </w:tc>
        <w:tc>
          <w:tcPr>
            <w:tcW w:w="1133"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396087D4" w14:textId="77777777" w:rsidR="0021446F" w:rsidRPr="00582054" w:rsidRDefault="0021446F" w:rsidP="00E47344">
            <w:pPr>
              <w:spacing w:before="0" w:after="0"/>
              <w:jc w:val="center"/>
              <w:rPr>
                <w:rFonts w:cs="Times New Roman"/>
                <w:b/>
                <w:sz w:val="18"/>
                <w:szCs w:val="18"/>
                <w:lang w:eastAsia="fr-FR"/>
              </w:rPr>
            </w:pPr>
            <w:proofErr w:type="spellStart"/>
            <w:r w:rsidRPr="00582054">
              <w:rPr>
                <w:rFonts w:cs="Times New Roman"/>
                <w:b/>
                <w:sz w:val="18"/>
                <w:szCs w:val="18"/>
                <w:lang w:eastAsia="fr-FR"/>
              </w:rPr>
              <w:t>DepS</w:t>
            </w:r>
            <w:proofErr w:type="spellEnd"/>
            <w:r w:rsidRPr="00582054">
              <w:rPr>
                <w:rFonts w:cs="Times New Roman"/>
                <w:b/>
                <w:sz w:val="18"/>
                <w:szCs w:val="18"/>
                <w:lang w:eastAsia="fr-FR"/>
              </w:rPr>
              <w:t xml:space="preserve"> Group</w:t>
            </w:r>
          </w:p>
          <w:p w14:paraId="4747B060" w14:textId="77777777" w:rsidR="0021446F" w:rsidRPr="00582054" w:rsidRDefault="0021446F" w:rsidP="00E47344">
            <w:pPr>
              <w:spacing w:before="0" w:after="0"/>
              <w:jc w:val="center"/>
              <w:rPr>
                <w:rFonts w:cs="Times New Roman"/>
                <w:b/>
                <w:sz w:val="18"/>
                <w:szCs w:val="18"/>
                <w:lang w:eastAsia="fr-FR"/>
              </w:rPr>
            </w:pPr>
          </w:p>
          <w:p w14:paraId="24461CFB" w14:textId="77777777" w:rsidR="0021446F" w:rsidRPr="00582054" w:rsidRDefault="0021446F" w:rsidP="00E47344">
            <w:pPr>
              <w:spacing w:before="0" w:after="0"/>
              <w:jc w:val="center"/>
              <w:rPr>
                <w:rFonts w:cs="Times New Roman"/>
                <w:b/>
                <w:sz w:val="18"/>
                <w:szCs w:val="18"/>
                <w:lang w:eastAsia="fr-FR"/>
              </w:rPr>
            </w:pPr>
          </w:p>
        </w:tc>
        <w:tc>
          <w:tcPr>
            <w:tcW w:w="857"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30D29550" w14:textId="77777777" w:rsidR="0021446F" w:rsidRPr="00582054" w:rsidRDefault="0021446F" w:rsidP="00E47344">
            <w:pPr>
              <w:spacing w:before="0" w:after="0"/>
              <w:jc w:val="center"/>
              <w:rPr>
                <w:rFonts w:cs="Times New Roman"/>
                <w:b/>
                <w:sz w:val="18"/>
                <w:szCs w:val="18"/>
                <w:lang w:eastAsia="fr-FR"/>
              </w:rPr>
            </w:pPr>
            <w:r w:rsidRPr="00582054">
              <w:rPr>
                <w:rFonts w:cs="Times New Roman"/>
                <w:b/>
                <w:sz w:val="18"/>
                <w:szCs w:val="18"/>
                <w:lang w:eastAsia="fr-FR"/>
              </w:rPr>
              <w:t>Entire Sample</w:t>
            </w:r>
          </w:p>
          <w:p w14:paraId="19B6E685" w14:textId="77777777" w:rsidR="0021446F" w:rsidRPr="00582054" w:rsidRDefault="0021446F" w:rsidP="00E47344">
            <w:pPr>
              <w:spacing w:before="0" w:after="0"/>
              <w:jc w:val="center"/>
              <w:rPr>
                <w:rFonts w:cs="Times New Roman"/>
                <w:b/>
                <w:sz w:val="18"/>
                <w:szCs w:val="18"/>
                <w:lang w:eastAsia="fr-FR"/>
              </w:rPr>
            </w:pPr>
          </w:p>
        </w:tc>
      </w:tr>
      <w:tr w:rsidR="0021446F" w:rsidRPr="00582054" w14:paraId="2C54A9D8" w14:textId="77777777" w:rsidTr="008920ED">
        <w:trPr>
          <w:trHeight w:val="23"/>
        </w:trPr>
        <w:tc>
          <w:tcPr>
            <w:tcW w:w="2162"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240BC59D" w14:textId="77777777" w:rsidR="0021446F" w:rsidRPr="00582054" w:rsidRDefault="0021446F" w:rsidP="00E47344">
            <w:pPr>
              <w:spacing w:before="0" w:after="0"/>
              <w:rPr>
                <w:rFonts w:cs="Times New Roman"/>
                <w:b/>
                <w:sz w:val="18"/>
                <w:szCs w:val="18"/>
                <w:lang w:eastAsia="fr-FR"/>
              </w:rPr>
            </w:pPr>
            <w:r w:rsidRPr="00582054">
              <w:rPr>
                <w:rFonts w:cs="Times New Roman"/>
                <w:b/>
                <w:sz w:val="18"/>
                <w:szCs w:val="18"/>
                <w:lang w:eastAsia="fr-FR"/>
              </w:rPr>
              <w:t>Resting-State Functional Connectivity (R value)</w:t>
            </w:r>
          </w:p>
        </w:tc>
        <w:tc>
          <w:tcPr>
            <w:tcW w:w="848"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72A8DC11" w14:textId="77777777" w:rsidR="0021446F" w:rsidRPr="00582054" w:rsidRDefault="0021446F" w:rsidP="00E47344">
            <w:pPr>
              <w:spacing w:before="0" w:after="0"/>
              <w:jc w:val="center"/>
              <w:rPr>
                <w:rFonts w:cs="Times New Roman"/>
                <w:kern w:val="3"/>
                <w:sz w:val="18"/>
                <w:szCs w:val="18"/>
                <w:highlight w:val="yellow"/>
                <w:lang w:eastAsia="fr-FR"/>
              </w:rPr>
            </w:pPr>
            <w:r w:rsidRPr="00582054">
              <w:rPr>
                <w:rFonts w:cs="Times New Roman"/>
                <w:b/>
                <w:sz w:val="18"/>
                <w:szCs w:val="18"/>
                <w:lang w:eastAsia="fr-FR"/>
              </w:rPr>
              <w:t>(n=53)</w:t>
            </w:r>
          </w:p>
        </w:tc>
        <w:tc>
          <w:tcPr>
            <w:tcW w:w="1133"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530F75AE" w14:textId="77777777" w:rsidR="0021446F" w:rsidRPr="00582054" w:rsidRDefault="0021446F" w:rsidP="00E47344">
            <w:pPr>
              <w:spacing w:before="0" w:after="0"/>
              <w:jc w:val="center"/>
              <w:rPr>
                <w:rFonts w:eastAsia="SimSun" w:cs="Times New Roman"/>
                <w:kern w:val="3"/>
                <w:sz w:val="18"/>
                <w:szCs w:val="18"/>
                <w:highlight w:val="yellow"/>
                <w:lang w:eastAsia="fr-FR"/>
              </w:rPr>
            </w:pPr>
            <w:r w:rsidRPr="00582054">
              <w:rPr>
                <w:rFonts w:cs="Times New Roman"/>
                <w:b/>
                <w:sz w:val="18"/>
                <w:szCs w:val="18"/>
                <w:lang w:eastAsia="fr-FR"/>
              </w:rPr>
              <w:t>(n=70)</w:t>
            </w:r>
          </w:p>
        </w:tc>
        <w:tc>
          <w:tcPr>
            <w:tcW w:w="857"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132277A5" w14:textId="77777777" w:rsidR="0021446F" w:rsidRPr="00582054" w:rsidRDefault="0021446F" w:rsidP="00E47344">
            <w:pPr>
              <w:spacing w:before="0" w:after="0"/>
              <w:jc w:val="center"/>
              <w:rPr>
                <w:rFonts w:eastAsia="SimSun" w:cs="Times New Roman"/>
                <w:b/>
                <w:kern w:val="3"/>
                <w:sz w:val="18"/>
                <w:szCs w:val="18"/>
                <w:highlight w:val="yellow"/>
                <w:lang w:eastAsia="fr-FR"/>
              </w:rPr>
            </w:pPr>
            <w:r w:rsidRPr="00582054">
              <w:rPr>
                <w:rFonts w:cs="Times New Roman"/>
                <w:b/>
                <w:sz w:val="18"/>
                <w:szCs w:val="18"/>
                <w:lang w:eastAsia="fr-FR"/>
              </w:rPr>
              <w:t>(n=123)</w:t>
            </w:r>
          </w:p>
        </w:tc>
      </w:tr>
      <w:tr w:rsidR="008920ED" w:rsidRPr="00582054" w14:paraId="16BB6B4A" w14:textId="77777777" w:rsidTr="008920ED">
        <w:trPr>
          <w:trHeight w:val="248"/>
        </w:trPr>
        <w:tc>
          <w:tcPr>
            <w:tcW w:w="2162" w:type="pct"/>
            <w:tcBorders>
              <w:top w:val="single" w:sz="4" w:space="0" w:color="auto"/>
            </w:tcBorders>
            <w:shd w:val="clear" w:color="auto" w:fill="auto"/>
            <w:tcMar>
              <w:top w:w="72" w:type="dxa"/>
              <w:left w:w="144" w:type="dxa"/>
              <w:bottom w:w="72" w:type="dxa"/>
              <w:right w:w="144" w:type="dxa"/>
            </w:tcMar>
            <w:vAlign w:val="center"/>
          </w:tcPr>
          <w:p w14:paraId="47048016" w14:textId="77777777" w:rsidR="008920ED" w:rsidRPr="00582054" w:rsidRDefault="008920ED" w:rsidP="008920ED">
            <w:pPr>
              <w:spacing w:before="0" w:after="0"/>
              <w:rPr>
                <w:rFonts w:cs="Times New Roman"/>
                <w:sz w:val="18"/>
                <w:szCs w:val="18"/>
                <w:lang w:eastAsia="fr-FR"/>
              </w:rPr>
            </w:pPr>
            <w:r w:rsidRPr="00582054">
              <w:rPr>
                <w:rFonts w:cs="Times New Roman"/>
                <w:sz w:val="18"/>
                <w:szCs w:val="18"/>
                <w:lang w:eastAsia="fr-FR"/>
              </w:rPr>
              <w:t>Whole Hippocampus – Hypothalamus</w:t>
            </w:r>
          </w:p>
        </w:tc>
        <w:tc>
          <w:tcPr>
            <w:tcW w:w="848" w:type="pct"/>
            <w:tcBorders>
              <w:top w:val="single" w:sz="4" w:space="0" w:color="auto"/>
            </w:tcBorders>
            <w:shd w:val="clear" w:color="auto" w:fill="auto"/>
            <w:tcMar>
              <w:top w:w="72" w:type="dxa"/>
              <w:left w:w="144" w:type="dxa"/>
              <w:bottom w:w="72" w:type="dxa"/>
              <w:right w:w="144" w:type="dxa"/>
            </w:tcMar>
            <w:vAlign w:val="center"/>
          </w:tcPr>
          <w:p w14:paraId="12B2A3D0" w14:textId="0DBF1894"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0.046 (0.759)</w:t>
            </w:r>
          </w:p>
        </w:tc>
        <w:tc>
          <w:tcPr>
            <w:tcW w:w="1133" w:type="pct"/>
            <w:tcBorders>
              <w:top w:val="single" w:sz="4" w:space="0" w:color="auto"/>
            </w:tcBorders>
            <w:shd w:val="clear" w:color="auto" w:fill="auto"/>
            <w:tcMar>
              <w:top w:w="72" w:type="dxa"/>
              <w:left w:w="144" w:type="dxa"/>
              <w:bottom w:w="72" w:type="dxa"/>
              <w:right w:w="144" w:type="dxa"/>
            </w:tcMar>
            <w:vAlign w:val="center"/>
          </w:tcPr>
          <w:p w14:paraId="6A43118A" w14:textId="1A8858EA" w:rsidR="008920ED" w:rsidRPr="00582054" w:rsidRDefault="008920ED" w:rsidP="008920ED">
            <w:pPr>
              <w:spacing w:before="0" w:after="0"/>
              <w:jc w:val="center"/>
              <w:rPr>
                <w:rFonts w:cs="Times New Roman"/>
                <w:kern w:val="3"/>
                <w:sz w:val="18"/>
                <w:szCs w:val="18"/>
                <w:lang w:eastAsia="fr-FR"/>
              </w:rPr>
            </w:pPr>
            <w:r w:rsidRPr="00582054">
              <w:rPr>
                <w:rFonts w:cs="Times New Roman"/>
                <w:b/>
                <w:kern w:val="3"/>
                <w:sz w:val="18"/>
                <w:szCs w:val="18"/>
                <w:lang w:eastAsia="fr-FR"/>
              </w:rPr>
              <w:t>0.264 (0.038)</w:t>
            </w:r>
          </w:p>
        </w:tc>
        <w:tc>
          <w:tcPr>
            <w:tcW w:w="857" w:type="pct"/>
            <w:tcBorders>
              <w:top w:val="single" w:sz="4" w:space="0" w:color="auto"/>
            </w:tcBorders>
            <w:shd w:val="clear" w:color="auto" w:fill="auto"/>
            <w:tcMar>
              <w:top w:w="72" w:type="dxa"/>
              <w:left w:w="144" w:type="dxa"/>
              <w:bottom w:w="72" w:type="dxa"/>
              <w:right w:w="144" w:type="dxa"/>
            </w:tcMar>
            <w:vAlign w:val="center"/>
          </w:tcPr>
          <w:p w14:paraId="2A04D711" w14:textId="1B460F3C" w:rsidR="008920ED" w:rsidRPr="00582054" w:rsidRDefault="008920ED" w:rsidP="008920ED">
            <w:pPr>
              <w:spacing w:before="0" w:after="0"/>
              <w:jc w:val="center"/>
              <w:rPr>
                <w:rFonts w:eastAsia="SimSun" w:cs="Times New Roman"/>
                <w:kern w:val="3"/>
                <w:sz w:val="18"/>
                <w:szCs w:val="18"/>
                <w:lang w:eastAsia="fr-FR"/>
              </w:rPr>
            </w:pPr>
            <w:r w:rsidRPr="00582054">
              <w:rPr>
                <w:rFonts w:eastAsia="SimSun" w:cs="Times New Roman"/>
                <w:kern w:val="3"/>
                <w:sz w:val="18"/>
                <w:szCs w:val="18"/>
                <w:lang w:eastAsia="fr-FR"/>
              </w:rPr>
              <w:t>0.177 (0.059)</w:t>
            </w:r>
          </w:p>
        </w:tc>
      </w:tr>
      <w:tr w:rsidR="008920ED" w:rsidRPr="00582054" w14:paraId="4C918AD7" w14:textId="77777777" w:rsidTr="008920ED">
        <w:trPr>
          <w:trHeight w:val="248"/>
        </w:trPr>
        <w:tc>
          <w:tcPr>
            <w:tcW w:w="2162" w:type="pct"/>
            <w:shd w:val="clear" w:color="auto" w:fill="auto"/>
            <w:tcMar>
              <w:top w:w="72" w:type="dxa"/>
              <w:left w:w="144" w:type="dxa"/>
              <w:bottom w:w="72" w:type="dxa"/>
              <w:right w:w="144" w:type="dxa"/>
            </w:tcMar>
            <w:vAlign w:val="center"/>
          </w:tcPr>
          <w:p w14:paraId="2F0FADA1" w14:textId="77777777" w:rsidR="008920ED" w:rsidRPr="00582054" w:rsidRDefault="008920ED" w:rsidP="008920ED">
            <w:pPr>
              <w:spacing w:before="0" w:after="0"/>
              <w:rPr>
                <w:rFonts w:cs="Times New Roman"/>
                <w:sz w:val="18"/>
                <w:szCs w:val="18"/>
                <w:lang w:eastAsia="fr-FR"/>
              </w:rPr>
            </w:pPr>
            <w:r w:rsidRPr="00582054">
              <w:rPr>
                <w:rFonts w:cs="Times New Roman"/>
                <w:sz w:val="18"/>
                <w:szCs w:val="18"/>
                <w:lang w:eastAsia="fr-FR"/>
              </w:rPr>
              <w:t>CA1 – Hypothalamus</w:t>
            </w:r>
          </w:p>
        </w:tc>
        <w:tc>
          <w:tcPr>
            <w:tcW w:w="848" w:type="pct"/>
            <w:shd w:val="clear" w:color="auto" w:fill="auto"/>
            <w:tcMar>
              <w:top w:w="72" w:type="dxa"/>
              <w:left w:w="144" w:type="dxa"/>
              <w:bottom w:w="72" w:type="dxa"/>
              <w:right w:w="144" w:type="dxa"/>
            </w:tcMar>
            <w:vAlign w:val="center"/>
          </w:tcPr>
          <w:p w14:paraId="0784D8BA" w14:textId="6B2ED999"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0.016 (0.914)</w:t>
            </w:r>
          </w:p>
        </w:tc>
        <w:tc>
          <w:tcPr>
            <w:tcW w:w="1133" w:type="pct"/>
            <w:shd w:val="clear" w:color="auto" w:fill="auto"/>
            <w:tcMar>
              <w:top w:w="72" w:type="dxa"/>
              <w:left w:w="144" w:type="dxa"/>
              <w:bottom w:w="72" w:type="dxa"/>
              <w:right w:w="144" w:type="dxa"/>
            </w:tcMar>
            <w:vAlign w:val="center"/>
          </w:tcPr>
          <w:p w14:paraId="0E7B05E1" w14:textId="3AB8DA26" w:rsidR="008920ED" w:rsidRPr="00582054" w:rsidRDefault="008920ED" w:rsidP="008920ED">
            <w:pPr>
              <w:spacing w:before="0" w:after="0"/>
              <w:jc w:val="center"/>
              <w:rPr>
                <w:rFonts w:cs="Times New Roman"/>
                <w:b/>
                <w:kern w:val="3"/>
                <w:sz w:val="18"/>
                <w:szCs w:val="18"/>
                <w:lang w:eastAsia="fr-FR"/>
              </w:rPr>
            </w:pPr>
            <w:r w:rsidRPr="00582054">
              <w:rPr>
                <w:rFonts w:cs="Times New Roman"/>
                <w:b/>
                <w:kern w:val="3"/>
                <w:sz w:val="18"/>
                <w:szCs w:val="18"/>
                <w:lang w:eastAsia="fr-FR"/>
              </w:rPr>
              <w:t>0.359 (0.004)</w:t>
            </w:r>
          </w:p>
        </w:tc>
        <w:tc>
          <w:tcPr>
            <w:tcW w:w="857" w:type="pct"/>
            <w:shd w:val="clear" w:color="auto" w:fill="auto"/>
            <w:tcMar>
              <w:top w:w="72" w:type="dxa"/>
              <w:left w:w="144" w:type="dxa"/>
              <w:bottom w:w="72" w:type="dxa"/>
              <w:right w:w="144" w:type="dxa"/>
            </w:tcMar>
            <w:vAlign w:val="center"/>
          </w:tcPr>
          <w:p w14:paraId="209D45F5" w14:textId="7E9B3FDD" w:rsidR="008920ED" w:rsidRPr="00582054" w:rsidRDefault="008920ED" w:rsidP="008920ED">
            <w:pPr>
              <w:spacing w:before="0" w:after="0"/>
              <w:jc w:val="center"/>
              <w:rPr>
                <w:rFonts w:eastAsia="SimSun" w:cs="Times New Roman"/>
                <w:b/>
                <w:kern w:val="3"/>
                <w:sz w:val="18"/>
                <w:szCs w:val="18"/>
                <w:highlight w:val="yellow"/>
                <w:lang w:eastAsia="fr-FR"/>
              </w:rPr>
            </w:pPr>
            <w:r w:rsidRPr="00582054">
              <w:rPr>
                <w:rFonts w:eastAsia="SimSun" w:cs="Times New Roman"/>
                <w:b/>
                <w:kern w:val="3"/>
                <w:sz w:val="18"/>
                <w:szCs w:val="18"/>
                <w:lang w:eastAsia="fr-FR"/>
              </w:rPr>
              <w:t>0.238 (0.010)</w:t>
            </w:r>
          </w:p>
        </w:tc>
      </w:tr>
      <w:tr w:rsidR="008920ED" w:rsidRPr="00582054" w14:paraId="39372DB2" w14:textId="77777777" w:rsidTr="008920ED">
        <w:trPr>
          <w:trHeight w:val="166"/>
        </w:trPr>
        <w:tc>
          <w:tcPr>
            <w:tcW w:w="2162" w:type="pct"/>
            <w:shd w:val="clear" w:color="auto" w:fill="auto"/>
            <w:tcMar>
              <w:top w:w="72" w:type="dxa"/>
              <w:left w:w="144" w:type="dxa"/>
              <w:bottom w:w="72" w:type="dxa"/>
              <w:right w:w="144" w:type="dxa"/>
            </w:tcMar>
            <w:vAlign w:val="center"/>
          </w:tcPr>
          <w:p w14:paraId="068834D9" w14:textId="77777777" w:rsidR="008920ED" w:rsidRPr="00582054" w:rsidRDefault="008920ED" w:rsidP="008920ED">
            <w:pPr>
              <w:spacing w:before="0" w:after="0"/>
              <w:rPr>
                <w:rFonts w:cs="Times New Roman"/>
                <w:sz w:val="18"/>
                <w:szCs w:val="18"/>
                <w:lang w:eastAsia="fr-FR"/>
              </w:rPr>
            </w:pPr>
            <w:r w:rsidRPr="00582054">
              <w:rPr>
                <w:rFonts w:cs="Times New Roman"/>
                <w:sz w:val="18"/>
                <w:szCs w:val="18"/>
                <w:lang w:eastAsia="fr-FR"/>
              </w:rPr>
              <w:t>Subiculum – Hypothalamus</w:t>
            </w:r>
          </w:p>
        </w:tc>
        <w:tc>
          <w:tcPr>
            <w:tcW w:w="848" w:type="pct"/>
            <w:shd w:val="clear" w:color="auto" w:fill="auto"/>
            <w:tcMar>
              <w:top w:w="72" w:type="dxa"/>
              <w:left w:w="144" w:type="dxa"/>
              <w:bottom w:w="72" w:type="dxa"/>
              <w:right w:w="144" w:type="dxa"/>
            </w:tcMar>
            <w:vAlign w:val="center"/>
          </w:tcPr>
          <w:p w14:paraId="32601B09" w14:textId="713B2C93"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0.042 (0.783)</w:t>
            </w:r>
          </w:p>
        </w:tc>
        <w:tc>
          <w:tcPr>
            <w:tcW w:w="1133" w:type="pct"/>
            <w:shd w:val="clear" w:color="auto" w:fill="auto"/>
            <w:tcMar>
              <w:top w:w="72" w:type="dxa"/>
              <w:left w:w="144" w:type="dxa"/>
              <w:bottom w:w="72" w:type="dxa"/>
              <w:right w:w="144" w:type="dxa"/>
            </w:tcMar>
            <w:vAlign w:val="center"/>
          </w:tcPr>
          <w:p w14:paraId="2BF9F692" w14:textId="692C508C" w:rsidR="008920ED" w:rsidRPr="00582054" w:rsidRDefault="008920ED" w:rsidP="008920ED">
            <w:pPr>
              <w:spacing w:before="0" w:after="0"/>
              <w:jc w:val="center"/>
              <w:rPr>
                <w:rFonts w:cs="Times New Roman"/>
                <w:b/>
                <w:kern w:val="3"/>
                <w:sz w:val="18"/>
                <w:szCs w:val="18"/>
                <w:lang w:eastAsia="fr-FR"/>
              </w:rPr>
            </w:pPr>
            <w:r w:rsidRPr="00582054">
              <w:rPr>
                <w:rFonts w:cs="Times New Roman"/>
                <w:b/>
                <w:kern w:val="3"/>
                <w:sz w:val="18"/>
                <w:szCs w:val="18"/>
                <w:lang w:eastAsia="fr-FR"/>
              </w:rPr>
              <w:t>0.333 (0.008)</w:t>
            </w:r>
          </w:p>
        </w:tc>
        <w:tc>
          <w:tcPr>
            <w:tcW w:w="857" w:type="pct"/>
            <w:shd w:val="clear" w:color="auto" w:fill="auto"/>
            <w:tcMar>
              <w:top w:w="72" w:type="dxa"/>
              <w:left w:w="144" w:type="dxa"/>
              <w:bottom w:w="72" w:type="dxa"/>
              <w:right w:w="144" w:type="dxa"/>
            </w:tcMar>
            <w:vAlign w:val="center"/>
          </w:tcPr>
          <w:p w14:paraId="2F7511C3" w14:textId="5B79762F" w:rsidR="008920ED" w:rsidRPr="00582054" w:rsidRDefault="008920ED" w:rsidP="008920ED">
            <w:pPr>
              <w:spacing w:before="0" w:after="0"/>
              <w:jc w:val="center"/>
              <w:rPr>
                <w:rFonts w:eastAsia="SimSun" w:cs="Times New Roman"/>
                <w:b/>
                <w:kern w:val="3"/>
                <w:sz w:val="18"/>
                <w:szCs w:val="18"/>
                <w:lang w:eastAsia="fr-FR"/>
              </w:rPr>
            </w:pPr>
            <w:r w:rsidRPr="00582054">
              <w:rPr>
                <w:rFonts w:eastAsia="SimSun" w:cs="Times New Roman"/>
                <w:b/>
                <w:kern w:val="3"/>
                <w:sz w:val="18"/>
                <w:szCs w:val="18"/>
                <w:lang w:eastAsia="fr-FR"/>
              </w:rPr>
              <w:t>0.225 (0.016)</w:t>
            </w:r>
          </w:p>
        </w:tc>
      </w:tr>
      <w:tr w:rsidR="008920ED" w:rsidRPr="00582054" w14:paraId="7EAAF78B" w14:textId="77777777" w:rsidTr="008920ED">
        <w:trPr>
          <w:trHeight w:val="248"/>
        </w:trPr>
        <w:tc>
          <w:tcPr>
            <w:tcW w:w="2162" w:type="pct"/>
            <w:tcBorders>
              <w:bottom w:val="single" w:sz="4" w:space="0" w:color="auto"/>
            </w:tcBorders>
            <w:shd w:val="clear" w:color="auto" w:fill="auto"/>
            <w:tcMar>
              <w:top w:w="72" w:type="dxa"/>
              <w:left w:w="144" w:type="dxa"/>
              <w:bottom w:w="72" w:type="dxa"/>
              <w:right w:w="144" w:type="dxa"/>
            </w:tcMar>
            <w:vAlign w:val="center"/>
          </w:tcPr>
          <w:p w14:paraId="14E0E6ED" w14:textId="77777777" w:rsidR="008920ED" w:rsidRPr="00582054" w:rsidRDefault="008920ED" w:rsidP="008920ED">
            <w:pPr>
              <w:spacing w:before="0" w:after="0"/>
              <w:rPr>
                <w:rFonts w:cs="Times New Roman"/>
                <w:sz w:val="18"/>
                <w:szCs w:val="18"/>
                <w:lang w:eastAsia="fr-FR"/>
              </w:rPr>
            </w:pPr>
            <w:r w:rsidRPr="00582054">
              <w:rPr>
                <w:rFonts w:cs="Times New Roman"/>
                <w:sz w:val="18"/>
                <w:szCs w:val="18"/>
                <w:lang w:eastAsia="fr-FR"/>
              </w:rPr>
              <w:t>DG/CA2-3-4 – Hypothalamus</w:t>
            </w:r>
          </w:p>
        </w:tc>
        <w:tc>
          <w:tcPr>
            <w:tcW w:w="848" w:type="pct"/>
            <w:tcBorders>
              <w:bottom w:val="single" w:sz="4" w:space="0" w:color="auto"/>
            </w:tcBorders>
            <w:shd w:val="clear" w:color="auto" w:fill="auto"/>
            <w:tcMar>
              <w:top w:w="72" w:type="dxa"/>
              <w:left w:w="144" w:type="dxa"/>
              <w:bottom w:w="72" w:type="dxa"/>
              <w:right w:w="144" w:type="dxa"/>
            </w:tcMar>
            <w:vAlign w:val="center"/>
          </w:tcPr>
          <w:p w14:paraId="1307BCBC" w14:textId="677A0697"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0.083 (0.585)</w:t>
            </w:r>
          </w:p>
        </w:tc>
        <w:tc>
          <w:tcPr>
            <w:tcW w:w="1133" w:type="pct"/>
            <w:tcBorders>
              <w:bottom w:val="single" w:sz="4" w:space="0" w:color="auto"/>
            </w:tcBorders>
            <w:shd w:val="clear" w:color="auto" w:fill="auto"/>
            <w:tcMar>
              <w:top w:w="72" w:type="dxa"/>
              <w:left w:w="144" w:type="dxa"/>
              <w:bottom w:w="72" w:type="dxa"/>
              <w:right w:w="144" w:type="dxa"/>
            </w:tcMar>
            <w:vAlign w:val="center"/>
          </w:tcPr>
          <w:p w14:paraId="2AE03956" w14:textId="77DE2C06"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0.147 (0.254)</w:t>
            </w:r>
          </w:p>
        </w:tc>
        <w:tc>
          <w:tcPr>
            <w:tcW w:w="857" w:type="pct"/>
            <w:tcBorders>
              <w:bottom w:val="single" w:sz="4" w:space="0" w:color="auto"/>
            </w:tcBorders>
            <w:shd w:val="clear" w:color="auto" w:fill="auto"/>
            <w:tcMar>
              <w:top w:w="72" w:type="dxa"/>
              <w:left w:w="144" w:type="dxa"/>
              <w:bottom w:w="72" w:type="dxa"/>
              <w:right w:w="144" w:type="dxa"/>
            </w:tcMar>
            <w:vAlign w:val="center"/>
          </w:tcPr>
          <w:p w14:paraId="77046531" w14:textId="71C54E40" w:rsidR="008920ED" w:rsidRPr="00582054" w:rsidRDefault="008920ED" w:rsidP="008920ED">
            <w:pPr>
              <w:spacing w:before="0" w:after="0"/>
              <w:jc w:val="center"/>
              <w:rPr>
                <w:rFonts w:eastAsia="SimSun" w:cs="Times New Roman"/>
                <w:kern w:val="3"/>
                <w:sz w:val="18"/>
                <w:szCs w:val="18"/>
                <w:highlight w:val="yellow"/>
                <w:lang w:eastAsia="fr-FR"/>
              </w:rPr>
            </w:pPr>
            <w:r w:rsidRPr="00582054">
              <w:rPr>
                <w:rFonts w:eastAsia="SimSun" w:cs="Times New Roman"/>
                <w:kern w:val="3"/>
                <w:sz w:val="18"/>
                <w:szCs w:val="18"/>
                <w:lang w:eastAsia="fr-FR"/>
              </w:rPr>
              <w:t>0.101 (0.281)</w:t>
            </w:r>
          </w:p>
        </w:tc>
      </w:tr>
      <w:tr w:rsidR="0021446F" w:rsidRPr="00582054" w14:paraId="35C26A6F" w14:textId="77777777" w:rsidTr="008920ED">
        <w:trPr>
          <w:trHeight w:val="23"/>
        </w:trPr>
        <w:tc>
          <w:tcPr>
            <w:tcW w:w="2162"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7FE77B50" w14:textId="77777777" w:rsidR="0021446F" w:rsidRPr="00582054" w:rsidRDefault="0021446F" w:rsidP="00E47344">
            <w:pPr>
              <w:spacing w:before="0" w:after="0"/>
              <w:rPr>
                <w:rFonts w:cs="Times New Roman"/>
                <w:b/>
                <w:sz w:val="18"/>
                <w:szCs w:val="18"/>
                <w:lang w:eastAsia="fr-FR"/>
              </w:rPr>
            </w:pPr>
            <w:r w:rsidRPr="00582054">
              <w:rPr>
                <w:rFonts w:cs="Times New Roman"/>
                <w:b/>
                <w:sz w:val="18"/>
                <w:szCs w:val="18"/>
                <w:lang w:eastAsia="fr-FR"/>
              </w:rPr>
              <w:t>Gray Matter Volumes (mm</w:t>
            </w:r>
            <w:r w:rsidRPr="00582054">
              <w:rPr>
                <w:rFonts w:cs="Times New Roman"/>
                <w:b/>
                <w:sz w:val="18"/>
                <w:szCs w:val="18"/>
                <w:vertAlign w:val="superscript"/>
                <w:lang w:eastAsia="fr-FR"/>
              </w:rPr>
              <w:t>3</w:t>
            </w:r>
            <w:r w:rsidRPr="00582054">
              <w:rPr>
                <w:rFonts w:cs="Times New Roman"/>
                <w:b/>
                <w:sz w:val="18"/>
                <w:szCs w:val="18"/>
                <w:lang w:eastAsia="fr-FR"/>
              </w:rPr>
              <w:t>)</w:t>
            </w:r>
          </w:p>
        </w:tc>
        <w:tc>
          <w:tcPr>
            <w:tcW w:w="848"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6E72BAF3" w14:textId="77777777" w:rsidR="0021446F" w:rsidRPr="00582054" w:rsidRDefault="0021446F" w:rsidP="00E47344">
            <w:pPr>
              <w:spacing w:before="0" w:after="0"/>
              <w:jc w:val="center"/>
              <w:rPr>
                <w:rFonts w:cs="Times New Roman"/>
                <w:kern w:val="3"/>
                <w:sz w:val="18"/>
                <w:szCs w:val="18"/>
                <w:lang w:eastAsia="fr-FR"/>
              </w:rPr>
            </w:pPr>
            <w:r w:rsidRPr="00582054">
              <w:rPr>
                <w:rFonts w:cs="Times New Roman"/>
                <w:b/>
                <w:sz w:val="18"/>
                <w:szCs w:val="18"/>
                <w:lang w:eastAsia="fr-FR"/>
              </w:rPr>
              <w:t>(n=58)</w:t>
            </w:r>
          </w:p>
        </w:tc>
        <w:tc>
          <w:tcPr>
            <w:tcW w:w="1133"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427AE51A" w14:textId="77777777" w:rsidR="0021446F" w:rsidRPr="00582054" w:rsidRDefault="0021446F" w:rsidP="00E47344">
            <w:pPr>
              <w:spacing w:before="0" w:after="0"/>
              <w:jc w:val="center"/>
              <w:rPr>
                <w:rFonts w:cs="Times New Roman"/>
                <w:kern w:val="3"/>
                <w:sz w:val="18"/>
                <w:szCs w:val="18"/>
                <w:lang w:eastAsia="fr-FR"/>
              </w:rPr>
            </w:pPr>
            <w:r w:rsidRPr="00582054">
              <w:rPr>
                <w:rFonts w:cs="Times New Roman"/>
                <w:b/>
                <w:sz w:val="18"/>
                <w:szCs w:val="18"/>
                <w:lang w:eastAsia="fr-FR"/>
              </w:rPr>
              <w:t>(n=73)</w:t>
            </w:r>
          </w:p>
        </w:tc>
        <w:tc>
          <w:tcPr>
            <w:tcW w:w="857" w:type="pct"/>
            <w:tcBorders>
              <w:top w:val="single" w:sz="4" w:space="0" w:color="auto"/>
              <w:bottom w:val="single" w:sz="4" w:space="0" w:color="auto"/>
            </w:tcBorders>
            <w:shd w:val="clear" w:color="auto" w:fill="auto"/>
            <w:tcMar>
              <w:top w:w="72" w:type="dxa"/>
              <w:left w:w="144" w:type="dxa"/>
              <w:bottom w:w="72" w:type="dxa"/>
              <w:right w:w="144" w:type="dxa"/>
            </w:tcMar>
            <w:vAlign w:val="center"/>
          </w:tcPr>
          <w:p w14:paraId="7FB3F4C7" w14:textId="77777777" w:rsidR="0021446F" w:rsidRPr="00582054" w:rsidRDefault="0021446F" w:rsidP="00E47344">
            <w:pPr>
              <w:spacing w:before="0" w:after="0"/>
              <w:jc w:val="center"/>
              <w:rPr>
                <w:rFonts w:eastAsia="SimSun" w:cs="Times New Roman"/>
                <w:b/>
                <w:kern w:val="3"/>
                <w:sz w:val="18"/>
                <w:szCs w:val="18"/>
                <w:highlight w:val="yellow"/>
                <w:lang w:eastAsia="fr-FR"/>
              </w:rPr>
            </w:pPr>
            <w:r w:rsidRPr="00582054">
              <w:rPr>
                <w:rFonts w:cs="Times New Roman"/>
                <w:b/>
                <w:sz w:val="18"/>
                <w:szCs w:val="18"/>
                <w:lang w:eastAsia="fr-FR"/>
              </w:rPr>
              <w:t>(n=131)</w:t>
            </w:r>
          </w:p>
        </w:tc>
      </w:tr>
      <w:tr w:rsidR="008920ED" w:rsidRPr="00582054" w14:paraId="1C395B2A" w14:textId="77777777" w:rsidTr="008920ED">
        <w:trPr>
          <w:trHeight w:val="23"/>
        </w:trPr>
        <w:tc>
          <w:tcPr>
            <w:tcW w:w="2162" w:type="pct"/>
            <w:tcBorders>
              <w:top w:val="single" w:sz="4" w:space="0" w:color="auto"/>
            </w:tcBorders>
            <w:shd w:val="clear" w:color="auto" w:fill="auto"/>
            <w:tcMar>
              <w:top w:w="72" w:type="dxa"/>
              <w:left w:w="144" w:type="dxa"/>
              <w:bottom w:w="72" w:type="dxa"/>
              <w:right w:w="144" w:type="dxa"/>
            </w:tcMar>
            <w:vAlign w:val="center"/>
          </w:tcPr>
          <w:p w14:paraId="7E79ECC7" w14:textId="77777777" w:rsidR="008920ED" w:rsidRPr="00582054" w:rsidRDefault="008920ED" w:rsidP="008920ED">
            <w:pPr>
              <w:spacing w:before="0" w:after="0"/>
              <w:rPr>
                <w:rFonts w:cs="Times New Roman"/>
                <w:b/>
                <w:sz w:val="18"/>
                <w:szCs w:val="18"/>
                <w:lang w:eastAsia="fr-FR"/>
              </w:rPr>
            </w:pPr>
            <w:r w:rsidRPr="00582054">
              <w:rPr>
                <w:rFonts w:cs="Times New Roman"/>
                <w:sz w:val="18"/>
                <w:szCs w:val="18"/>
                <w:lang w:eastAsia="fr-FR"/>
              </w:rPr>
              <w:t xml:space="preserve">Hypothalamus </w:t>
            </w:r>
          </w:p>
        </w:tc>
        <w:tc>
          <w:tcPr>
            <w:tcW w:w="848" w:type="pct"/>
            <w:tcBorders>
              <w:top w:val="single" w:sz="4" w:space="0" w:color="auto"/>
            </w:tcBorders>
            <w:shd w:val="clear" w:color="auto" w:fill="auto"/>
            <w:tcMar>
              <w:top w:w="72" w:type="dxa"/>
              <w:left w:w="144" w:type="dxa"/>
              <w:bottom w:w="72" w:type="dxa"/>
              <w:right w:w="144" w:type="dxa"/>
            </w:tcMar>
            <w:vAlign w:val="center"/>
          </w:tcPr>
          <w:p w14:paraId="267D80EF" w14:textId="01CAED63"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0.0002 (0.999)</w:t>
            </w:r>
          </w:p>
        </w:tc>
        <w:tc>
          <w:tcPr>
            <w:tcW w:w="1133" w:type="pct"/>
            <w:tcBorders>
              <w:top w:val="single" w:sz="4" w:space="0" w:color="auto"/>
            </w:tcBorders>
            <w:shd w:val="clear" w:color="auto" w:fill="auto"/>
            <w:tcMar>
              <w:top w:w="72" w:type="dxa"/>
              <w:left w:w="144" w:type="dxa"/>
              <w:bottom w:w="72" w:type="dxa"/>
              <w:right w:w="144" w:type="dxa"/>
            </w:tcMar>
            <w:vAlign w:val="center"/>
          </w:tcPr>
          <w:p w14:paraId="37C8275E" w14:textId="3136199C"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0.027 (0.830)</w:t>
            </w:r>
          </w:p>
        </w:tc>
        <w:tc>
          <w:tcPr>
            <w:tcW w:w="857" w:type="pct"/>
            <w:tcBorders>
              <w:top w:val="single" w:sz="4" w:space="0" w:color="auto"/>
            </w:tcBorders>
            <w:shd w:val="clear" w:color="auto" w:fill="auto"/>
            <w:tcMar>
              <w:top w:w="72" w:type="dxa"/>
              <w:left w:w="144" w:type="dxa"/>
              <w:bottom w:w="72" w:type="dxa"/>
              <w:right w:w="144" w:type="dxa"/>
            </w:tcMar>
            <w:vAlign w:val="center"/>
          </w:tcPr>
          <w:p w14:paraId="149B131F" w14:textId="071F6636" w:rsidR="008920ED" w:rsidRPr="00582054" w:rsidRDefault="008920ED" w:rsidP="008920ED">
            <w:pPr>
              <w:spacing w:before="0" w:after="0"/>
              <w:jc w:val="center"/>
              <w:rPr>
                <w:rFonts w:eastAsia="SimSun" w:cs="Times New Roman"/>
                <w:kern w:val="3"/>
                <w:sz w:val="18"/>
                <w:szCs w:val="18"/>
                <w:lang w:eastAsia="fr-FR"/>
              </w:rPr>
            </w:pPr>
            <w:r w:rsidRPr="00582054">
              <w:rPr>
                <w:rFonts w:eastAsia="SimSun" w:cs="Times New Roman"/>
                <w:kern w:val="3"/>
                <w:sz w:val="18"/>
                <w:szCs w:val="18"/>
                <w:lang w:eastAsia="fr-FR"/>
              </w:rPr>
              <w:t>0.006 (0.950)</w:t>
            </w:r>
          </w:p>
        </w:tc>
      </w:tr>
      <w:tr w:rsidR="008920ED" w:rsidRPr="00582054" w14:paraId="5AD46ABC" w14:textId="77777777" w:rsidTr="008920ED">
        <w:trPr>
          <w:trHeight w:val="23"/>
        </w:trPr>
        <w:tc>
          <w:tcPr>
            <w:tcW w:w="2162" w:type="pct"/>
            <w:shd w:val="clear" w:color="auto" w:fill="auto"/>
            <w:tcMar>
              <w:top w:w="72" w:type="dxa"/>
              <w:left w:w="144" w:type="dxa"/>
              <w:bottom w:w="72" w:type="dxa"/>
              <w:right w:w="144" w:type="dxa"/>
            </w:tcMar>
            <w:vAlign w:val="center"/>
          </w:tcPr>
          <w:p w14:paraId="5F6B17FF" w14:textId="77777777" w:rsidR="008920ED" w:rsidRPr="00582054" w:rsidRDefault="008920ED" w:rsidP="008920ED">
            <w:pPr>
              <w:spacing w:before="0" w:after="0"/>
              <w:rPr>
                <w:rFonts w:cs="Times New Roman"/>
                <w:b/>
                <w:sz w:val="18"/>
                <w:szCs w:val="18"/>
                <w:lang w:eastAsia="fr-FR"/>
              </w:rPr>
            </w:pPr>
            <w:r w:rsidRPr="00582054">
              <w:rPr>
                <w:rFonts w:cs="Times New Roman"/>
                <w:sz w:val="18"/>
                <w:szCs w:val="18"/>
                <w:lang w:eastAsia="fr-FR"/>
              </w:rPr>
              <w:t>Whole Hippocampus</w:t>
            </w:r>
          </w:p>
        </w:tc>
        <w:tc>
          <w:tcPr>
            <w:tcW w:w="848" w:type="pct"/>
            <w:shd w:val="clear" w:color="auto" w:fill="auto"/>
            <w:tcMar>
              <w:top w:w="72" w:type="dxa"/>
              <w:left w:w="144" w:type="dxa"/>
              <w:bottom w:w="72" w:type="dxa"/>
              <w:right w:w="144" w:type="dxa"/>
            </w:tcMar>
            <w:vAlign w:val="center"/>
          </w:tcPr>
          <w:p w14:paraId="2A848541" w14:textId="13C7DD00"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-0.072 (0.615)</w:t>
            </w:r>
          </w:p>
        </w:tc>
        <w:tc>
          <w:tcPr>
            <w:tcW w:w="1133" w:type="pct"/>
            <w:shd w:val="clear" w:color="auto" w:fill="auto"/>
            <w:tcMar>
              <w:top w:w="72" w:type="dxa"/>
              <w:left w:w="144" w:type="dxa"/>
              <w:bottom w:w="72" w:type="dxa"/>
              <w:right w:w="144" w:type="dxa"/>
            </w:tcMar>
            <w:vAlign w:val="center"/>
          </w:tcPr>
          <w:p w14:paraId="38F8CC81" w14:textId="0EA9B63F"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0.201 (0.109)</w:t>
            </w:r>
          </w:p>
        </w:tc>
        <w:tc>
          <w:tcPr>
            <w:tcW w:w="857" w:type="pct"/>
            <w:shd w:val="clear" w:color="auto" w:fill="auto"/>
            <w:tcMar>
              <w:top w:w="72" w:type="dxa"/>
              <w:left w:w="144" w:type="dxa"/>
              <w:bottom w:w="72" w:type="dxa"/>
              <w:right w:w="144" w:type="dxa"/>
            </w:tcMar>
            <w:vAlign w:val="center"/>
          </w:tcPr>
          <w:p w14:paraId="3BCA4C0D" w14:textId="69788B16" w:rsidR="008920ED" w:rsidRPr="00582054" w:rsidRDefault="008920ED" w:rsidP="008920ED">
            <w:pPr>
              <w:spacing w:before="0" w:after="0"/>
              <w:jc w:val="center"/>
              <w:rPr>
                <w:rFonts w:eastAsia="SimSun" w:cs="Times New Roman"/>
                <w:kern w:val="3"/>
                <w:sz w:val="18"/>
                <w:szCs w:val="18"/>
                <w:lang w:eastAsia="fr-FR"/>
              </w:rPr>
            </w:pPr>
            <w:r w:rsidRPr="00582054">
              <w:rPr>
                <w:rFonts w:eastAsia="SimSun" w:cs="Times New Roman"/>
                <w:kern w:val="3"/>
                <w:sz w:val="18"/>
                <w:szCs w:val="18"/>
                <w:lang w:eastAsia="fr-FR"/>
              </w:rPr>
              <w:t>0.054 (0.553)</w:t>
            </w:r>
          </w:p>
        </w:tc>
      </w:tr>
      <w:tr w:rsidR="008920ED" w:rsidRPr="00582054" w14:paraId="4640169B" w14:textId="77777777" w:rsidTr="008920ED">
        <w:trPr>
          <w:trHeight w:val="23"/>
        </w:trPr>
        <w:tc>
          <w:tcPr>
            <w:tcW w:w="2162" w:type="pct"/>
            <w:shd w:val="clear" w:color="auto" w:fill="auto"/>
            <w:tcMar>
              <w:top w:w="72" w:type="dxa"/>
              <w:left w:w="144" w:type="dxa"/>
              <w:bottom w:w="72" w:type="dxa"/>
              <w:right w:w="144" w:type="dxa"/>
            </w:tcMar>
            <w:vAlign w:val="center"/>
          </w:tcPr>
          <w:p w14:paraId="220F8A3C" w14:textId="77777777" w:rsidR="008920ED" w:rsidRPr="00582054" w:rsidRDefault="008920ED" w:rsidP="008920ED">
            <w:pPr>
              <w:spacing w:before="0" w:after="0"/>
              <w:rPr>
                <w:rFonts w:cs="Times New Roman"/>
                <w:b/>
                <w:sz w:val="18"/>
                <w:szCs w:val="18"/>
                <w:lang w:eastAsia="fr-FR"/>
              </w:rPr>
            </w:pPr>
            <w:r w:rsidRPr="00582054">
              <w:rPr>
                <w:rFonts w:cs="Times New Roman"/>
                <w:sz w:val="18"/>
                <w:szCs w:val="18"/>
                <w:lang w:eastAsia="fr-FR"/>
              </w:rPr>
              <w:t>CA1</w:t>
            </w:r>
          </w:p>
        </w:tc>
        <w:tc>
          <w:tcPr>
            <w:tcW w:w="848" w:type="pct"/>
            <w:shd w:val="clear" w:color="auto" w:fill="auto"/>
            <w:tcMar>
              <w:top w:w="72" w:type="dxa"/>
              <w:left w:w="144" w:type="dxa"/>
              <w:bottom w:w="72" w:type="dxa"/>
              <w:right w:w="144" w:type="dxa"/>
            </w:tcMar>
            <w:vAlign w:val="center"/>
          </w:tcPr>
          <w:p w14:paraId="4936F4C4" w14:textId="4AB4225F"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-0.152 (0.288)</w:t>
            </w:r>
          </w:p>
        </w:tc>
        <w:tc>
          <w:tcPr>
            <w:tcW w:w="1133" w:type="pct"/>
            <w:shd w:val="clear" w:color="auto" w:fill="auto"/>
            <w:tcMar>
              <w:top w:w="72" w:type="dxa"/>
              <w:left w:w="144" w:type="dxa"/>
              <w:bottom w:w="72" w:type="dxa"/>
              <w:right w:w="144" w:type="dxa"/>
            </w:tcMar>
            <w:vAlign w:val="center"/>
          </w:tcPr>
          <w:p w14:paraId="5C58DC4B" w14:textId="5332E5EE"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0.203 (0.104)</w:t>
            </w:r>
          </w:p>
        </w:tc>
        <w:tc>
          <w:tcPr>
            <w:tcW w:w="857" w:type="pct"/>
            <w:shd w:val="clear" w:color="auto" w:fill="auto"/>
            <w:tcMar>
              <w:top w:w="72" w:type="dxa"/>
              <w:left w:w="144" w:type="dxa"/>
              <w:bottom w:w="72" w:type="dxa"/>
              <w:right w:w="144" w:type="dxa"/>
            </w:tcMar>
            <w:vAlign w:val="center"/>
          </w:tcPr>
          <w:p w14:paraId="580801F6" w14:textId="598168E7" w:rsidR="008920ED" w:rsidRPr="00582054" w:rsidRDefault="008920ED" w:rsidP="008920ED">
            <w:pPr>
              <w:spacing w:before="0" w:after="0"/>
              <w:jc w:val="center"/>
              <w:rPr>
                <w:rFonts w:eastAsia="SimSun" w:cs="Times New Roman"/>
                <w:kern w:val="3"/>
                <w:sz w:val="18"/>
                <w:szCs w:val="18"/>
                <w:lang w:eastAsia="fr-FR"/>
              </w:rPr>
            </w:pPr>
            <w:r w:rsidRPr="00582054">
              <w:rPr>
                <w:rFonts w:eastAsia="SimSun" w:cs="Times New Roman"/>
                <w:kern w:val="3"/>
                <w:sz w:val="18"/>
                <w:szCs w:val="18"/>
                <w:lang w:eastAsia="fr-FR"/>
              </w:rPr>
              <w:t>0.058 (0.522)</w:t>
            </w:r>
          </w:p>
        </w:tc>
      </w:tr>
      <w:tr w:rsidR="008920ED" w:rsidRPr="00582054" w14:paraId="3353F314" w14:textId="77777777" w:rsidTr="008920ED">
        <w:trPr>
          <w:trHeight w:val="23"/>
        </w:trPr>
        <w:tc>
          <w:tcPr>
            <w:tcW w:w="2162" w:type="pct"/>
            <w:shd w:val="clear" w:color="auto" w:fill="auto"/>
            <w:tcMar>
              <w:top w:w="72" w:type="dxa"/>
              <w:left w:w="144" w:type="dxa"/>
              <w:bottom w:w="72" w:type="dxa"/>
              <w:right w:w="144" w:type="dxa"/>
            </w:tcMar>
            <w:vAlign w:val="center"/>
          </w:tcPr>
          <w:p w14:paraId="23B002CA" w14:textId="77777777" w:rsidR="008920ED" w:rsidRPr="00582054" w:rsidRDefault="008920ED" w:rsidP="008920ED">
            <w:pPr>
              <w:spacing w:before="0" w:after="0"/>
              <w:rPr>
                <w:rFonts w:cs="Times New Roman"/>
                <w:sz w:val="18"/>
                <w:szCs w:val="18"/>
                <w:lang w:eastAsia="fr-FR"/>
              </w:rPr>
            </w:pPr>
            <w:r w:rsidRPr="00582054">
              <w:rPr>
                <w:rFonts w:cs="Times New Roman"/>
                <w:sz w:val="18"/>
                <w:szCs w:val="18"/>
                <w:lang w:eastAsia="fr-FR"/>
              </w:rPr>
              <w:t xml:space="preserve">Subiculum </w:t>
            </w:r>
          </w:p>
        </w:tc>
        <w:tc>
          <w:tcPr>
            <w:tcW w:w="848" w:type="pct"/>
            <w:shd w:val="clear" w:color="auto" w:fill="auto"/>
            <w:tcMar>
              <w:top w:w="72" w:type="dxa"/>
              <w:left w:w="144" w:type="dxa"/>
              <w:bottom w:w="72" w:type="dxa"/>
              <w:right w:w="144" w:type="dxa"/>
            </w:tcMar>
            <w:vAlign w:val="center"/>
          </w:tcPr>
          <w:p w14:paraId="3267C7FD" w14:textId="7BA6FF66"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0.051 (0.724)</w:t>
            </w:r>
          </w:p>
        </w:tc>
        <w:tc>
          <w:tcPr>
            <w:tcW w:w="1133" w:type="pct"/>
            <w:shd w:val="clear" w:color="auto" w:fill="auto"/>
            <w:tcMar>
              <w:top w:w="72" w:type="dxa"/>
              <w:left w:w="144" w:type="dxa"/>
              <w:bottom w:w="72" w:type="dxa"/>
              <w:right w:w="144" w:type="dxa"/>
            </w:tcMar>
            <w:vAlign w:val="center"/>
          </w:tcPr>
          <w:p w14:paraId="52700F1F" w14:textId="744DCEFD"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0.155 (0.216)</w:t>
            </w:r>
          </w:p>
        </w:tc>
        <w:tc>
          <w:tcPr>
            <w:tcW w:w="857" w:type="pct"/>
            <w:shd w:val="clear" w:color="auto" w:fill="auto"/>
            <w:tcMar>
              <w:top w:w="72" w:type="dxa"/>
              <w:left w:w="144" w:type="dxa"/>
              <w:bottom w:w="72" w:type="dxa"/>
              <w:right w:w="144" w:type="dxa"/>
            </w:tcMar>
            <w:vAlign w:val="center"/>
          </w:tcPr>
          <w:p w14:paraId="30010CC7" w14:textId="70B99888" w:rsidR="008920ED" w:rsidRPr="00582054" w:rsidRDefault="008920ED" w:rsidP="008920ED">
            <w:pPr>
              <w:spacing w:before="0" w:after="0"/>
              <w:jc w:val="center"/>
              <w:rPr>
                <w:rFonts w:eastAsia="SimSun" w:cs="Times New Roman"/>
                <w:kern w:val="3"/>
                <w:sz w:val="18"/>
                <w:szCs w:val="18"/>
                <w:lang w:eastAsia="fr-FR"/>
              </w:rPr>
            </w:pPr>
            <w:r w:rsidRPr="00582054">
              <w:rPr>
                <w:rFonts w:eastAsia="SimSun" w:cs="Times New Roman"/>
                <w:kern w:val="3"/>
                <w:sz w:val="18"/>
                <w:szCs w:val="18"/>
                <w:lang w:eastAsia="fr-FR"/>
              </w:rPr>
              <w:t>0.097 (0.286)</w:t>
            </w:r>
          </w:p>
        </w:tc>
      </w:tr>
      <w:tr w:rsidR="008920ED" w:rsidRPr="00582054" w14:paraId="48FD03C5" w14:textId="77777777" w:rsidTr="008920ED">
        <w:trPr>
          <w:trHeight w:val="23"/>
        </w:trPr>
        <w:tc>
          <w:tcPr>
            <w:tcW w:w="2162" w:type="pct"/>
            <w:tcBorders>
              <w:bottom w:val="single" w:sz="4" w:space="0" w:color="auto"/>
            </w:tcBorders>
            <w:shd w:val="clear" w:color="auto" w:fill="auto"/>
            <w:tcMar>
              <w:top w:w="72" w:type="dxa"/>
              <w:left w:w="144" w:type="dxa"/>
              <w:bottom w:w="72" w:type="dxa"/>
              <w:right w:w="144" w:type="dxa"/>
            </w:tcMar>
            <w:vAlign w:val="center"/>
          </w:tcPr>
          <w:p w14:paraId="36A1165D" w14:textId="77777777" w:rsidR="008920ED" w:rsidRPr="00582054" w:rsidRDefault="008920ED" w:rsidP="008920ED">
            <w:pPr>
              <w:spacing w:before="0" w:after="0"/>
              <w:rPr>
                <w:rFonts w:cs="Times New Roman"/>
                <w:sz w:val="18"/>
                <w:szCs w:val="18"/>
                <w:lang w:eastAsia="fr-FR"/>
              </w:rPr>
            </w:pPr>
            <w:r w:rsidRPr="00582054">
              <w:rPr>
                <w:rFonts w:cs="Times New Roman"/>
                <w:sz w:val="18"/>
                <w:szCs w:val="18"/>
                <w:lang w:eastAsia="fr-FR"/>
              </w:rPr>
              <w:t>DG/CA2-3-4</w:t>
            </w:r>
          </w:p>
        </w:tc>
        <w:tc>
          <w:tcPr>
            <w:tcW w:w="848" w:type="pct"/>
            <w:tcBorders>
              <w:bottom w:val="single" w:sz="4" w:space="0" w:color="auto"/>
            </w:tcBorders>
            <w:shd w:val="clear" w:color="auto" w:fill="auto"/>
            <w:tcMar>
              <w:top w:w="72" w:type="dxa"/>
              <w:left w:w="144" w:type="dxa"/>
              <w:bottom w:w="72" w:type="dxa"/>
              <w:right w:w="144" w:type="dxa"/>
            </w:tcMar>
            <w:vAlign w:val="center"/>
          </w:tcPr>
          <w:p w14:paraId="5CE3CE4B" w14:textId="47B9FB8D" w:rsidR="008920ED" w:rsidRPr="00582054" w:rsidRDefault="008920ED" w:rsidP="008920ED">
            <w:pPr>
              <w:spacing w:before="0" w:after="0"/>
              <w:jc w:val="center"/>
              <w:rPr>
                <w:rFonts w:cs="Times New Roman"/>
                <w:kern w:val="3"/>
                <w:sz w:val="18"/>
                <w:szCs w:val="18"/>
                <w:lang w:eastAsia="fr-FR"/>
              </w:rPr>
            </w:pPr>
            <w:r w:rsidRPr="00582054">
              <w:rPr>
                <w:rFonts w:cs="Times New Roman"/>
                <w:kern w:val="3"/>
                <w:sz w:val="18"/>
                <w:szCs w:val="18"/>
                <w:lang w:eastAsia="fr-FR"/>
              </w:rPr>
              <w:t>-0.093 (0.517)</w:t>
            </w:r>
          </w:p>
        </w:tc>
        <w:tc>
          <w:tcPr>
            <w:tcW w:w="1133" w:type="pct"/>
            <w:tcBorders>
              <w:bottom w:val="single" w:sz="4" w:space="0" w:color="auto"/>
            </w:tcBorders>
            <w:shd w:val="clear" w:color="auto" w:fill="auto"/>
            <w:tcMar>
              <w:top w:w="72" w:type="dxa"/>
              <w:left w:w="144" w:type="dxa"/>
              <w:bottom w:w="72" w:type="dxa"/>
              <w:right w:w="144" w:type="dxa"/>
            </w:tcMar>
            <w:vAlign w:val="center"/>
          </w:tcPr>
          <w:p w14:paraId="2A6DEB4A" w14:textId="7FDD85D4" w:rsidR="008920ED" w:rsidRPr="00582054" w:rsidRDefault="008920ED" w:rsidP="008920ED">
            <w:pPr>
              <w:spacing w:before="0" w:after="0"/>
              <w:jc w:val="center"/>
              <w:rPr>
                <w:rFonts w:cs="Times New Roman"/>
                <w:b/>
                <w:kern w:val="3"/>
                <w:sz w:val="18"/>
                <w:szCs w:val="18"/>
                <w:lang w:eastAsia="fr-FR"/>
              </w:rPr>
            </w:pPr>
            <w:r w:rsidRPr="00582054">
              <w:rPr>
                <w:rFonts w:cs="Times New Roman"/>
                <w:kern w:val="3"/>
                <w:sz w:val="18"/>
                <w:szCs w:val="18"/>
                <w:lang w:eastAsia="fr-FR"/>
              </w:rPr>
              <w:t>0.179 (0.154)</w:t>
            </w:r>
          </w:p>
        </w:tc>
        <w:tc>
          <w:tcPr>
            <w:tcW w:w="857" w:type="pct"/>
            <w:tcBorders>
              <w:bottom w:val="single" w:sz="4" w:space="0" w:color="auto"/>
            </w:tcBorders>
            <w:shd w:val="clear" w:color="auto" w:fill="auto"/>
            <w:tcMar>
              <w:top w:w="72" w:type="dxa"/>
              <w:left w:w="144" w:type="dxa"/>
              <w:bottom w:w="72" w:type="dxa"/>
              <w:right w:w="144" w:type="dxa"/>
            </w:tcMar>
            <w:vAlign w:val="center"/>
          </w:tcPr>
          <w:p w14:paraId="55E839C4" w14:textId="58BD7173" w:rsidR="008920ED" w:rsidRPr="00582054" w:rsidRDefault="008920ED" w:rsidP="008920ED">
            <w:pPr>
              <w:spacing w:before="0" w:after="0"/>
              <w:jc w:val="center"/>
              <w:rPr>
                <w:rFonts w:eastAsia="SimSun" w:cs="Times New Roman"/>
                <w:kern w:val="3"/>
                <w:sz w:val="18"/>
                <w:szCs w:val="18"/>
                <w:lang w:eastAsia="fr-FR"/>
              </w:rPr>
            </w:pPr>
            <w:r w:rsidRPr="00582054">
              <w:rPr>
                <w:rFonts w:eastAsia="SimSun" w:cs="Times New Roman"/>
                <w:kern w:val="3"/>
                <w:sz w:val="18"/>
                <w:szCs w:val="18"/>
                <w:lang w:eastAsia="fr-FR"/>
              </w:rPr>
              <w:t>0.024 (0.791)</w:t>
            </w:r>
          </w:p>
        </w:tc>
      </w:tr>
    </w:tbl>
    <w:p w14:paraId="2D86882A" w14:textId="35265119" w:rsidR="0021446F" w:rsidRPr="00582054" w:rsidRDefault="0021446F" w:rsidP="008920ED">
      <w:r w:rsidRPr="00582054">
        <w:t>Values indicate r (p) values of the Pearson’s partial correlations between epinephrine and hippocampal-hypothalamic functional connectivity on the one hand, and hypothalamic and hippocampal gray matter volumes on the other hand, for each group (</w:t>
      </w:r>
      <w:proofErr w:type="spellStart"/>
      <w:r w:rsidRPr="00582054">
        <w:t>DepS</w:t>
      </w:r>
      <w:proofErr w:type="spellEnd"/>
      <w:r w:rsidRPr="00582054">
        <w:t xml:space="preserve">, </w:t>
      </w:r>
      <w:proofErr w:type="spellStart"/>
      <w:r w:rsidRPr="00582054">
        <w:t>NoDepS</w:t>
      </w:r>
      <w:proofErr w:type="spellEnd"/>
      <w:r w:rsidRPr="00582054">
        <w:t xml:space="preserve"> and Entire sample). All analyses were adjusted for age, sex, education</w:t>
      </w:r>
      <w:r w:rsidR="008920ED" w:rsidRPr="00582054">
        <w:t xml:space="preserve">, </w:t>
      </w:r>
      <w:r w:rsidRPr="00582054">
        <w:t>anxiety symptoms</w:t>
      </w:r>
      <w:r w:rsidR="008920ED" w:rsidRPr="00582054">
        <w:t>, number of past depressive episodes, amyloid positivity and APOEε4 status</w:t>
      </w:r>
      <w:r w:rsidRPr="00582054">
        <w:t xml:space="preserve">. Values in bold correspond to significant p-values (p&lt;0.05). N, Sample size; </w:t>
      </w:r>
      <w:proofErr w:type="spellStart"/>
      <w:r w:rsidRPr="00582054">
        <w:rPr>
          <w:lang w:eastAsia="en-GB"/>
        </w:rPr>
        <w:t>NoDepS</w:t>
      </w:r>
      <w:proofErr w:type="spellEnd"/>
      <w:r w:rsidRPr="00582054">
        <w:rPr>
          <w:lang w:eastAsia="en-GB"/>
        </w:rPr>
        <w:t xml:space="preserve">, Group without depressive symptoms; </w:t>
      </w:r>
      <w:proofErr w:type="spellStart"/>
      <w:r w:rsidRPr="00582054">
        <w:rPr>
          <w:lang w:eastAsia="en-GB"/>
        </w:rPr>
        <w:t>DepS</w:t>
      </w:r>
      <w:proofErr w:type="spellEnd"/>
      <w:r w:rsidRPr="00582054">
        <w:rPr>
          <w:lang w:eastAsia="en-GB"/>
        </w:rPr>
        <w:t xml:space="preserve">, Group with subclinical depressive symptoms; DG, Dentate Gyrus; CA, </w:t>
      </w:r>
      <w:proofErr w:type="spellStart"/>
      <w:r w:rsidRPr="00582054">
        <w:rPr>
          <w:lang w:eastAsia="en-GB"/>
        </w:rPr>
        <w:t>Cornu</w:t>
      </w:r>
      <w:proofErr w:type="spellEnd"/>
      <w:r w:rsidRPr="00582054">
        <w:rPr>
          <w:lang w:eastAsia="en-GB"/>
        </w:rPr>
        <w:t xml:space="preserve"> </w:t>
      </w:r>
      <w:proofErr w:type="spellStart"/>
      <w:r w:rsidRPr="00582054">
        <w:rPr>
          <w:lang w:eastAsia="en-GB"/>
        </w:rPr>
        <w:t>Ammonis</w:t>
      </w:r>
      <w:proofErr w:type="spellEnd"/>
      <w:r w:rsidRPr="00582054">
        <w:rPr>
          <w:lang w:eastAsia="en-GB"/>
        </w:rPr>
        <w:t>.</w:t>
      </w:r>
    </w:p>
    <w:p w14:paraId="672F8BD0" w14:textId="3C1C79FD" w:rsidR="00CB2457" w:rsidRPr="00582054" w:rsidRDefault="00CB2457">
      <w:pPr>
        <w:spacing w:before="0" w:after="160" w:line="259" w:lineRule="auto"/>
        <w:jc w:val="left"/>
        <w:rPr>
          <w:lang w:eastAsia="en-GB"/>
        </w:rPr>
      </w:pPr>
      <w:r w:rsidRPr="00582054">
        <w:rPr>
          <w:lang w:eastAsia="en-GB"/>
        </w:rPr>
        <w:br w:type="page"/>
      </w:r>
    </w:p>
    <w:p w14:paraId="62FF0869" w14:textId="2FF3AE2D" w:rsidR="007C6BD8" w:rsidRPr="00582054" w:rsidRDefault="000218A8" w:rsidP="007C6BD8">
      <w:pPr>
        <w:pStyle w:val="Paragraphedeliste"/>
        <w:numPr>
          <w:ilvl w:val="0"/>
          <w:numId w:val="8"/>
        </w:numPr>
        <w:rPr>
          <w:b/>
          <w:sz w:val="28"/>
        </w:rPr>
      </w:pPr>
      <w:r w:rsidRPr="00582054">
        <w:rPr>
          <w:b/>
          <w:sz w:val="28"/>
        </w:rPr>
        <w:lastRenderedPageBreak/>
        <w:t>References</w:t>
      </w:r>
    </w:p>
    <w:p w14:paraId="29447528" w14:textId="77777777" w:rsidR="00534BB2" w:rsidRPr="00534BB2" w:rsidRDefault="000218A8" w:rsidP="00534BB2">
      <w:pPr>
        <w:pStyle w:val="Bibliographie"/>
        <w:rPr>
          <w:rFonts w:cs="Times New Roman"/>
        </w:rPr>
      </w:pPr>
      <w:r w:rsidRPr="00582054">
        <w:rPr>
          <w:b/>
        </w:rPr>
        <w:fldChar w:fldCharType="begin"/>
      </w:r>
      <w:r w:rsidR="00534BB2" w:rsidRPr="00534BB2">
        <w:rPr>
          <w:b/>
          <w:lang w:val="fr-FR"/>
        </w:rPr>
        <w:instrText xml:space="preserve"> ADDIN ZOTERO_BIBL {"uncited":[],"omitted":[],"custom":[]} CSL_BIBLIOGRAPHY </w:instrText>
      </w:r>
      <w:r w:rsidRPr="00582054">
        <w:rPr>
          <w:b/>
        </w:rPr>
        <w:fldChar w:fldCharType="separate"/>
      </w:r>
      <w:r w:rsidR="00534BB2" w:rsidRPr="00534BB2">
        <w:rPr>
          <w:rFonts w:cs="Times New Roman"/>
          <w:lang w:val="fr-FR"/>
        </w:rPr>
        <w:t xml:space="preserve">1. Folstein MF, Folstein SE, McHugh PR (1975): “Mini-mental state”. </w:t>
      </w:r>
      <w:r w:rsidR="00534BB2" w:rsidRPr="00534BB2">
        <w:rPr>
          <w:rFonts w:cs="Times New Roman"/>
        </w:rPr>
        <w:t xml:space="preserve">A practical method for grading the cognitive state of patients for the clinician. </w:t>
      </w:r>
      <w:r w:rsidR="00534BB2" w:rsidRPr="00534BB2">
        <w:rPr>
          <w:rFonts w:cs="Times New Roman"/>
          <w:i/>
          <w:iCs/>
        </w:rPr>
        <w:t>J Psychiatr Res</w:t>
      </w:r>
      <w:r w:rsidR="00534BB2" w:rsidRPr="00534BB2">
        <w:rPr>
          <w:rFonts w:cs="Times New Roman"/>
        </w:rPr>
        <w:t xml:space="preserve"> 12: 189–198.</w:t>
      </w:r>
    </w:p>
    <w:p w14:paraId="424F478A" w14:textId="77777777" w:rsidR="00534BB2" w:rsidRPr="00534BB2" w:rsidRDefault="00534BB2" w:rsidP="00534BB2">
      <w:pPr>
        <w:pStyle w:val="Bibliographie"/>
        <w:rPr>
          <w:rFonts w:cs="Times New Roman"/>
        </w:rPr>
      </w:pPr>
      <w:r w:rsidRPr="00534BB2">
        <w:rPr>
          <w:rFonts w:cs="Times New Roman"/>
        </w:rPr>
        <w:t xml:space="preserve">2. Müller-Gärtner HW, Links JM, Prince JL, Bryan RN, McVeigh E, Leal JP, </w:t>
      </w:r>
      <w:r w:rsidRPr="00534BB2">
        <w:rPr>
          <w:rFonts w:cs="Times New Roman"/>
          <w:i/>
          <w:iCs/>
        </w:rPr>
        <w:t>et al.</w:t>
      </w:r>
      <w:r w:rsidRPr="00534BB2">
        <w:rPr>
          <w:rFonts w:cs="Times New Roman"/>
        </w:rPr>
        <w:t xml:space="preserve"> (2016): Measurement of Radiotracer Concentration in Brain Gray Matter Using Positron Emission Tomography: MRI-Based Correction for Partial Volume Effects: </w:t>
      </w:r>
      <w:r w:rsidRPr="00534BB2">
        <w:rPr>
          <w:rFonts w:cs="Times New Roman"/>
          <w:i/>
          <w:iCs/>
        </w:rPr>
        <w:t>Journal of Cerebral Blood Flow &amp; Metabolism</w:t>
      </w:r>
      <w:r w:rsidRPr="00534BB2">
        <w:rPr>
          <w:rFonts w:cs="Times New Roman"/>
        </w:rPr>
        <w:t>. https://doi.org/10.1038/jcbfm.1992.81</w:t>
      </w:r>
    </w:p>
    <w:p w14:paraId="767841F6" w14:textId="77777777" w:rsidR="00534BB2" w:rsidRPr="00534BB2" w:rsidRDefault="00534BB2" w:rsidP="00534BB2">
      <w:pPr>
        <w:pStyle w:val="Bibliographie"/>
        <w:rPr>
          <w:rFonts w:cs="Times New Roman"/>
          <w:lang w:val="fr-FR"/>
        </w:rPr>
      </w:pPr>
      <w:r w:rsidRPr="00534BB2">
        <w:rPr>
          <w:rFonts w:cs="Times New Roman"/>
          <w:lang w:val="fr-FR"/>
        </w:rPr>
        <w:t xml:space="preserve">3. La Joie R, Perrotin A, de La Sayette V, Egret S, Doeuvre L, Belliard S, </w:t>
      </w:r>
      <w:r w:rsidRPr="00534BB2">
        <w:rPr>
          <w:rFonts w:cs="Times New Roman"/>
          <w:i/>
          <w:iCs/>
          <w:lang w:val="fr-FR"/>
        </w:rPr>
        <w:t>et al.</w:t>
      </w:r>
      <w:r w:rsidRPr="00534BB2">
        <w:rPr>
          <w:rFonts w:cs="Times New Roman"/>
          <w:lang w:val="fr-FR"/>
        </w:rPr>
        <w:t xml:space="preserve"> </w:t>
      </w:r>
      <w:r w:rsidRPr="00534BB2">
        <w:rPr>
          <w:rFonts w:cs="Times New Roman"/>
        </w:rPr>
        <w:t xml:space="preserve">(2013): Hippocampal subfield volumetry in mild cognitive impairment, Alzheimer’s disease and semantic dementia. </w:t>
      </w:r>
      <w:r w:rsidRPr="00534BB2">
        <w:rPr>
          <w:rFonts w:cs="Times New Roman"/>
          <w:i/>
          <w:iCs/>
          <w:lang w:val="fr-FR"/>
        </w:rPr>
        <w:t>Neuroimage Clin</w:t>
      </w:r>
      <w:r w:rsidRPr="00534BB2">
        <w:rPr>
          <w:rFonts w:cs="Times New Roman"/>
          <w:lang w:val="fr-FR"/>
        </w:rPr>
        <w:t xml:space="preserve"> 3: 155–162.</w:t>
      </w:r>
    </w:p>
    <w:p w14:paraId="7E87697B" w14:textId="77777777" w:rsidR="00534BB2" w:rsidRPr="00534BB2" w:rsidRDefault="00534BB2" w:rsidP="00534BB2">
      <w:pPr>
        <w:pStyle w:val="Bibliographie"/>
        <w:rPr>
          <w:rFonts w:cs="Times New Roman"/>
        </w:rPr>
      </w:pPr>
      <w:r w:rsidRPr="00534BB2">
        <w:rPr>
          <w:rFonts w:cs="Times New Roman"/>
          <w:lang w:val="fr-FR"/>
        </w:rPr>
        <w:t xml:space="preserve">4. André C, Rehel S, Kuhn E, Landeau B, Moulinet I, Touron E, </w:t>
      </w:r>
      <w:r w:rsidRPr="00534BB2">
        <w:rPr>
          <w:rFonts w:cs="Times New Roman"/>
          <w:i/>
          <w:iCs/>
          <w:lang w:val="fr-FR"/>
        </w:rPr>
        <w:t>et al.</w:t>
      </w:r>
      <w:r w:rsidRPr="00534BB2">
        <w:rPr>
          <w:rFonts w:cs="Times New Roman"/>
          <w:lang w:val="fr-FR"/>
        </w:rPr>
        <w:t xml:space="preserve"> </w:t>
      </w:r>
      <w:r w:rsidRPr="00534BB2">
        <w:rPr>
          <w:rFonts w:cs="Times New Roman"/>
        </w:rPr>
        <w:t xml:space="preserve">(2020): Association of Sleep-Disordered Breathing With Alzheimer Disease Biomarkers in Community-Dwelling Older Adults: A Secondary Analysis of a Randomized Clinical Trial. </w:t>
      </w:r>
      <w:r w:rsidRPr="00534BB2">
        <w:rPr>
          <w:rFonts w:cs="Times New Roman"/>
          <w:i/>
          <w:iCs/>
        </w:rPr>
        <w:t>JAMA Neurol</w:t>
      </w:r>
      <w:r w:rsidRPr="00534BB2">
        <w:rPr>
          <w:rFonts w:cs="Times New Roman"/>
        </w:rPr>
        <w:t xml:space="preserve"> 77: 716–724.</w:t>
      </w:r>
    </w:p>
    <w:p w14:paraId="2BE6A246" w14:textId="77777777" w:rsidR="00534BB2" w:rsidRPr="00534BB2" w:rsidRDefault="00534BB2" w:rsidP="00534BB2">
      <w:pPr>
        <w:pStyle w:val="Bibliographie"/>
        <w:rPr>
          <w:rFonts w:cs="Times New Roman"/>
        </w:rPr>
      </w:pPr>
      <w:r w:rsidRPr="00534BB2">
        <w:rPr>
          <w:rFonts w:cs="Times New Roman"/>
        </w:rPr>
        <w:t xml:space="preserve">5. Touron E, Moulinet I, Kuhn E, Sherif S, Ourry V, Landeau B, </w:t>
      </w:r>
      <w:r w:rsidRPr="00534BB2">
        <w:rPr>
          <w:rFonts w:cs="Times New Roman"/>
          <w:i/>
          <w:iCs/>
        </w:rPr>
        <w:t>et al.</w:t>
      </w:r>
      <w:r w:rsidRPr="00534BB2">
        <w:rPr>
          <w:rFonts w:cs="Times New Roman"/>
        </w:rPr>
        <w:t xml:space="preserve"> (2022): Depressive symptoms in cognitively unimpaired older adults are associated with lower structural and functional integrity in a frontolimbic network. </w:t>
      </w:r>
      <w:r w:rsidRPr="00534BB2">
        <w:rPr>
          <w:rFonts w:cs="Times New Roman"/>
          <w:i/>
          <w:iCs/>
        </w:rPr>
        <w:t>Mol Psychiatry</w:t>
      </w:r>
      <w:r w:rsidRPr="00534BB2">
        <w:rPr>
          <w:rFonts w:cs="Times New Roman"/>
        </w:rPr>
        <w:t xml:space="preserve"> 1–10.</w:t>
      </w:r>
    </w:p>
    <w:p w14:paraId="49EC2461" w14:textId="77777777" w:rsidR="00534BB2" w:rsidRPr="00534BB2" w:rsidRDefault="00534BB2" w:rsidP="00534BB2">
      <w:pPr>
        <w:pStyle w:val="Bibliographie"/>
        <w:rPr>
          <w:rFonts w:cs="Times New Roman"/>
        </w:rPr>
      </w:pPr>
      <w:r w:rsidRPr="00534BB2">
        <w:rPr>
          <w:rFonts w:cs="Times New Roman"/>
        </w:rPr>
        <w:t xml:space="preserve">6. Spielberger CD, Gorsuch RL, Lushene RE (1970): </w:t>
      </w:r>
      <w:r w:rsidRPr="00534BB2">
        <w:rPr>
          <w:rFonts w:cs="Times New Roman"/>
          <w:i/>
          <w:iCs/>
        </w:rPr>
        <w:t>Manual for the State-Trait Anxiety Inventory</w:t>
      </w:r>
      <w:r w:rsidRPr="00534BB2">
        <w:rPr>
          <w:rFonts w:cs="Times New Roman"/>
        </w:rPr>
        <w:t>.</w:t>
      </w:r>
    </w:p>
    <w:p w14:paraId="033C8BFD" w14:textId="77777777" w:rsidR="00534BB2" w:rsidRPr="00534BB2" w:rsidRDefault="00534BB2" w:rsidP="00534BB2">
      <w:pPr>
        <w:pStyle w:val="Bibliographie"/>
        <w:rPr>
          <w:rFonts w:cs="Times New Roman"/>
        </w:rPr>
      </w:pPr>
      <w:r w:rsidRPr="00534BB2">
        <w:rPr>
          <w:rFonts w:cs="Times New Roman"/>
        </w:rPr>
        <w:t xml:space="preserve">7. Watson D, Clark LA, Tellegen A (1988): Development and validation of brief measures of positive and negative affect: the PANAS scales. </w:t>
      </w:r>
      <w:r w:rsidRPr="00534BB2">
        <w:rPr>
          <w:rFonts w:cs="Times New Roman"/>
          <w:i/>
          <w:iCs/>
        </w:rPr>
        <w:t>J Pers Soc Psychol</w:t>
      </w:r>
      <w:r w:rsidRPr="00534BB2">
        <w:rPr>
          <w:rFonts w:cs="Times New Roman"/>
        </w:rPr>
        <w:t xml:space="preserve"> 54: 1063–1070.</w:t>
      </w:r>
    </w:p>
    <w:p w14:paraId="44D307DB" w14:textId="77777777" w:rsidR="00534BB2" w:rsidRPr="00534BB2" w:rsidRDefault="00534BB2" w:rsidP="00534BB2">
      <w:pPr>
        <w:pStyle w:val="Bibliographie"/>
        <w:rPr>
          <w:rFonts w:cs="Times New Roman"/>
        </w:rPr>
      </w:pPr>
      <w:r w:rsidRPr="00534BB2">
        <w:rPr>
          <w:rFonts w:cs="Times New Roman"/>
        </w:rPr>
        <w:t xml:space="preserve">8. Treynor W, Gonzalez R, Nolen-Hoeksema S (2003): Rumination Reconsidered: A Psychometric Analysis. </w:t>
      </w:r>
      <w:r w:rsidRPr="00534BB2">
        <w:rPr>
          <w:rFonts w:cs="Times New Roman"/>
          <w:i/>
          <w:iCs/>
        </w:rPr>
        <w:t>Cognitive Therapy and Research</w:t>
      </w:r>
      <w:r w:rsidRPr="00534BB2">
        <w:rPr>
          <w:rFonts w:cs="Times New Roman"/>
        </w:rPr>
        <w:t xml:space="preserve"> 27: 247–259.</w:t>
      </w:r>
    </w:p>
    <w:p w14:paraId="6EE13712" w14:textId="77777777" w:rsidR="00534BB2" w:rsidRPr="00534BB2" w:rsidRDefault="00534BB2" w:rsidP="00534BB2">
      <w:pPr>
        <w:pStyle w:val="Bibliographie"/>
        <w:rPr>
          <w:rFonts w:cs="Times New Roman"/>
        </w:rPr>
      </w:pPr>
      <w:r w:rsidRPr="00534BB2">
        <w:rPr>
          <w:rFonts w:cs="Times New Roman"/>
        </w:rPr>
        <w:lastRenderedPageBreak/>
        <w:t xml:space="preserve">9. Forman EM, Herbert JD, Juarascio AS, Yeomans PD, Zebell JA, Goetter EM, Moitra E (2012): The Drexel defusion scale: A new measure of experiential distancing. </w:t>
      </w:r>
      <w:r w:rsidRPr="00534BB2">
        <w:rPr>
          <w:rFonts w:cs="Times New Roman"/>
          <w:i/>
          <w:iCs/>
        </w:rPr>
        <w:t>Journal of Contextual Behavioral Science</w:t>
      </w:r>
      <w:r w:rsidRPr="00534BB2">
        <w:rPr>
          <w:rFonts w:cs="Times New Roman"/>
        </w:rPr>
        <w:t xml:space="preserve"> 1: 55–65.</w:t>
      </w:r>
    </w:p>
    <w:p w14:paraId="510AAE91" w14:textId="77777777" w:rsidR="00534BB2" w:rsidRPr="00534BB2" w:rsidRDefault="00534BB2" w:rsidP="00534BB2">
      <w:pPr>
        <w:pStyle w:val="Bibliographie"/>
        <w:rPr>
          <w:rFonts w:cs="Times New Roman"/>
        </w:rPr>
      </w:pPr>
      <w:r w:rsidRPr="00534BB2">
        <w:rPr>
          <w:rFonts w:cs="Times New Roman"/>
        </w:rPr>
        <w:t xml:space="preserve">10. Gross JJ, John OP (2003): Individual differences in two emotion regulation processes: implications for affect, relationships, and well-being. </w:t>
      </w:r>
      <w:r w:rsidRPr="00534BB2">
        <w:rPr>
          <w:rFonts w:cs="Times New Roman"/>
          <w:i/>
          <w:iCs/>
        </w:rPr>
        <w:t>J Pers Soc Psychol</w:t>
      </w:r>
      <w:r w:rsidRPr="00534BB2">
        <w:rPr>
          <w:rFonts w:cs="Times New Roman"/>
        </w:rPr>
        <w:t xml:space="preserve"> 85: 348–362.</w:t>
      </w:r>
    </w:p>
    <w:p w14:paraId="21D7C26D" w14:textId="77777777" w:rsidR="00534BB2" w:rsidRPr="00534BB2" w:rsidRDefault="00534BB2" w:rsidP="00534BB2">
      <w:pPr>
        <w:pStyle w:val="Bibliographie"/>
        <w:rPr>
          <w:rFonts w:cs="Times New Roman"/>
        </w:rPr>
      </w:pPr>
      <w:r w:rsidRPr="00534BB2">
        <w:rPr>
          <w:rFonts w:cs="Times New Roman"/>
        </w:rPr>
        <w:t xml:space="preserve">11. Griffanti L, Douaud G, Bijsterbosch J, Evangelisti S, Alfaro-Almagro F, Glasser MF, </w:t>
      </w:r>
      <w:r w:rsidRPr="00534BB2">
        <w:rPr>
          <w:rFonts w:cs="Times New Roman"/>
          <w:i/>
          <w:iCs/>
        </w:rPr>
        <w:t>et al.</w:t>
      </w:r>
      <w:r w:rsidRPr="00534BB2">
        <w:rPr>
          <w:rFonts w:cs="Times New Roman"/>
        </w:rPr>
        <w:t xml:space="preserve"> (2017): Hand classification of fMRI ICA noise components. </w:t>
      </w:r>
      <w:r w:rsidRPr="00534BB2">
        <w:rPr>
          <w:rFonts w:cs="Times New Roman"/>
          <w:i/>
          <w:iCs/>
        </w:rPr>
        <w:t>Neuroimage</w:t>
      </w:r>
      <w:r w:rsidRPr="00534BB2">
        <w:rPr>
          <w:rFonts w:cs="Times New Roman"/>
        </w:rPr>
        <w:t xml:space="preserve"> 154: 188–205.</w:t>
      </w:r>
    </w:p>
    <w:p w14:paraId="6D4A8997" w14:textId="77777777" w:rsidR="00534BB2" w:rsidRPr="00534BB2" w:rsidRDefault="00534BB2" w:rsidP="00534BB2">
      <w:pPr>
        <w:pStyle w:val="Bibliographie"/>
        <w:rPr>
          <w:rFonts w:cs="Times New Roman"/>
        </w:rPr>
      </w:pPr>
      <w:r w:rsidRPr="00534BB2">
        <w:rPr>
          <w:rFonts w:cs="Times New Roman"/>
        </w:rPr>
        <w:t xml:space="preserve">12. Kelly RE, Alexopoulos GS, Wang Z, Gunning FM, Murphy CF, Morimoto SS, </w:t>
      </w:r>
      <w:r w:rsidRPr="00534BB2">
        <w:rPr>
          <w:rFonts w:cs="Times New Roman"/>
          <w:i/>
          <w:iCs/>
        </w:rPr>
        <w:t>et al.</w:t>
      </w:r>
      <w:r w:rsidRPr="00534BB2">
        <w:rPr>
          <w:rFonts w:cs="Times New Roman"/>
        </w:rPr>
        <w:t xml:space="preserve"> (2010): Visual inspection of independent components: Defining a procedure for artifact removal from fMRI data. </w:t>
      </w:r>
      <w:r w:rsidRPr="00534BB2">
        <w:rPr>
          <w:rFonts w:cs="Times New Roman"/>
          <w:i/>
          <w:iCs/>
        </w:rPr>
        <w:t>Journal of Neuroscience Methods</w:t>
      </w:r>
      <w:r w:rsidRPr="00534BB2">
        <w:rPr>
          <w:rFonts w:cs="Times New Roman"/>
        </w:rPr>
        <w:t xml:space="preserve"> 189: 233–245.</w:t>
      </w:r>
    </w:p>
    <w:p w14:paraId="5F8D5652" w14:textId="77777777" w:rsidR="00534BB2" w:rsidRPr="00534BB2" w:rsidRDefault="00534BB2" w:rsidP="00534BB2">
      <w:pPr>
        <w:pStyle w:val="Bibliographie"/>
        <w:rPr>
          <w:rFonts w:cs="Times New Roman"/>
        </w:rPr>
      </w:pPr>
      <w:r w:rsidRPr="00534BB2">
        <w:rPr>
          <w:rFonts w:cs="Times New Roman"/>
        </w:rPr>
        <w:t xml:space="preserve">13. Tran SM, McGregor KM, James GA, Gopinath K, Krishnamurthy V, Krishnamurthy LC, Crosson B (2018): Task-residual functional connectivity of language and attention networks. </w:t>
      </w:r>
      <w:r w:rsidRPr="00534BB2">
        <w:rPr>
          <w:rFonts w:cs="Times New Roman"/>
          <w:i/>
          <w:iCs/>
        </w:rPr>
        <w:t>Brain and Cognition</w:t>
      </w:r>
      <w:r w:rsidRPr="00534BB2">
        <w:rPr>
          <w:rFonts w:cs="Times New Roman"/>
        </w:rPr>
        <w:t xml:space="preserve"> 122: 52–58.</w:t>
      </w:r>
    </w:p>
    <w:p w14:paraId="4C357A5B" w14:textId="77777777" w:rsidR="00534BB2" w:rsidRPr="00534BB2" w:rsidRDefault="00534BB2" w:rsidP="00534BB2">
      <w:pPr>
        <w:pStyle w:val="Bibliographie"/>
        <w:rPr>
          <w:rFonts w:cs="Times New Roman"/>
        </w:rPr>
      </w:pPr>
      <w:r w:rsidRPr="00534BB2">
        <w:rPr>
          <w:rFonts w:cs="Times New Roman"/>
        </w:rPr>
        <w:t xml:space="preserve">14. Roquet DR, Pham B-T, Foucher JR (2014): Manual selection of spontaneous activity maps derived from independent component analysis: Criteria and inter-rater reliability study. </w:t>
      </w:r>
      <w:r w:rsidRPr="00534BB2">
        <w:rPr>
          <w:rFonts w:cs="Times New Roman"/>
          <w:i/>
          <w:iCs/>
        </w:rPr>
        <w:t>Journal of Neuroscience Methods</w:t>
      </w:r>
      <w:r w:rsidRPr="00534BB2">
        <w:rPr>
          <w:rFonts w:cs="Times New Roman"/>
        </w:rPr>
        <w:t xml:space="preserve"> 223: 30–34.</w:t>
      </w:r>
    </w:p>
    <w:p w14:paraId="3AA3C47C" w14:textId="77777777" w:rsidR="00534BB2" w:rsidRPr="00534BB2" w:rsidRDefault="00534BB2" w:rsidP="00534BB2">
      <w:pPr>
        <w:pStyle w:val="Bibliographie"/>
        <w:rPr>
          <w:rFonts w:cs="Times New Roman"/>
        </w:rPr>
      </w:pPr>
      <w:r w:rsidRPr="00534BB2">
        <w:rPr>
          <w:rFonts w:cs="Times New Roman"/>
        </w:rPr>
        <w:t xml:space="preserve">15. Villain N, Landeau B, Groussard M, Mevel K, Fouquet M, Dayan J, </w:t>
      </w:r>
      <w:r w:rsidRPr="00534BB2">
        <w:rPr>
          <w:rFonts w:cs="Times New Roman"/>
          <w:i/>
          <w:iCs/>
        </w:rPr>
        <w:t>et al.</w:t>
      </w:r>
      <w:r w:rsidRPr="00534BB2">
        <w:rPr>
          <w:rFonts w:cs="Times New Roman"/>
        </w:rPr>
        <w:t xml:space="preserve"> (2010): A Simple Way to Improve Anatomical Mapping of Functional Brain Imaging. </w:t>
      </w:r>
      <w:r w:rsidRPr="00534BB2">
        <w:rPr>
          <w:rFonts w:cs="Times New Roman"/>
          <w:i/>
          <w:iCs/>
        </w:rPr>
        <w:t>Journal of Neuroimaging</w:t>
      </w:r>
      <w:r w:rsidRPr="00534BB2">
        <w:rPr>
          <w:rFonts w:cs="Times New Roman"/>
        </w:rPr>
        <w:t xml:space="preserve"> 20: 324–333.</w:t>
      </w:r>
    </w:p>
    <w:p w14:paraId="37B59134" w14:textId="77777777" w:rsidR="00534BB2" w:rsidRPr="00534BB2" w:rsidRDefault="00534BB2" w:rsidP="00534BB2">
      <w:pPr>
        <w:pStyle w:val="Bibliographie"/>
        <w:rPr>
          <w:rFonts w:cs="Times New Roman"/>
        </w:rPr>
      </w:pPr>
      <w:r w:rsidRPr="00534BB2">
        <w:rPr>
          <w:rFonts w:cs="Times New Roman"/>
        </w:rPr>
        <w:t xml:space="preserve">16. Sheikh JI, Yesavage JA (1986): Geriatric Depression Scale (GDS): Recent evidence and development of a shorter version. </w:t>
      </w:r>
      <w:r w:rsidRPr="00534BB2">
        <w:rPr>
          <w:rFonts w:cs="Times New Roman"/>
          <w:i/>
          <w:iCs/>
        </w:rPr>
        <w:t>Clinical Gerontologist: The Journal of Aging and Mental Health</w:t>
      </w:r>
      <w:r w:rsidRPr="00534BB2">
        <w:rPr>
          <w:rFonts w:cs="Times New Roman"/>
        </w:rPr>
        <w:t xml:space="preserve"> 5: 165–173.</w:t>
      </w:r>
    </w:p>
    <w:p w14:paraId="6CF28E17" w14:textId="4B904EA8" w:rsidR="007C6BD8" w:rsidRPr="00582054" w:rsidRDefault="000218A8" w:rsidP="00491BCC">
      <w:pPr>
        <w:rPr>
          <w:b/>
          <w:szCs w:val="24"/>
        </w:rPr>
      </w:pPr>
      <w:r w:rsidRPr="00582054">
        <w:rPr>
          <w:b/>
        </w:rPr>
        <w:fldChar w:fldCharType="end"/>
      </w:r>
    </w:p>
    <w:sectPr w:rsidR="007C6BD8" w:rsidRPr="00582054" w:rsidSect="006C345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8F741E" w14:textId="77777777" w:rsidR="00470CA4" w:rsidRDefault="00470CA4" w:rsidP="00260581">
      <w:pPr>
        <w:spacing w:before="0" w:after="0"/>
      </w:pPr>
      <w:r>
        <w:separator/>
      </w:r>
    </w:p>
  </w:endnote>
  <w:endnote w:type="continuationSeparator" w:id="0">
    <w:p w14:paraId="70001983" w14:textId="77777777" w:rsidR="00470CA4" w:rsidRDefault="00470CA4" w:rsidP="0026058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8553397"/>
      <w:docPartObj>
        <w:docPartGallery w:val="Page Numbers (Bottom of Page)"/>
        <w:docPartUnique/>
      </w:docPartObj>
    </w:sdtPr>
    <w:sdtEndPr/>
    <w:sdtContent>
      <w:p w14:paraId="453C6EA7" w14:textId="235504B1" w:rsidR="00260581" w:rsidRDefault="00260581">
        <w:pPr>
          <w:pStyle w:val="Pieddepage"/>
          <w:jc w:val="right"/>
        </w:pPr>
        <w:r>
          <w:fldChar w:fldCharType="begin"/>
        </w:r>
        <w:r>
          <w:instrText>PAGE   \* MERGEFORMAT</w:instrText>
        </w:r>
        <w:r>
          <w:fldChar w:fldCharType="separate"/>
        </w:r>
        <w:r>
          <w:rPr>
            <w:lang w:val="fr-FR"/>
          </w:rPr>
          <w:t>2</w:t>
        </w:r>
        <w:r>
          <w:fldChar w:fldCharType="end"/>
        </w:r>
      </w:p>
    </w:sdtContent>
  </w:sdt>
  <w:p w14:paraId="5AFC87AF" w14:textId="77777777" w:rsidR="00260581" w:rsidRDefault="0026058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A3C18F" w14:textId="77777777" w:rsidR="00470CA4" w:rsidRDefault="00470CA4" w:rsidP="00260581">
      <w:pPr>
        <w:spacing w:before="0" w:after="0"/>
      </w:pPr>
      <w:r>
        <w:separator/>
      </w:r>
    </w:p>
  </w:footnote>
  <w:footnote w:type="continuationSeparator" w:id="0">
    <w:p w14:paraId="367ADF1A" w14:textId="77777777" w:rsidR="00470CA4" w:rsidRDefault="00470CA4" w:rsidP="00260581">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D25D8"/>
    <w:multiLevelType w:val="hybridMultilevel"/>
    <w:tmpl w:val="37423616"/>
    <w:lvl w:ilvl="0" w:tplc="80E201E4">
      <w:start w:val="1"/>
      <w:numFmt w:val="upperRoman"/>
      <w:lvlText w:val="%1."/>
      <w:lvlJc w:val="right"/>
      <w:pPr>
        <w:ind w:left="720" w:hanging="360"/>
      </w:pPr>
      <w:rPr>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0890745"/>
    <w:multiLevelType w:val="hybridMultilevel"/>
    <w:tmpl w:val="37423616"/>
    <w:lvl w:ilvl="0" w:tplc="80E201E4">
      <w:start w:val="1"/>
      <w:numFmt w:val="upperRoman"/>
      <w:lvlText w:val="%1."/>
      <w:lvlJc w:val="right"/>
      <w:pPr>
        <w:ind w:left="720" w:hanging="360"/>
      </w:pPr>
      <w:rPr>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A347AA0"/>
    <w:multiLevelType w:val="hybridMultilevel"/>
    <w:tmpl w:val="37423616"/>
    <w:lvl w:ilvl="0" w:tplc="80E201E4">
      <w:start w:val="1"/>
      <w:numFmt w:val="upperRoman"/>
      <w:lvlText w:val="%1."/>
      <w:lvlJc w:val="right"/>
      <w:pPr>
        <w:ind w:left="720" w:hanging="360"/>
      </w:pPr>
      <w:rPr>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25305B5"/>
    <w:multiLevelType w:val="hybridMultilevel"/>
    <w:tmpl w:val="4F8C24FA"/>
    <w:lvl w:ilvl="0" w:tplc="A9DCD718">
      <w:start w:val="1"/>
      <w:numFmt w:val="bullet"/>
      <w:pStyle w:val="Paragraphedeliste"/>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4C6F0663"/>
    <w:multiLevelType w:val="hybridMultilevel"/>
    <w:tmpl w:val="37423616"/>
    <w:lvl w:ilvl="0" w:tplc="80E201E4">
      <w:start w:val="1"/>
      <w:numFmt w:val="upperRoman"/>
      <w:lvlText w:val="%1."/>
      <w:lvlJc w:val="right"/>
      <w:pPr>
        <w:ind w:left="720" w:hanging="360"/>
      </w:pPr>
      <w:rPr>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34F4028"/>
    <w:multiLevelType w:val="hybridMultilevel"/>
    <w:tmpl w:val="BB903064"/>
    <w:lvl w:ilvl="0" w:tplc="80E201E4">
      <w:start w:val="1"/>
      <w:numFmt w:val="upperRoman"/>
      <w:lvlText w:val="%1."/>
      <w:lvlJc w:val="right"/>
      <w:pPr>
        <w:ind w:left="1440" w:hanging="360"/>
      </w:pPr>
      <w:rPr>
        <w:i w:val="0"/>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6" w15:restartNumberingAfterBreak="0">
    <w:nsid w:val="5EDC620B"/>
    <w:multiLevelType w:val="hybridMultilevel"/>
    <w:tmpl w:val="1FA69C6A"/>
    <w:lvl w:ilvl="0" w:tplc="040C0013">
      <w:start w:val="1"/>
      <w:numFmt w:val="upperRoman"/>
      <w:lvlText w:val="%1."/>
      <w:lvlJc w:val="right"/>
      <w:pPr>
        <w:ind w:left="1440" w:hanging="360"/>
      </w:pPr>
      <w:rPr>
        <w:rFont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6B6B2D55"/>
    <w:multiLevelType w:val="hybridMultilevel"/>
    <w:tmpl w:val="D7D6BBE2"/>
    <w:lvl w:ilvl="0" w:tplc="DAC2F55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3"/>
  </w:num>
  <w:num w:numId="5">
    <w:abstractNumId w:val="3"/>
  </w:num>
  <w:num w:numId="6">
    <w:abstractNumId w:val="3"/>
  </w:num>
  <w:num w:numId="7">
    <w:abstractNumId w:val="6"/>
  </w:num>
  <w:num w:numId="8">
    <w:abstractNumId w:val="7"/>
  </w:num>
  <w:num w:numId="9">
    <w:abstractNumId w:val="5"/>
  </w:num>
  <w:num w:numId="10">
    <w:abstractNumId w:val="3"/>
  </w:num>
  <w:num w:numId="11">
    <w:abstractNumId w:val="1"/>
  </w:num>
  <w:num w:numId="12">
    <w:abstractNumId w:val="3"/>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1ADF"/>
    <w:rsid w:val="00010211"/>
    <w:rsid w:val="000218A8"/>
    <w:rsid w:val="00055C50"/>
    <w:rsid w:val="00061DAA"/>
    <w:rsid w:val="000630C2"/>
    <w:rsid w:val="000B3513"/>
    <w:rsid w:val="000C5577"/>
    <w:rsid w:val="000F5840"/>
    <w:rsid w:val="000F7978"/>
    <w:rsid w:val="001144B9"/>
    <w:rsid w:val="001316B0"/>
    <w:rsid w:val="00141038"/>
    <w:rsid w:val="00144E30"/>
    <w:rsid w:val="00152E35"/>
    <w:rsid w:val="0015509A"/>
    <w:rsid w:val="001721BC"/>
    <w:rsid w:val="001761EB"/>
    <w:rsid w:val="001858ED"/>
    <w:rsid w:val="001933E3"/>
    <w:rsid w:val="00196DDC"/>
    <w:rsid w:val="001A53D4"/>
    <w:rsid w:val="001A7690"/>
    <w:rsid w:val="001D2A3D"/>
    <w:rsid w:val="001E4503"/>
    <w:rsid w:val="001E50D1"/>
    <w:rsid w:val="001F506B"/>
    <w:rsid w:val="001F5AC8"/>
    <w:rsid w:val="00200C5D"/>
    <w:rsid w:val="00206F35"/>
    <w:rsid w:val="0021446F"/>
    <w:rsid w:val="00215A35"/>
    <w:rsid w:val="00222799"/>
    <w:rsid w:val="00260581"/>
    <w:rsid w:val="00270B50"/>
    <w:rsid w:val="00280FD9"/>
    <w:rsid w:val="00281245"/>
    <w:rsid w:val="00286AB6"/>
    <w:rsid w:val="00291E48"/>
    <w:rsid w:val="002A59FE"/>
    <w:rsid w:val="002C7327"/>
    <w:rsid w:val="002D17D2"/>
    <w:rsid w:val="002E0EFA"/>
    <w:rsid w:val="0030535B"/>
    <w:rsid w:val="0032752A"/>
    <w:rsid w:val="00334036"/>
    <w:rsid w:val="00336139"/>
    <w:rsid w:val="00341B18"/>
    <w:rsid w:val="00343E9A"/>
    <w:rsid w:val="0036172E"/>
    <w:rsid w:val="00367488"/>
    <w:rsid w:val="0037110E"/>
    <w:rsid w:val="003B0D73"/>
    <w:rsid w:val="003B1CAD"/>
    <w:rsid w:val="003D44D8"/>
    <w:rsid w:val="003E022B"/>
    <w:rsid w:val="003E395B"/>
    <w:rsid w:val="003F094A"/>
    <w:rsid w:val="004201FC"/>
    <w:rsid w:val="00421622"/>
    <w:rsid w:val="00424BE8"/>
    <w:rsid w:val="00426A1A"/>
    <w:rsid w:val="00427C79"/>
    <w:rsid w:val="00443C4A"/>
    <w:rsid w:val="00461DA6"/>
    <w:rsid w:val="00470CA4"/>
    <w:rsid w:val="00481511"/>
    <w:rsid w:val="00482ABB"/>
    <w:rsid w:val="00491BCC"/>
    <w:rsid w:val="004A103B"/>
    <w:rsid w:val="004A17B1"/>
    <w:rsid w:val="004A3709"/>
    <w:rsid w:val="004B14E1"/>
    <w:rsid w:val="004C19D6"/>
    <w:rsid w:val="004D3C58"/>
    <w:rsid w:val="004E4395"/>
    <w:rsid w:val="004F1030"/>
    <w:rsid w:val="00520158"/>
    <w:rsid w:val="00534BB2"/>
    <w:rsid w:val="00562A2A"/>
    <w:rsid w:val="00562FCB"/>
    <w:rsid w:val="00571B36"/>
    <w:rsid w:val="005807BD"/>
    <w:rsid w:val="00582054"/>
    <w:rsid w:val="00583F1E"/>
    <w:rsid w:val="0058730C"/>
    <w:rsid w:val="005A3801"/>
    <w:rsid w:val="005C2607"/>
    <w:rsid w:val="005C51FF"/>
    <w:rsid w:val="005E3F4E"/>
    <w:rsid w:val="005E73AE"/>
    <w:rsid w:val="00601900"/>
    <w:rsid w:val="00601E47"/>
    <w:rsid w:val="006448C8"/>
    <w:rsid w:val="00652CCB"/>
    <w:rsid w:val="00657C2E"/>
    <w:rsid w:val="006644DF"/>
    <w:rsid w:val="00673658"/>
    <w:rsid w:val="006B0704"/>
    <w:rsid w:val="006C345F"/>
    <w:rsid w:val="006C527F"/>
    <w:rsid w:val="006E5514"/>
    <w:rsid w:val="006F7415"/>
    <w:rsid w:val="00702E4D"/>
    <w:rsid w:val="00711D05"/>
    <w:rsid w:val="00721A3A"/>
    <w:rsid w:val="007437E5"/>
    <w:rsid w:val="00753629"/>
    <w:rsid w:val="00761ADF"/>
    <w:rsid w:val="00766154"/>
    <w:rsid w:val="007956A4"/>
    <w:rsid w:val="00795BB3"/>
    <w:rsid w:val="007B366D"/>
    <w:rsid w:val="007C10C7"/>
    <w:rsid w:val="007C4A03"/>
    <w:rsid w:val="007C6BD8"/>
    <w:rsid w:val="007D251E"/>
    <w:rsid w:val="007D383F"/>
    <w:rsid w:val="00800379"/>
    <w:rsid w:val="00817EF8"/>
    <w:rsid w:val="00821F13"/>
    <w:rsid w:val="00873634"/>
    <w:rsid w:val="00891BD1"/>
    <w:rsid w:val="008920ED"/>
    <w:rsid w:val="00897EF8"/>
    <w:rsid w:val="008B2B8D"/>
    <w:rsid w:val="008B3509"/>
    <w:rsid w:val="008D4AF7"/>
    <w:rsid w:val="008E2543"/>
    <w:rsid w:val="008F188C"/>
    <w:rsid w:val="00902501"/>
    <w:rsid w:val="00903846"/>
    <w:rsid w:val="00906F1B"/>
    <w:rsid w:val="00922222"/>
    <w:rsid w:val="00924D26"/>
    <w:rsid w:val="0094418B"/>
    <w:rsid w:val="00950A0F"/>
    <w:rsid w:val="009608BD"/>
    <w:rsid w:val="00961BA3"/>
    <w:rsid w:val="009941E4"/>
    <w:rsid w:val="009A576C"/>
    <w:rsid w:val="009A7E43"/>
    <w:rsid w:val="009B084A"/>
    <w:rsid w:val="009B32DB"/>
    <w:rsid w:val="009C31A9"/>
    <w:rsid w:val="009C4557"/>
    <w:rsid w:val="009D57D5"/>
    <w:rsid w:val="009D5E10"/>
    <w:rsid w:val="00A3354C"/>
    <w:rsid w:val="00A35D8B"/>
    <w:rsid w:val="00A744A5"/>
    <w:rsid w:val="00A74C7C"/>
    <w:rsid w:val="00AB365C"/>
    <w:rsid w:val="00AE6F23"/>
    <w:rsid w:val="00B0603F"/>
    <w:rsid w:val="00B14ACF"/>
    <w:rsid w:val="00B23ADD"/>
    <w:rsid w:val="00B57228"/>
    <w:rsid w:val="00B62590"/>
    <w:rsid w:val="00B73D58"/>
    <w:rsid w:val="00B74025"/>
    <w:rsid w:val="00B76AC8"/>
    <w:rsid w:val="00B835FE"/>
    <w:rsid w:val="00B85243"/>
    <w:rsid w:val="00B92B27"/>
    <w:rsid w:val="00BB158A"/>
    <w:rsid w:val="00BB7677"/>
    <w:rsid w:val="00BD4AA2"/>
    <w:rsid w:val="00C17D47"/>
    <w:rsid w:val="00C45B25"/>
    <w:rsid w:val="00C61522"/>
    <w:rsid w:val="00C66391"/>
    <w:rsid w:val="00C82A78"/>
    <w:rsid w:val="00C87F00"/>
    <w:rsid w:val="00C933A9"/>
    <w:rsid w:val="00CA1D7F"/>
    <w:rsid w:val="00CA56BA"/>
    <w:rsid w:val="00CB09DF"/>
    <w:rsid w:val="00CB2457"/>
    <w:rsid w:val="00CE0D39"/>
    <w:rsid w:val="00D016BF"/>
    <w:rsid w:val="00D04132"/>
    <w:rsid w:val="00D2154B"/>
    <w:rsid w:val="00D22C77"/>
    <w:rsid w:val="00D57190"/>
    <w:rsid w:val="00D70F6A"/>
    <w:rsid w:val="00D75AEB"/>
    <w:rsid w:val="00D77133"/>
    <w:rsid w:val="00D91542"/>
    <w:rsid w:val="00DE72C6"/>
    <w:rsid w:val="00DF20DD"/>
    <w:rsid w:val="00E053F9"/>
    <w:rsid w:val="00E11A8C"/>
    <w:rsid w:val="00E148D4"/>
    <w:rsid w:val="00E15A7D"/>
    <w:rsid w:val="00E317CD"/>
    <w:rsid w:val="00E37513"/>
    <w:rsid w:val="00E417B4"/>
    <w:rsid w:val="00E44E94"/>
    <w:rsid w:val="00E45155"/>
    <w:rsid w:val="00E56803"/>
    <w:rsid w:val="00E64F04"/>
    <w:rsid w:val="00E84163"/>
    <w:rsid w:val="00E96CE1"/>
    <w:rsid w:val="00EA5AF8"/>
    <w:rsid w:val="00ED2619"/>
    <w:rsid w:val="00F0262A"/>
    <w:rsid w:val="00F469CD"/>
    <w:rsid w:val="00F73F66"/>
    <w:rsid w:val="00F82A60"/>
    <w:rsid w:val="00FB6619"/>
    <w:rsid w:val="00FC2CD5"/>
    <w:rsid w:val="00FC61A9"/>
    <w:rsid w:val="00FD0F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0AEAC"/>
  <w15:chartTrackingRefBased/>
  <w15:docId w15:val="{0762A84F-B6B4-494A-8435-25386CDA6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C527F"/>
    <w:pPr>
      <w:spacing w:before="120" w:after="240" w:line="240" w:lineRule="auto"/>
      <w:jc w:val="both"/>
    </w:pPr>
    <w:rPr>
      <w:rFonts w:ascii="Times New Roman" w:hAnsi="Times New Roman"/>
      <w:sz w:val="24"/>
      <w:lang w:val="en-US"/>
    </w:rPr>
  </w:style>
  <w:style w:type="paragraph" w:styleId="Titre1">
    <w:name w:val="heading 1"/>
    <w:basedOn w:val="Paragraphedeliste"/>
    <w:next w:val="Normal"/>
    <w:link w:val="Titre1Car"/>
    <w:uiPriority w:val="2"/>
    <w:qFormat/>
    <w:rsid w:val="001721BC"/>
    <w:pPr>
      <w:numPr>
        <w:numId w:val="0"/>
      </w:numPr>
      <w:spacing w:before="240"/>
      <w:contextualSpacing w:val="0"/>
      <w:outlineLvl w:val="0"/>
    </w:pPr>
    <w:rPr>
      <w:b/>
      <w:sz w:val="26"/>
    </w:rPr>
  </w:style>
  <w:style w:type="paragraph" w:styleId="Titre2">
    <w:name w:val="heading 2"/>
    <w:basedOn w:val="Titre1"/>
    <w:next w:val="Normal"/>
    <w:link w:val="Titre2Car"/>
    <w:uiPriority w:val="2"/>
    <w:qFormat/>
    <w:rsid w:val="001721BC"/>
    <w:pPr>
      <w:numPr>
        <w:ilvl w:val="1"/>
      </w:numPr>
      <w:spacing w:after="200"/>
      <w:outlineLvl w:val="1"/>
    </w:pPr>
    <w:rPr>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
    <w:qFormat/>
    <w:rsid w:val="00EA5AF8"/>
    <w:pPr>
      <w:numPr>
        <w:numId w:val="1"/>
      </w:numPr>
      <w:contextualSpacing/>
    </w:pPr>
    <w:rPr>
      <w:rFonts w:eastAsia="Cambria" w:cs="Times New Roman"/>
      <w:szCs w:val="24"/>
    </w:rPr>
  </w:style>
  <w:style w:type="character" w:customStyle="1" w:styleId="Titre1Car">
    <w:name w:val="Titre 1 Car"/>
    <w:basedOn w:val="Policepardfaut"/>
    <w:link w:val="Titre1"/>
    <w:uiPriority w:val="2"/>
    <w:rsid w:val="001721BC"/>
    <w:rPr>
      <w:rFonts w:ascii="Times New Roman" w:eastAsia="Cambria" w:hAnsi="Times New Roman" w:cs="Times New Roman"/>
      <w:b/>
      <w:sz w:val="26"/>
      <w:szCs w:val="24"/>
      <w:lang w:val="en-US"/>
    </w:rPr>
  </w:style>
  <w:style w:type="character" w:customStyle="1" w:styleId="Titre2Car">
    <w:name w:val="Titre 2 Car"/>
    <w:basedOn w:val="Policepardfaut"/>
    <w:link w:val="Titre2"/>
    <w:uiPriority w:val="2"/>
    <w:rsid w:val="001721BC"/>
    <w:rPr>
      <w:rFonts w:ascii="Times New Roman" w:eastAsia="Cambria" w:hAnsi="Times New Roman" w:cs="Times New Roman"/>
      <w:b/>
      <w:i/>
      <w:sz w:val="26"/>
      <w:szCs w:val="24"/>
      <w:lang w:val="en-US"/>
    </w:rPr>
  </w:style>
  <w:style w:type="character" w:styleId="Lienhypertexte">
    <w:name w:val="Hyperlink"/>
    <w:basedOn w:val="Policepardfaut"/>
    <w:uiPriority w:val="99"/>
    <w:unhideWhenUsed/>
    <w:rsid w:val="001721BC"/>
    <w:rPr>
      <w:color w:val="0000FF"/>
      <w:u w:val="single"/>
    </w:rPr>
  </w:style>
  <w:style w:type="character" w:styleId="Marquedecommentaire">
    <w:name w:val="annotation reference"/>
    <w:basedOn w:val="Policepardfaut"/>
    <w:uiPriority w:val="99"/>
    <w:semiHidden/>
    <w:unhideWhenUsed/>
    <w:rsid w:val="007C6BD8"/>
    <w:rPr>
      <w:sz w:val="16"/>
      <w:szCs w:val="16"/>
    </w:rPr>
  </w:style>
  <w:style w:type="paragraph" w:styleId="Commentaire">
    <w:name w:val="annotation text"/>
    <w:basedOn w:val="Normal"/>
    <w:link w:val="CommentaireCar"/>
    <w:uiPriority w:val="99"/>
    <w:unhideWhenUsed/>
    <w:rsid w:val="007C6BD8"/>
    <w:pPr>
      <w:spacing w:before="0" w:after="160"/>
    </w:pPr>
    <w:rPr>
      <w:sz w:val="20"/>
      <w:szCs w:val="20"/>
      <w:lang w:val="fr-FR"/>
    </w:rPr>
  </w:style>
  <w:style w:type="character" w:customStyle="1" w:styleId="CommentaireCar">
    <w:name w:val="Commentaire Car"/>
    <w:basedOn w:val="Policepardfaut"/>
    <w:link w:val="Commentaire"/>
    <w:uiPriority w:val="99"/>
    <w:rsid w:val="007C6BD8"/>
    <w:rPr>
      <w:rFonts w:ascii="Times New Roman" w:hAnsi="Times New Roman"/>
      <w:sz w:val="20"/>
      <w:szCs w:val="20"/>
    </w:rPr>
  </w:style>
  <w:style w:type="paragraph" w:styleId="Textedebulles">
    <w:name w:val="Balloon Text"/>
    <w:basedOn w:val="Normal"/>
    <w:link w:val="TextedebullesCar"/>
    <w:uiPriority w:val="99"/>
    <w:semiHidden/>
    <w:unhideWhenUsed/>
    <w:rsid w:val="007C6BD8"/>
    <w:pPr>
      <w:spacing w:before="0" w:after="0"/>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C6BD8"/>
    <w:rPr>
      <w:rFonts w:ascii="Segoe UI" w:hAnsi="Segoe UI" w:cs="Segoe UI"/>
      <w:sz w:val="18"/>
      <w:szCs w:val="18"/>
      <w:lang w:val="en-US"/>
    </w:rPr>
  </w:style>
  <w:style w:type="paragraph" w:styleId="Objetducommentaire">
    <w:name w:val="annotation subject"/>
    <w:basedOn w:val="Commentaire"/>
    <w:next w:val="Commentaire"/>
    <w:link w:val="ObjetducommentaireCar"/>
    <w:uiPriority w:val="99"/>
    <w:semiHidden/>
    <w:unhideWhenUsed/>
    <w:rsid w:val="00010211"/>
    <w:pPr>
      <w:spacing w:before="120" w:after="240"/>
    </w:pPr>
    <w:rPr>
      <w:b/>
      <w:bCs/>
      <w:lang w:val="en-US"/>
    </w:rPr>
  </w:style>
  <w:style w:type="character" w:customStyle="1" w:styleId="ObjetducommentaireCar">
    <w:name w:val="Objet du commentaire Car"/>
    <w:basedOn w:val="CommentaireCar"/>
    <w:link w:val="Objetducommentaire"/>
    <w:uiPriority w:val="99"/>
    <w:semiHidden/>
    <w:rsid w:val="00010211"/>
    <w:rPr>
      <w:rFonts w:ascii="Times New Roman" w:hAnsi="Times New Roman"/>
      <w:b/>
      <w:bCs/>
      <w:sz w:val="20"/>
      <w:szCs w:val="20"/>
      <w:lang w:val="en-US"/>
    </w:rPr>
  </w:style>
  <w:style w:type="paragraph" w:styleId="Bibliographie">
    <w:name w:val="Bibliography"/>
    <w:basedOn w:val="Normal"/>
    <w:next w:val="Normal"/>
    <w:uiPriority w:val="37"/>
    <w:unhideWhenUsed/>
    <w:rsid w:val="000218A8"/>
    <w:pPr>
      <w:spacing w:after="0" w:line="480" w:lineRule="auto"/>
      <w:ind w:left="720" w:hanging="720"/>
    </w:pPr>
  </w:style>
  <w:style w:type="paragraph" w:styleId="Rvision">
    <w:name w:val="Revision"/>
    <w:hidden/>
    <w:uiPriority w:val="99"/>
    <w:semiHidden/>
    <w:rsid w:val="00B74025"/>
    <w:pPr>
      <w:spacing w:after="0" w:line="240" w:lineRule="auto"/>
    </w:pPr>
    <w:rPr>
      <w:rFonts w:ascii="Times New Roman" w:hAnsi="Times New Roman"/>
      <w:sz w:val="24"/>
      <w:lang w:val="en-US"/>
    </w:rPr>
  </w:style>
  <w:style w:type="character" w:styleId="Numrodeligne">
    <w:name w:val="line number"/>
    <w:basedOn w:val="Policepardfaut"/>
    <w:uiPriority w:val="99"/>
    <w:semiHidden/>
    <w:unhideWhenUsed/>
    <w:rsid w:val="000F7978"/>
  </w:style>
  <w:style w:type="paragraph" w:styleId="En-tte">
    <w:name w:val="header"/>
    <w:basedOn w:val="Normal"/>
    <w:link w:val="En-tteCar"/>
    <w:uiPriority w:val="99"/>
    <w:unhideWhenUsed/>
    <w:rsid w:val="00260581"/>
    <w:pPr>
      <w:tabs>
        <w:tab w:val="center" w:pos="4536"/>
        <w:tab w:val="right" w:pos="9072"/>
      </w:tabs>
      <w:spacing w:before="0" w:after="0"/>
    </w:pPr>
  </w:style>
  <w:style w:type="character" w:customStyle="1" w:styleId="En-tteCar">
    <w:name w:val="En-tête Car"/>
    <w:basedOn w:val="Policepardfaut"/>
    <w:link w:val="En-tte"/>
    <w:uiPriority w:val="99"/>
    <w:rsid w:val="00260581"/>
    <w:rPr>
      <w:rFonts w:ascii="Times New Roman" w:hAnsi="Times New Roman"/>
      <w:sz w:val="24"/>
      <w:lang w:val="en-US"/>
    </w:rPr>
  </w:style>
  <w:style w:type="paragraph" w:styleId="Pieddepage">
    <w:name w:val="footer"/>
    <w:basedOn w:val="Normal"/>
    <w:link w:val="PieddepageCar"/>
    <w:uiPriority w:val="99"/>
    <w:unhideWhenUsed/>
    <w:rsid w:val="00260581"/>
    <w:pPr>
      <w:tabs>
        <w:tab w:val="center" w:pos="4536"/>
        <w:tab w:val="right" w:pos="9072"/>
      </w:tabs>
      <w:spacing w:before="0" w:after="0"/>
    </w:pPr>
  </w:style>
  <w:style w:type="character" w:customStyle="1" w:styleId="PieddepageCar">
    <w:name w:val="Pied de page Car"/>
    <w:basedOn w:val="Policepardfaut"/>
    <w:link w:val="Pieddepage"/>
    <w:uiPriority w:val="99"/>
    <w:rsid w:val="00260581"/>
    <w:rPr>
      <w:rFonts w:ascii="Times New Roman"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9810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fil.ion.ucl.ac.uk"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76B96A-CF4B-49D2-9B4F-C55CAB06A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8122</Words>
  <Characters>44671</Characters>
  <Application>Microsoft Office Word</Application>
  <DocSecurity>0</DocSecurity>
  <Lines>372</Lines>
  <Paragraphs>105</Paragraphs>
  <ScaleCrop>false</ScaleCrop>
  <HeadingPairs>
    <vt:vector size="2" baseType="variant">
      <vt:variant>
        <vt:lpstr>Titre</vt:lpstr>
      </vt:variant>
      <vt:variant>
        <vt:i4>1</vt:i4>
      </vt:variant>
    </vt:vector>
  </HeadingPairs>
  <TitlesOfParts>
    <vt:vector size="1" baseType="lpstr">
      <vt:lpstr/>
    </vt:vector>
  </TitlesOfParts>
  <Company>CYCERON</Company>
  <LinksUpToDate>false</LinksUpToDate>
  <CharactersWithSpaces>52688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Edelweiss TOURON</dc:creator>
  <cp:keywords/>
  <dc:description/>
  <cp:lastModifiedBy>Edelweiss TOURON</cp:lastModifiedBy>
  <cp:revision>5</cp:revision>
  <dcterms:created xsi:type="dcterms:W3CDTF">2024-09-24T12:48:00Z</dcterms:created>
  <dcterms:modified xsi:type="dcterms:W3CDTF">2024-09-24T12:49:00Z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id="TOJ4soXl"/&gt;&lt;style id="http://www.zotero.org/styles/biological-psychiatry" hasBibliography="1" bibliographyStyleHasBeenSet="1"/&gt;&lt;prefs&gt;&lt;pref name="fieldType" value="Field"/&gt;&lt;/prefs&gt;&lt;/data&gt;</vt:lpwstr>
  </property>
</Properties>
</file>