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5391" w14:textId="77777777" w:rsidR="00AC4105" w:rsidRPr="005E3BFF" w:rsidRDefault="00AC4105" w:rsidP="00AC4105">
      <w:pPr>
        <w:spacing w:after="200"/>
        <w:jc w:val="both"/>
        <w:rPr>
          <w:rFonts w:ascii="Arial" w:eastAsiaTheme="minorEastAsia" w:hAnsi="Arial" w:cs="Arial"/>
          <w:b/>
          <w:sz w:val="22"/>
          <w:szCs w:val="22"/>
        </w:rPr>
      </w:pPr>
      <w:r w:rsidRPr="005E3BFF">
        <w:rPr>
          <w:rFonts w:ascii="Arial" w:hAnsi="Arial" w:cs="Arial"/>
          <w:b/>
          <w:sz w:val="22"/>
          <w:szCs w:val="22"/>
        </w:rPr>
        <w:t>S</w:t>
      </w:r>
      <w:r w:rsidRPr="005E3BFF">
        <w:rPr>
          <w:rFonts w:ascii="Arial" w:eastAsiaTheme="minorEastAsia" w:hAnsi="Arial" w:cs="Arial"/>
          <w:b/>
          <w:sz w:val="22"/>
          <w:szCs w:val="22"/>
        </w:rPr>
        <w:t>upplementary Appendix for</w:t>
      </w:r>
    </w:p>
    <w:p w14:paraId="10AC1E1D" w14:textId="77777777" w:rsidR="00AC4105" w:rsidRPr="005E3BFF" w:rsidRDefault="00AC4105" w:rsidP="00AC4105">
      <w:pPr>
        <w:rPr>
          <w:rFonts w:ascii="Arial" w:hAnsi="Arial" w:cs="Arial"/>
          <w:b/>
          <w:sz w:val="22"/>
          <w:szCs w:val="22"/>
        </w:rPr>
      </w:pPr>
    </w:p>
    <w:p w14:paraId="6D9DD039" w14:textId="329C2503" w:rsidR="00AC4105" w:rsidRPr="005E3BFF" w:rsidRDefault="00AC4105" w:rsidP="00AC4105">
      <w:pPr>
        <w:rPr>
          <w:rFonts w:ascii="Arial" w:hAnsi="Arial" w:cs="Arial"/>
          <w:b/>
          <w:sz w:val="22"/>
          <w:szCs w:val="22"/>
        </w:rPr>
      </w:pPr>
      <w:r w:rsidRPr="005E3BFF">
        <w:rPr>
          <w:rFonts w:ascii="Arial" w:hAnsi="Arial" w:cs="Arial"/>
          <w:b/>
          <w:sz w:val="22"/>
          <w:szCs w:val="22"/>
        </w:rPr>
        <w:t xml:space="preserve">Long-term air pollution exposure and incident dementia in </w:t>
      </w:r>
      <w:r w:rsidR="00BE56B2">
        <w:rPr>
          <w:rFonts w:ascii="Arial" w:hAnsi="Arial" w:cs="Arial"/>
          <w:b/>
          <w:sz w:val="22"/>
          <w:szCs w:val="22"/>
        </w:rPr>
        <w:t xml:space="preserve">an </w:t>
      </w:r>
      <w:r w:rsidRPr="005E3BFF">
        <w:rPr>
          <w:rFonts w:ascii="Arial" w:hAnsi="Arial" w:cs="Arial"/>
          <w:b/>
          <w:sz w:val="22"/>
          <w:szCs w:val="22"/>
        </w:rPr>
        <w:t>American elderly population: a national cohort study (2000-2018)</w:t>
      </w:r>
    </w:p>
    <w:p w14:paraId="5A4A08DA" w14:textId="77777777" w:rsidR="00AC4105" w:rsidRPr="005E3BFF" w:rsidRDefault="00AC4105" w:rsidP="00AC4105">
      <w:pPr>
        <w:rPr>
          <w:rFonts w:ascii="Arial" w:hAnsi="Arial" w:cs="Arial"/>
          <w:sz w:val="22"/>
          <w:szCs w:val="22"/>
        </w:rPr>
      </w:pPr>
    </w:p>
    <w:p w14:paraId="65426DA2" w14:textId="34F16CEE" w:rsidR="00AC4105" w:rsidRPr="005E3BFF" w:rsidRDefault="00AC4105" w:rsidP="00AC4105">
      <w:pPr>
        <w:rPr>
          <w:rFonts w:ascii="Arial" w:hAnsi="Arial" w:cs="Arial"/>
          <w:sz w:val="22"/>
          <w:szCs w:val="22"/>
        </w:rPr>
      </w:pPr>
      <w:r w:rsidRPr="005E3BFF">
        <w:rPr>
          <w:rFonts w:ascii="Arial" w:hAnsi="Arial" w:cs="Arial"/>
          <w:sz w:val="22"/>
          <w:szCs w:val="22"/>
        </w:rPr>
        <w:t>Liuhua Shi*</w:t>
      </w:r>
      <w:r w:rsidRPr="005E3BFF">
        <w:rPr>
          <w:rFonts w:ascii="Arial" w:hAnsi="Arial" w:cs="Arial"/>
          <w:sz w:val="22"/>
          <w:szCs w:val="22"/>
          <w:vertAlign w:val="superscript"/>
        </w:rPr>
        <w:t>#1</w:t>
      </w:r>
      <w:r w:rsidRPr="005E3BFF">
        <w:rPr>
          <w:rFonts w:ascii="Arial" w:hAnsi="Arial" w:cs="Arial"/>
          <w:sz w:val="22"/>
          <w:szCs w:val="22"/>
        </w:rPr>
        <w:t>, Kyle Steenland</w:t>
      </w:r>
      <w:r w:rsidRPr="005E3BFF">
        <w:rPr>
          <w:rFonts w:ascii="Arial" w:hAnsi="Arial" w:cs="Arial"/>
          <w:sz w:val="22"/>
          <w:szCs w:val="22"/>
          <w:vertAlign w:val="superscript"/>
        </w:rPr>
        <w:t>#1</w:t>
      </w:r>
      <w:r w:rsidRPr="005E3BFF">
        <w:rPr>
          <w:rFonts w:ascii="Arial" w:hAnsi="Arial" w:cs="Arial"/>
          <w:sz w:val="22"/>
          <w:szCs w:val="22"/>
        </w:rPr>
        <w:t xml:space="preserve">, </w:t>
      </w:r>
      <w:proofErr w:type="spellStart"/>
      <w:r w:rsidRPr="005E3BFF">
        <w:rPr>
          <w:rFonts w:ascii="Arial" w:hAnsi="Arial" w:cs="Arial"/>
          <w:sz w:val="22"/>
          <w:szCs w:val="22"/>
        </w:rPr>
        <w:t>Haomin</w:t>
      </w:r>
      <w:proofErr w:type="spellEnd"/>
      <w:r w:rsidRPr="005E3BFF">
        <w:rPr>
          <w:rFonts w:ascii="Arial" w:hAnsi="Arial" w:cs="Arial"/>
          <w:sz w:val="22"/>
          <w:szCs w:val="22"/>
        </w:rPr>
        <w:t xml:space="preserve"> Li</w:t>
      </w:r>
      <w:r w:rsidRPr="005E3BFF">
        <w:rPr>
          <w:rFonts w:ascii="Arial" w:hAnsi="Arial" w:cs="Arial"/>
          <w:sz w:val="22"/>
          <w:szCs w:val="22"/>
          <w:vertAlign w:val="superscript"/>
        </w:rPr>
        <w:t>2</w:t>
      </w:r>
      <w:r w:rsidRPr="005E3BFF">
        <w:rPr>
          <w:rFonts w:ascii="Arial" w:hAnsi="Arial" w:cs="Arial"/>
          <w:sz w:val="22"/>
          <w:szCs w:val="22"/>
        </w:rPr>
        <w:t xml:space="preserve">, </w:t>
      </w:r>
      <w:proofErr w:type="spellStart"/>
      <w:r w:rsidRPr="005E3BFF">
        <w:rPr>
          <w:rFonts w:ascii="Arial" w:hAnsi="Arial" w:cs="Arial"/>
          <w:sz w:val="22"/>
          <w:szCs w:val="22"/>
        </w:rPr>
        <w:t>Pengfei</w:t>
      </w:r>
      <w:proofErr w:type="spellEnd"/>
      <w:r w:rsidRPr="005E3BFF">
        <w:rPr>
          <w:rFonts w:ascii="Arial" w:hAnsi="Arial" w:cs="Arial"/>
          <w:sz w:val="22"/>
          <w:szCs w:val="22"/>
        </w:rPr>
        <w:t xml:space="preserve"> Liu</w:t>
      </w:r>
      <w:r w:rsidRPr="005E3BFF">
        <w:rPr>
          <w:rFonts w:ascii="Arial" w:hAnsi="Arial" w:cs="Arial"/>
          <w:sz w:val="22"/>
          <w:szCs w:val="22"/>
          <w:vertAlign w:val="superscript"/>
        </w:rPr>
        <w:t>3</w:t>
      </w:r>
      <w:r w:rsidRPr="005E3BFF">
        <w:rPr>
          <w:rFonts w:ascii="Arial" w:hAnsi="Arial" w:cs="Arial"/>
          <w:sz w:val="22"/>
          <w:szCs w:val="22"/>
        </w:rPr>
        <w:t xml:space="preserve">, </w:t>
      </w:r>
      <w:proofErr w:type="spellStart"/>
      <w:r w:rsidRPr="005E3BFF">
        <w:rPr>
          <w:rFonts w:ascii="Arial" w:hAnsi="Arial" w:cs="Arial"/>
          <w:sz w:val="22"/>
          <w:szCs w:val="22"/>
        </w:rPr>
        <w:t>Yuhan</w:t>
      </w:r>
      <w:proofErr w:type="spellEnd"/>
      <w:r w:rsidRPr="005E3BFF">
        <w:rPr>
          <w:rFonts w:ascii="Arial" w:hAnsi="Arial" w:cs="Arial"/>
          <w:sz w:val="22"/>
          <w:szCs w:val="22"/>
        </w:rPr>
        <w:t xml:space="preserve"> Zhang</w:t>
      </w:r>
      <w:r w:rsidRPr="005E3BFF">
        <w:rPr>
          <w:rFonts w:ascii="Arial" w:hAnsi="Arial" w:cs="Arial"/>
          <w:sz w:val="22"/>
          <w:szCs w:val="22"/>
          <w:vertAlign w:val="superscript"/>
        </w:rPr>
        <w:t>2</w:t>
      </w:r>
      <w:r w:rsidRPr="005E3BFF">
        <w:rPr>
          <w:rFonts w:ascii="Arial" w:hAnsi="Arial" w:cs="Arial"/>
          <w:sz w:val="22"/>
          <w:szCs w:val="22"/>
        </w:rPr>
        <w:t xml:space="preserve">, Robert </w:t>
      </w:r>
      <w:r w:rsidR="00BE56B2">
        <w:rPr>
          <w:rFonts w:ascii="Arial" w:hAnsi="Arial" w:cs="Arial"/>
          <w:sz w:val="22"/>
          <w:szCs w:val="22"/>
        </w:rPr>
        <w:t xml:space="preserve">H. </w:t>
      </w:r>
      <w:r w:rsidRPr="005E3BFF">
        <w:rPr>
          <w:rFonts w:ascii="Arial" w:hAnsi="Arial" w:cs="Arial"/>
          <w:sz w:val="22"/>
          <w:szCs w:val="22"/>
        </w:rPr>
        <w:t>Lyles</w:t>
      </w:r>
      <w:r w:rsidRPr="005E3BFF">
        <w:rPr>
          <w:rFonts w:ascii="Arial" w:hAnsi="Arial" w:cs="Arial"/>
          <w:sz w:val="22"/>
          <w:szCs w:val="22"/>
          <w:vertAlign w:val="superscript"/>
        </w:rPr>
        <w:t>4</w:t>
      </w:r>
      <w:r w:rsidRPr="005E3BFF">
        <w:rPr>
          <w:rFonts w:ascii="Arial" w:hAnsi="Arial" w:cs="Arial"/>
          <w:sz w:val="22"/>
          <w:szCs w:val="22"/>
        </w:rPr>
        <w:t xml:space="preserve">, </w:t>
      </w:r>
      <w:proofErr w:type="spellStart"/>
      <w:r w:rsidRPr="005E3BFF">
        <w:rPr>
          <w:rFonts w:ascii="Arial" w:hAnsi="Arial" w:cs="Arial"/>
          <w:sz w:val="22"/>
          <w:szCs w:val="22"/>
        </w:rPr>
        <w:t>Weeberb</w:t>
      </w:r>
      <w:proofErr w:type="spellEnd"/>
      <w:r w:rsidRPr="005E3BFF">
        <w:rPr>
          <w:rFonts w:ascii="Arial" w:hAnsi="Arial" w:cs="Arial"/>
          <w:sz w:val="22"/>
          <w:szCs w:val="22"/>
        </w:rPr>
        <w:t xml:space="preserve"> </w:t>
      </w:r>
      <w:r w:rsidR="00BA208E">
        <w:rPr>
          <w:rFonts w:ascii="Arial" w:hAnsi="Arial" w:cs="Arial"/>
          <w:sz w:val="22"/>
          <w:szCs w:val="22"/>
        </w:rPr>
        <w:t xml:space="preserve">J. </w:t>
      </w:r>
      <w:r w:rsidRPr="005E3BFF">
        <w:rPr>
          <w:rFonts w:ascii="Arial" w:hAnsi="Arial" w:cs="Arial"/>
          <w:sz w:val="22"/>
          <w:szCs w:val="22"/>
        </w:rPr>
        <w:t>Requia</w:t>
      </w:r>
      <w:r w:rsidRPr="005E3BFF">
        <w:rPr>
          <w:rFonts w:ascii="Arial" w:hAnsi="Arial" w:cs="Arial"/>
          <w:sz w:val="22"/>
          <w:szCs w:val="22"/>
          <w:vertAlign w:val="superscript"/>
        </w:rPr>
        <w:t>5</w:t>
      </w:r>
      <w:r w:rsidRPr="005E3BFF">
        <w:rPr>
          <w:rFonts w:ascii="Arial" w:hAnsi="Arial" w:cs="Arial"/>
          <w:sz w:val="22"/>
          <w:szCs w:val="22"/>
        </w:rPr>
        <w:t xml:space="preserve">, </w:t>
      </w:r>
      <w:proofErr w:type="spellStart"/>
      <w:r w:rsidRPr="005E3BFF">
        <w:rPr>
          <w:rFonts w:ascii="Arial" w:hAnsi="Arial" w:cs="Arial"/>
          <w:sz w:val="22"/>
          <w:szCs w:val="22"/>
        </w:rPr>
        <w:t>Sindana</w:t>
      </w:r>
      <w:proofErr w:type="spellEnd"/>
      <w:r w:rsidRPr="005E3BFF">
        <w:rPr>
          <w:rFonts w:ascii="Arial" w:hAnsi="Arial" w:cs="Arial"/>
          <w:sz w:val="22"/>
          <w:szCs w:val="22"/>
        </w:rPr>
        <w:t xml:space="preserve"> </w:t>
      </w:r>
      <w:r w:rsidR="00176D71">
        <w:rPr>
          <w:rFonts w:ascii="Arial" w:hAnsi="Arial" w:cs="Arial"/>
          <w:sz w:val="22"/>
          <w:szCs w:val="22"/>
        </w:rPr>
        <w:t xml:space="preserve">D. </w:t>
      </w:r>
      <w:r w:rsidRPr="005E3BFF">
        <w:rPr>
          <w:rFonts w:ascii="Arial" w:hAnsi="Arial" w:cs="Arial"/>
          <w:sz w:val="22"/>
          <w:szCs w:val="22"/>
        </w:rPr>
        <w:t>Ilango</w:t>
      </w:r>
      <w:r w:rsidRPr="005E3BFF">
        <w:rPr>
          <w:rFonts w:ascii="Arial" w:hAnsi="Arial" w:cs="Arial"/>
          <w:sz w:val="22"/>
          <w:szCs w:val="22"/>
          <w:vertAlign w:val="superscript"/>
        </w:rPr>
        <w:t>6</w:t>
      </w:r>
      <w:r w:rsidRPr="005E3BFF">
        <w:rPr>
          <w:rFonts w:ascii="Arial" w:hAnsi="Arial" w:cs="Arial"/>
          <w:sz w:val="22"/>
          <w:szCs w:val="22"/>
        </w:rPr>
        <w:t xml:space="preserve">, Howard </w:t>
      </w:r>
      <w:r w:rsidR="009317F8">
        <w:rPr>
          <w:rFonts w:ascii="Arial" w:hAnsi="Arial" w:cs="Arial"/>
          <w:sz w:val="22"/>
          <w:szCs w:val="22"/>
        </w:rPr>
        <w:t xml:space="preserve">H. </w:t>
      </w:r>
      <w:r w:rsidRPr="005E3BFF">
        <w:rPr>
          <w:rFonts w:ascii="Arial" w:hAnsi="Arial" w:cs="Arial"/>
          <w:sz w:val="22"/>
          <w:szCs w:val="22"/>
        </w:rPr>
        <w:t>Chang</w:t>
      </w:r>
      <w:r w:rsidRPr="005E3BFF">
        <w:rPr>
          <w:rFonts w:ascii="Arial" w:hAnsi="Arial" w:cs="Arial"/>
          <w:sz w:val="22"/>
          <w:szCs w:val="22"/>
          <w:vertAlign w:val="superscript"/>
        </w:rPr>
        <w:t>4</w:t>
      </w:r>
      <w:r w:rsidRPr="005E3BFF">
        <w:rPr>
          <w:rFonts w:ascii="Arial" w:hAnsi="Arial" w:cs="Arial"/>
          <w:sz w:val="22"/>
          <w:szCs w:val="22"/>
        </w:rPr>
        <w:t>, Thomas Wingo</w:t>
      </w:r>
      <w:r w:rsidRPr="005E3BFF">
        <w:rPr>
          <w:rFonts w:ascii="Arial" w:hAnsi="Arial" w:cs="Arial"/>
          <w:sz w:val="22"/>
          <w:szCs w:val="22"/>
          <w:vertAlign w:val="superscript"/>
        </w:rPr>
        <w:t>7</w:t>
      </w:r>
      <w:r w:rsidRPr="005E3BFF">
        <w:rPr>
          <w:rFonts w:ascii="Arial" w:hAnsi="Arial" w:cs="Arial"/>
          <w:sz w:val="22"/>
          <w:szCs w:val="22"/>
        </w:rPr>
        <w:t>, Rodney J</w:t>
      </w:r>
      <w:r w:rsidR="009317F8">
        <w:rPr>
          <w:rFonts w:ascii="Arial" w:hAnsi="Arial" w:cs="Arial"/>
          <w:sz w:val="22"/>
          <w:szCs w:val="22"/>
        </w:rPr>
        <w:t>.</w:t>
      </w:r>
      <w:r w:rsidRPr="005E3BFF">
        <w:rPr>
          <w:rFonts w:ascii="Arial" w:hAnsi="Arial" w:cs="Arial"/>
          <w:sz w:val="22"/>
          <w:szCs w:val="22"/>
        </w:rPr>
        <w:t xml:space="preserve"> Weber</w:t>
      </w:r>
      <w:r w:rsidRPr="005E3BFF">
        <w:rPr>
          <w:rFonts w:ascii="Arial" w:hAnsi="Arial" w:cs="Arial"/>
          <w:sz w:val="22"/>
          <w:szCs w:val="22"/>
          <w:vertAlign w:val="superscript"/>
        </w:rPr>
        <w:t>3</w:t>
      </w:r>
      <w:r w:rsidRPr="005E3BFF">
        <w:rPr>
          <w:rFonts w:ascii="Arial" w:hAnsi="Arial" w:cs="Arial"/>
          <w:sz w:val="22"/>
          <w:szCs w:val="22"/>
        </w:rPr>
        <w:t>, Joel Schwartz</w:t>
      </w:r>
      <w:r w:rsidRPr="005E3BFF">
        <w:rPr>
          <w:rFonts w:ascii="Arial" w:hAnsi="Arial" w:cs="Arial"/>
          <w:sz w:val="22"/>
          <w:szCs w:val="22"/>
          <w:vertAlign w:val="superscript"/>
        </w:rPr>
        <w:t>8</w:t>
      </w:r>
      <w:r w:rsidRPr="005E3BFF">
        <w:rPr>
          <w:rFonts w:ascii="Arial" w:hAnsi="Arial" w:cs="Arial"/>
          <w:sz w:val="22"/>
          <w:szCs w:val="22"/>
        </w:rPr>
        <w:t xml:space="preserve"> </w:t>
      </w:r>
    </w:p>
    <w:p w14:paraId="4074C2E8" w14:textId="77777777" w:rsidR="00AC4105" w:rsidRPr="005E3BFF" w:rsidRDefault="00AC4105" w:rsidP="00AC4105">
      <w:pPr>
        <w:rPr>
          <w:rFonts w:ascii="Arial" w:hAnsi="Arial" w:cs="Arial"/>
          <w:sz w:val="22"/>
          <w:szCs w:val="22"/>
        </w:rPr>
      </w:pPr>
    </w:p>
    <w:p w14:paraId="5A661D10" w14:textId="5A1F62DC" w:rsidR="00AC4105" w:rsidRPr="006A3BEE" w:rsidRDefault="00AC4105" w:rsidP="00AC4105">
      <w:pPr>
        <w:spacing w:before="240" w:after="240" w:line="360" w:lineRule="auto"/>
        <w:rPr>
          <w:rFonts w:ascii="Arial" w:hAnsi="Arial" w:cs="Arial"/>
          <w:sz w:val="20"/>
          <w:szCs w:val="20"/>
        </w:rPr>
      </w:pPr>
      <w:r w:rsidRPr="006A3BEE">
        <w:rPr>
          <w:rFonts w:ascii="Arial" w:hAnsi="Arial" w:cs="Arial"/>
          <w:vertAlign w:val="superscript"/>
        </w:rPr>
        <w:t>#</w:t>
      </w:r>
      <w:r w:rsidRPr="006A3BEE">
        <w:rPr>
          <w:rFonts w:ascii="Arial" w:hAnsi="Arial" w:cs="Arial"/>
          <w:sz w:val="20"/>
          <w:szCs w:val="20"/>
        </w:rPr>
        <w:t xml:space="preserve"> LS and KS contribute</w:t>
      </w:r>
      <w:r w:rsidR="00BE56B2">
        <w:rPr>
          <w:rFonts w:ascii="Arial" w:hAnsi="Arial" w:cs="Arial"/>
          <w:sz w:val="20"/>
          <w:szCs w:val="20"/>
        </w:rPr>
        <w:t>d</w:t>
      </w:r>
      <w:r w:rsidRPr="006A3BEE">
        <w:rPr>
          <w:rFonts w:ascii="Arial" w:hAnsi="Arial" w:cs="Arial"/>
          <w:sz w:val="20"/>
          <w:szCs w:val="20"/>
        </w:rPr>
        <w:t xml:space="preserve"> equally.</w:t>
      </w:r>
    </w:p>
    <w:p w14:paraId="1A75E667"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1 </w:t>
      </w:r>
      <w:proofErr w:type="spellStart"/>
      <w:r w:rsidRPr="006A3BEE">
        <w:rPr>
          <w:rFonts w:ascii="Arial" w:hAnsi="Arial" w:cs="Arial"/>
          <w:sz w:val="18"/>
          <w:szCs w:val="18"/>
        </w:rPr>
        <w:t>Gangarosa</w:t>
      </w:r>
      <w:proofErr w:type="spellEnd"/>
      <w:r w:rsidRPr="006A3BEE">
        <w:rPr>
          <w:rFonts w:ascii="Arial" w:hAnsi="Arial" w:cs="Arial"/>
          <w:sz w:val="18"/>
          <w:szCs w:val="18"/>
        </w:rPr>
        <w:t xml:space="preserve"> Department of Environmental Health, Rollins School of Public Health, Emory University, Atlanta, GA</w:t>
      </w:r>
    </w:p>
    <w:p w14:paraId="3814AD00"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2 </w:t>
      </w:r>
      <w:r w:rsidRPr="006A3BEE">
        <w:rPr>
          <w:rFonts w:ascii="Arial" w:hAnsi="Arial" w:cs="Arial"/>
          <w:sz w:val="18"/>
          <w:szCs w:val="18"/>
        </w:rPr>
        <w:t>Department of Epidemiology, Rollins School of Public Health, Emory University, Atlanta, GA</w:t>
      </w:r>
    </w:p>
    <w:p w14:paraId="0C3D9997"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3 </w:t>
      </w:r>
      <w:r w:rsidRPr="006A3BEE">
        <w:rPr>
          <w:rFonts w:ascii="Arial" w:hAnsi="Arial" w:cs="Arial"/>
          <w:sz w:val="18"/>
          <w:szCs w:val="18"/>
        </w:rPr>
        <w:t>School of Earth and Atmospheric Sciences, Georgia Institute of Technology, Atlanta, Georgia, USA</w:t>
      </w:r>
    </w:p>
    <w:p w14:paraId="3239FF5C"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4 </w:t>
      </w:r>
      <w:r w:rsidRPr="006A3BEE">
        <w:rPr>
          <w:rFonts w:ascii="Arial" w:hAnsi="Arial" w:cs="Arial"/>
          <w:sz w:val="18"/>
          <w:szCs w:val="18"/>
        </w:rPr>
        <w:t>Department of Biostatistics and Bioinformatics, Rollins School of Public Health, Emory University, Atlanta, Georgia, USA</w:t>
      </w:r>
    </w:p>
    <w:p w14:paraId="76064D87"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5 </w:t>
      </w:r>
      <w:r w:rsidRPr="006A3BEE">
        <w:rPr>
          <w:rFonts w:ascii="Arial" w:hAnsi="Arial" w:cs="Arial"/>
          <w:sz w:val="18"/>
          <w:szCs w:val="18"/>
        </w:rPr>
        <w:t xml:space="preserve">School of Public Policy and Government, </w:t>
      </w:r>
      <w:proofErr w:type="spellStart"/>
      <w:r w:rsidRPr="006A3BEE">
        <w:rPr>
          <w:rFonts w:ascii="Arial" w:hAnsi="Arial" w:cs="Arial"/>
          <w:sz w:val="18"/>
          <w:szCs w:val="18"/>
        </w:rPr>
        <w:t>Fundação</w:t>
      </w:r>
      <w:proofErr w:type="spellEnd"/>
      <w:r w:rsidRPr="006A3BEE">
        <w:rPr>
          <w:rFonts w:ascii="Arial" w:hAnsi="Arial" w:cs="Arial"/>
          <w:sz w:val="18"/>
          <w:szCs w:val="18"/>
        </w:rPr>
        <w:t xml:space="preserve"> </w:t>
      </w:r>
      <w:proofErr w:type="spellStart"/>
      <w:r w:rsidRPr="006A3BEE">
        <w:rPr>
          <w:rFonts w:ascii="Arial" w:hAnsi="Arial" w:cs="Arial"/>
          <w:sz w:val="18"/>
          <w:szCs w:val="18"/>
        </w:rPr>
        <w:t>Getúlio</w:t>
      </w:r>
      <w:proofErr w:type="spellEnd"/>
      <w:r w:rsidRPr="006A3BEE">
        <w:rPr>
          <w:rFonts w:ascii="Arial" w:hAnsi="Arial" w:cs="Arial"/>
          <w:sz w:val="18"/>
          <w:szCs w:val="18"/>
        </w:rPr>
        <w:t xml:space="preserve"> Vargas, Brasília, Distrito Federal, Brazil</w:t>
      </w:r>
    </w:p>
    <w:p w14:paraId="6AD91D77"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6 </w:t>
      </w:r>
      <w:r w:rsidRPr="006A3BEE">
        <w:rPr>
          <w:rFonts w:ascii="Arial" w:hAnsi="Arial" w:cs="Arial"/>
          <w:sz w:val="18"/>
          <w:szCs w:val="18"/>
        </w:rPr>
        <w:t>Department of Epidemiology, School of Public Health, University of Washington, Seattle, Washington, USA</w:t>
      </w:r>
    </w:p>
    <w:p w14:paraId="264C4DF3" w14:textId="77777777" w:rsidR="00AC4105" w:rsidRPr="006A3BEE" w:rsidRDefault="00AC4105" w:rsidP="00AC4105">
      <w:pPr>
        <w:spacing w:before="240" w:after="240" w:line="360" w:lineRule="auto"/>
        <w:jc w:val="both"/>
        <w:rPr>
          <w:rFonts w:ascii="Arial" w:hAnsi="Arial" w:cs="Arial"/>
          <w:sz w:val="18"/>
          <w:szCs w:val="18"/>
        </w:rPr>
      </w:pPr>
      <w:r w:rsidRPr="006A3BEE">
        <w:rPr>
          <w:rFonts w:ascii="Arial" w:hAnsi="Arial" w:cs="Arial"/>
          <w:sz w:val="18"/>
          <w:szCs w:val="18"/>
          <w:vertAlign w:val="superscript"/>
        </w:rPr>
        <w:t xml:space="preserve">7 </w:t>
      </w:r>
      <w:r w:rsidRPr="006A3BEE">
        <w:rPr>
          <w:rFonts w:ascii="Arial" w:hAnsi="Arial" w:cs="Arial"/>
          <w:sz w:val="18"/>
          <w:szCs w:val="18"/>
        </w:rPr>
        <w:t>Department of Neurology and Human Genetics, School of Medicine, Emory University, Atlanta, Georgia, USA</w:t>
      </w:r>
    </w:p>
    <w:p w14:paraId="58573686" w14:textId="77777777" w:rsidR="00AC4105" w:rsidRPr="006A3BEE" w:rsidRDefault="00AC4105" w:rsidP="00AC4105">
      <w:pPr>
        <w:spacing w:before="240" w:after="240" w:line="360" w:lineRule="auto"/>
        <w:jc w:val="both"/>
        <w:rPr>
          <w:rFonts w:ascii="Arial" w:hAnsi="Arial" w:cs="Arial"/>
          <w:sz w:val="20"/>
          <w:szCs w:val="20"/>
        </w:rPr>
      </w:pPr>
      <w:r w:rsidRPr="006A3BEE">
        <w:rPr>
          <w:rFonts w:ascii="Arial" w:hAnsi="Arial" w:cs="Arial"/>
          <w:sz w:val="18"/>
          <w:szCs w:val="18"/>
          <w:vertAlign w:val="superscript"/>
        </w:rPr>
        <w:t xml:space="preserve">8 </w:t>
      </w:r>
      <w:r w:rsidRPr="006A3BEE">
        <w:rPr>
          <w:rFonts w:ascii="Arial" w:hAnsi="Arial" w:cs="Arial"/>
          <w:sz w:val="18"/>
          <w:szCs w:val="18"/>
        </w:rPr>
        <w:t>Department of Environmental Health, Harvard T.H. Chan School of Public Health, Boston, Massachusetts, USA</w:t>
      </w:r>
    </w:p>
    <w:p w14:paraId="76FE15CE" w14:textId="77777777" w:rsidR="001E6B37" w:rsidRDefault="001E6B37">
      <w:pPr>
        <w:rPr>
          <w:rFonts w:ascii="Arial" w:hAnsi="Arial" w:cs="Arial"/>
          <w:b/>
          <w:color w:val="222222"/>
          <w:highlight w:val="white"/>
        </w:rPr>
      </w:pPr>
      <w:r>
        <w:rPr>
          <w:rFonts w:ascii="Arial" w:hAnsi="Arial" w:cs="Arial"/>
          <w:b/>
          <w:color w:val="222222"/>
          <w:highlight w:val="white"/>
        </w:rPr>
        <w:br w:type="page"/>
      </w:r>
    </w:p>
    <w:p w14:paraId="14E27C00" w14:textId="7E48626E" w:rsidR="001E6B37" w:rsidRDefault="001E6B37" w:rsidP="0047273E">
      <w:pPr>
        <w:spacing w:before="120"/>
        <w:rPr>
          <w:rFonts w:ascii="Arial" w:hAnsi="Arial" w:cs="Arial"/>
          <w:b/>
          <w:sz w:val="22"/>
          <w:szCs w:val="22"/>
        </w:rPr>
      </w:pPr>
      <w:r w:rsidRPr="00D31286">
        <w:rPr>
          <w:rFonts w:ascii="Arial" w:hAnsi="Arial" w:cs="Arial"/>
          <w:b/>
          <w:sz w:val="22"/>
          <w:szCs w:val="22"/>
        </w:rPr>
        <w:lastRenderedPageBreak/>
        <w:t xml:space="preserve">Supplementary </w:t>
      </w:r>
      <w:r w:rsidR="00B56175">
        <w:rPr>
          <w:rFonts w:ascii="Arial" w:hAnsi="Arial" w:cs="Arial"/>
          <w:b/>
          <w:sz w:val="22"/>
          <w:szCs w:val="22"/>
        </w:rPr>
        <w:t>tables and figures</w:t>
      </w:r>
    </w:p>
    <w:p w14:paraId="281D08C9" w14:textId="77777777" w:rsidR="00E5577C" w:rsidRPr="00D31286" w:rsidRDefault="00E5577C" w:rsidP="00D31286">
      <w:pPr>
        <w:spacing w:before="120" w:after="120"/>
        <w:rPr>
          <w:rFonts w:ascii="Arial" w:hAnsi="Arial" w:cs="Arial"/>
          <w:b/>
          <w:sz w:val="22"/>
          <w:szCs w:val="22"/>
        </w:rPr>
      </w:pPr>
    </w:p>
    <w:p w14:paraId="0C090AD4" w14:textId="643169B7" w:rsidR="003620B5" w:rsidRDefault="003620B5" w:rsidP="003620B5">
      <w:pPr>
        <w:rPr>
          <w:rFonts w:ascii="Arial" w:hAnsi="Arial" w:cs="Arial"/>
          <w:bCs/>
          <w:color w:val="222222"/>
          <w:sz w:val="22"/>
          <w:szCs w:val="22"/>
        </w:rPr>
      </w:pPr>
      <w:r w:rsidRPr="003620B5">
        <w:rPr>
          <w:rFonts w:ascii="Arial" w:hAnsi="Arial" w:cs="Arial"/>
          <w:b/>
          <w:color w:val="222222"/>
          <w:sz w:val="22"/>
          <w:szCs w:val="22"/>
          <w:highlight w:val="white"/>
        </w:rPr>
        <w:t>Table S1</w:t>
      </w:r>
      <w:r w:rsidRPr="002B3C15">
        <w:rPr>
          <w:rFonts w:ascii="Arial" w:hAnsi="Arial" w:cs="Arial"/>
          <w:bCs/>
          <w:color w:val="222222"/>
          <w:sz w:val="22"/>
          <w:szCs w:val="22"/>
          <w:highlight w:val="white"/>
        </w:rPr>
        <w:t>.</w:t>
      </w:r>
      <w:r w:rsidRPr="00EA286F">
        <w:rPr>
          <w:rFonts w:ascii="Arial" w:hAnsi="Arial" w:cs="Arial"/>
          <w:b/>
          <w:color w:val="222222"/>
          <w:sz w:val="22"/>
          <w:szCs w:val="22"/>
          <w:highlight w:val="white"/>
        </w:rPr>
        <w:t xml:space="preserve"> </w:t>
      </w:r>
      <w:r w:rsidRPr="00EA286F">
        <w:rPr>
          <w:rFonts w:ascii="Arial" w:hAnsi="Arial" w:cs="Arial"/>
          <w:bCs/>
          <w:color w:val="222222"/>
          <w:sz w:val="22"/>
          <w:szCs w:val="22"/>
        </w:rPr>
        <w:t>Annual PM</w:t>
      </w:r>
      <w:r w:rsidRPr="00EA286F">
        <w:rPr>
          <w:rFonts w:ascii="Arial" w:hAnsi="Arial" w:cs="Arial"/>
          <w:bCs/>
          <w:color w:val="222222"/>
          <w:sz w:val="22"/>
          <w:szCs w:val="22"/>
          <w:vertAlign w:val="subscript"/>
        </w:rPr>
        <w:t xml:space="preserve">2.5 </w:t>
      </w:r>
      <w:r w:rsidRPr="00EA286F">
        <w:rPr>
          <w:rFonts w:ascii="Arial" w:hAnsi="Arial" w:cs="Arial"/>
          <w:bCs/>
          <w:color w:val="222222"/>
          <w:sz w:val="22"/>
          <w:szCs w:val="22"/>
        </w:rPr>
        <w:t>(g/m</w:t>
      </w:r>
      <w:r w:rsidRPr="00EA286F">
        <w:rPr>
          <w:rFonts w:ascii="Arial" w:hAnsi="Arial" w:cs="Arial"/>
          <w:bCs/>
          <w:color w:val="222222"/>
          <w:sz w:val="22"/>
          <w:szCs w:val="22"/>
          <w:vertAlign w:val="superscript"/>
        </w:rPr>
        <w:t>3</w:t>
      </w:r>
      <w:r w:rsidRPr="00EA286F">
        <w:rPr>
          <w:rFonts w:ascii="Arial" w:hAnsi="Arial" w:cs="Arial"/>
          <w:bCs/>
          <w:color w:val="222222"/>
          <w:sz w:val="22"/>
          <w:szCs w:val="22"/>
        </w:rPr>
        <w:t>), annual NO</w:t>
      </w:r>
      <w:r w:rsidRPr="00EA286F">
        <w:rPr>
          <w:rFonts w:ascii="Arial" w:hAnsi="Arial" w:cs="Arial"/>
          <w:bCs/>
          <w:color w:val="222222"/>
          <w:sz w:val="22"/>
          <w:szCs w:val="22"/>
          <w:vertAlign w:val="subscript"/>
        </w:rPr>
        <w:t>2</w:t>
      </w:r>
      <w:r w:rsidRPr="00EA286F">
        <w:rPr>
          <w:rFonts w:ascii="Arial" w:hAnsi="Arial" w:cs="Arial"/>
          <w:bCs/>
          <w:color w:val="222222"/>
          <w:sz w:val="22"/>
          <w:szCs w:val="22"/>
        </w:rPr>
        <w:t xml:space="preserve"> (ppb), and warm-season O</w:t>
      </w:r>
      <w:r w:rsidRPr="00EA286F">
        <w:rPr>
          <w:rFonts w:ascii="Arial" w:hAnsi="Arial" w:cs="Arial"/>
          <w:bCs/>
          <w:color w:val="222222"/>
          <w:sz w:val="22"/>
          <w:szCs w:val="22"/>
          <w:vertAlign w:val="subscript"/>
        </w:rPr>
        <w:t>3</w:t>
      </w:r>
      <w:r w:rsidRPr="00EA286F">
        <w:rPr>
          <w:rFonts w:ascii="Arial" w:hAnsi="Arial" w:cs="Arial"/>
          <w:bCs/>
          <w:color w:val="222222"/>
          <w:sz w:val="22"/>
          <w:szCs w:val="22"/>
        </w:rPr>
        <w:t xml:space="preserve"> (ppb) levels </w:t>
      </w:r>
      <w:r w:rsidR="00460370">
        <w:rPr>
          <w:rFonts w:ascii="Arial" w:hAnsi="Arial" w:cs="Arial"/>
          <w:bCs/>
          <w:color w:val="222222"/>
          <w:sz w:val="22"/>
          <w:szCs w:val="22"/>
        </w:rPr>
        <w:t>(minimum, maximum, mean, and percentiles)</w:t>
      </w:r>
      <w:r w:rsidR="00460370" w:rsidRPr="00EA286F">
        <w:rPr>
          <w:rFonts w:ascii="Arial" w:hAnsi="Arial" w:cs="Arial"/>
          <w:bCs/>
          <w:color w:val="222222"/>
          <w:sz w:val="22"/>
          <w:szCs w:val="22"/>
        </w:rPr>
        <w:t xml:space="preserve"> </w:t>
      </w:r>
      <w:r w:rsidRPr="00EA286F">
        <w:rPr>
          <w:rFonts w:ascii="Arial" w:hAnsi="Arial" w:cs="Arial"/>
          <w:bCs/>
          <w:color w:val="222222"/>
          <w:sz w:val="22"/>
          <w:szCs w:val="22"/>
        </w:rPr>
        <w:t xml:space="preserve">over the study </w:t>
      </w:r>
      <w:proofErr w:type="gramStart"/>
      <w:r w:rsidRPr="00EA286F">
        <w:rPr>
          <w:rFonts w:ascii="Arial" w:hAnsi="Arial" w:cs="Arial"/>
          <w:bCs/>
          <w:color w:val="222222"/>
          <w:sz w:val="22"/>
          <w:szCs w:val="22"/>
        </w:rPr>
        <w:t>period</w:t>
      </w:r>
      <w:proofErr w:type="gramEnd"/>
    </w:p>
    <w:p w14:paraId="2BF10E64" w14:textId="59C1ED97" w:rsidR="003620B5" w:rsidRDefault="003620B5" w:rsidP="003620B5">
      <w:pPr>
        <w:rPr>
          <w:rFonts w:ascii="Arial" w:hAnsi="Arial" w:cs="Arial"/>
          <w:bCs/>
          <w:color w:val="222222"/>
          <w:sz w:val="22"/>
          <w:szCs w:val="22"/>
        </w:rPr>
      </w:pPr>
    </w:p>
    <w:p w14:paraId="34C1958F" w14:textId="753BB678" w:rsidR="003620B5" w:rsidRPr="00EA286F" w:rsidRDefault="003620B5" w:rsidP="003620B5">
      <w:pPr>
        <w:pStyle w:val="NormalWeb"/>
        <w:spacing w:before="0" w:beforeAutospacing="0" w:after="200" w:afterAutospacing="0"/>
        <w:rPr>
          <w:rFonts w:ascii="Arial" w:eastAsiaTheme="minorEastAsia" w:hAnsi="Arial" w:cs="Arial"/>
          <w:sz w:val="22"/>
          <w:szCs w:val="22"/>
        </w:rPr>
      </w:pPr>
      <w:r w:rsidRPr="003620B5">
        <w:rPr>
          <w:rFonts w:ascii="Arial" w:hAnsi="Arial" w:cs="Arial"/>
          <w:b/>
          <w:bCs/>
          <w:sz w:val="22"/>
          <w:szCs w:val="22"/>
        </w:rPr>
        <w:t>Table S2</w:t>
      </w:r>
      <w:r w:rsidRPr="0022367A">
        <w:rPr>
          <w:rFonts w:ascii="Arial" w:hAnsi="Arial" w:cs="Arial"/>
          <w:sz w:val="22"/>
          <w:szCs w:val="22"/>
        </w:rPr>
        <w:t>.</w:t>
      </w:r>
      <w:r w:rsidRPr="00EA286F">
        <w:rPr>
          <w:rFonts w:ascii="Arial" w:hAnsi="Arial" w:cs="Arial"/>
          <w:sz w:val="22"/>
          <w:szCs w:val="22"/>
        </w:rPr>
        <w:t xml:space="preserve"> Hazard ratios of dementia or AD per IQR increase in air pollutants among the subpopulation with a 10-year clean period, using </w:t>
      </w:r>
      <w:r w:rsidR="00266561">
        <w:rPr>
          <w:rFonts w:ascii="Arial" w:hAnsi="Arial" w:cs="Arial"/>
          <w:sz w:val="22"/>
          <w:szCs w:val="22"/>
        </w:rPr>
        <w:t xml:space="preserve">varied lag </w:t>
      </w:r>
      <w:proofErr w:type="gramStart"/>
      <w:r w:rsidR="00266561">
        <w:rPr>
          <w:rFonts w:ascii="Arial" w:hAnsi="Arial" w:cs="Arial"/>
          <w:sz w:val="22"/>
          <w:szCs w:val="22"/>
        </w:rPr>
        <w:t>periods</w:t>
      </w:r>
      <w:proofErr w:type="gramEnd"/>
      <w:r w:rsidR="00266561" w:rsidRPr="00EA286F">
        <w:rPr>
          <w:rFonts w:ascii="Arial" w:hAnsi="Arial" w:cs="Arial"/>
          <w:sz w:val="22"/>
          <w:szCs w:val="22"/>
        </w:rPr>
        <w:t> </w:t>
      </w:r>
    </w:p>
    <w:p w14:paraId="6BCEF45D" w14:textId="66FB7A7D" w:rsidR="00294971" w:rsidRPr="0022367A" w:rsidRDefault="00294971" w:rsidP="00294971">
      <w:pPr>
        <w:pStyle w:val="NormalWeb"/>
        <w:spacing w:before="0" w:beforeAutospacing="0" w:after="0" w:afterAutospacing="0"/>
        <w:textAlignment w:val="baseline"/>
        <w:rPr>
          <w:rFonts w:ascii="Arial" w:hAnsi="Arial" w:cs="Arial"/>
          <w:color w:val="000000"/>
          <w:sz w:val="22"/>
          <w:szCs w:val="22"/>
        </w:rPr>
      </w:pPr>
      <w:r w:rsidRPr="000C63AE">
        <w:rPr>
          <w:rFonts w:ascii="Arial" w:hAnsi="Arial" w:cs="Arial"/>
          <w:b/>
          <w:bCs/>
          <w:sz w:val="22"/>
          <w:szCs w:val="22"/>
        </w:rPr>
        <w:t>Table S3</w:t>
      </w:r>
      <w:r w:rsidRPr="0022367A">
        <w:rPr>
          <w:rFonts w:ascii="Arial" w:hAnsi="Arial" w:cs="Arial"/>
          <w:sz w:val="22"/>
          <w:szCs w:val="22"/>
        </w:rPr>
        <w:t xml:space="preserve">. Hazard ratios of dementia or AD per IQR increase in air pollutants from tri-pollutant models, additionally adjusting for </w:t>
      </w:r>
      <w:proofErr w:type="gramStart"/>
      <w:r w:rsidR="00E5577C" w:rsidRPr="0022367A">
        <w:rPr>
          <w:rFonts w:ascii="Arial" w:hAnsi="Arial" w:cs="Arial"/>
          <w:sz w:val="22"/>
          <w:szCs w:val="22"/>
        </w:rPr>
        <w:t>comorbidities</w:t>
      </w:r>
      <w:proofErr w:type="gramEnd"/>
    </w:p>
    <w:p w14:paraId="6F7BBE34" w14:textId="77777777" w:rsidR="00294971" w:rsidRDefault="00294971">
      <w:pPr>
        <w:rPr>
          <w:rFonts w:ascii="Arial" w:hAnsi="Arial" w:cs="Arial"/>
          <w:b/>
          <w:color w:val="222222"/>
          <w:highlight w:val="white"/>
        </w:rPr>
      </w:pPr>
    </w:p>
    <w:p w14:paraId="3C9E5403" w14:textId="5D5BE6FE" w:rsidR="00E5577C" w:rsidRDefault="00E5577C" w:rsidP="00E5577C">
      <w:pPr>
        <w:pStyle w:val="NormalWeb"/>
        <w:spacing w:before="0" w:beforeAutospacing="0" w:after="0" w:afterAutospacing="0"/>
        <w:rPr>
          <w:rFonts w:ascii="Arial" w:hAnsi="Arial" w:cs="Arial"/>
          <w:sz w:val="22"/>
          <w:szCs w:val="22"/>
        </w:rPr>
      </w:pPr>
      <w:r w:rsidRPr="00E5577C">
        <w:rPr>
          <w:rFonts w:ascii="Arial" w:hAnsi="Arial" w:cs="Arial"/>
          <w:b/>
          <w:bCs/>
          <w:sz w:val="22"/>
          <w:szCs w:val="22"/>
        </w:rPr>
        <w:t>Table S4</w:t>
      </w:r>
      <w:r w:rsidRPr="00490B43">
        <w:rPr>
          <w:rFonts w:ascii="Arial" w:hAnsi="Arial" w:cs="Arial"/>
          <w:sz w:val="22"/>
          <w:szCs w:val="22"/>
        </w:rPr>
        <w:t>.</w:t>
      </w:r>
      <w:r w:rsidRPr="006A3BEE">
        <w:rPr>
          <w:rFonts w:ascii="Arial" w:hAnsi="Arial" w:cs="Arial"/>
          <w:sz w:val="22"/>
          <w:szCs w:val="22"/>
        </w:rPr>
        <w:t xml:space="preserve"> </w:t>
      </w:r>
      <w:r>
        <w:rPr>
          <w:rFonts w:ascii="Arial" w:hAnsi="Arial" w:cs="Arial"/>
          <w:sz w:val="22"/>
          <w:szCs w:val="22"/>
        </w:rPr>
        <w:t>Rate</w:t>
      </w:r>
      <w:r w:rsidRPr="006A3BEE">
        <w:rPr>
          <w:rFonts w:ascii="Arial" w:hAnsi="Arial" w:cs="Arial"/>
          <w:sz w:val="22"/>
          <w:szCs w:val="22"/>
        </w:rPr>
        <w:t xml:space="preserve"> ratio of dementia or Alzheimer’s Disease (AD) per IQR increase in air pollutants</w:t>
      </w:r>
      <w:r>
        <w:rPr>
          <w:rFonts w:ascii="Arial" w:hAnsi="Arial" w:cs="Arial"/>
          <w:sz w:val="22"/>
          <w:szCs w:val="22"/>
        </w:rPr>
        <w:t xml:space="preserve">, derived from the linear rate </w:t>
      </w:r>
      <w:proofErr w:type="gramStart"/>
      <w:r>
        <w:rPr>
          <w:rFonts w:ascii="Arial" w:hAnsi="Arial" w:cs="Arial"/>
          <w:sz w:val="22"/>
          <w:szCs w:val="22"/>
        </w:rPr>
        <w:t>models</w:t>
      </w:r>
      <w:proofErr w:type="gramEnd"/>
    </w:p>
    <w:p w14:paraId="29B98454" w14:textId="4D164D20" w:rsidR="0034197A" w:rsidRDefault="0034197A" w:rsidP="00E5577C">
      <w:pPr>
        <w:pStyle w:val="NormalWeb"/>
        <w:spacing w:before="0" w:beforeAutospacing="0" w:after="0" w:afterAutospacing="0"/>
        <w:rPr>
          <w:rFonts w:ascii="Arial" w:hAnsi="Arial" w:cs="Arial"/>
          <w:sz w:val="22"/>
          <w:szCs w:val="22"/>
        </w:rPr>
      </w:pPr>
    </w:p>
    <w:p w14:paraId="32E9DDD7" w14:textId="77777777" w:rsidR="00F95B92" w:rsidRDefault="00F95B92" w:rsidP="00F95B92">
      <w:pPr>
        <w:rPr>
          <w:rFonts w:ascii="Arial" w:hAnsi="Arial" w:cs="Arial"/>
          <w:sz w:val="22"/>
          <w:szCs w:val="22"/>
        </w:rPr>
      </w:pPr>
      <w:r w:rsidRPr="00E5577C">
        <w:rPr>
          <w:rFonts w:ascii="Arial" w:hAnsi="Arial" w:cs="Arial"/>
          <w:b/>
          <w:bCs/>
          <w:sz w:val="22"/>
          <w:szCs w:val="22"/>
        </w:rPr>
        <w:t>Table S5</w:t>
      </w:r>
      <w:r w:rsidRPr="0022686D">
        <w:rPr>
          <w:rFonts w:ascii="Arial" w:hAnsi="Arial" w:cs="Arial"/>
          <w:sz w:val="22"/>
          <w:szCs w:val="22"/>
        </w:rPr>
        <w:t>.</w:t>
      </w:r>
      <w:r w:rsidRPr="006A3BEE">
        <w:rPr>
          <w:rFonts w:ascii="Arial" w:hAnsi="Arial" w:cs="Arial"/>
        </w:rPr>
        <w:t xml:space="preserve"> </w:t>
      </w:r>
      <w:r w:rsidRPr="006A3BEE">
        <w:rPr>
          <w:rFonts w:ascii="Arial" w:hAnsi="Arial" w:cs="Arial"/>
          <w:sz w:val="22"/>
          <w:szCs w:val="22"/>
        </w:rPr>
        <w:t>Hazard ratio of dementia or Alzheimer’s Disease (AD) per IQR increase in each pollutant, accounting for potential outcome misclassification</w:t>
      </w:r>
      <w:r>
        <w:rPr>
          <w:rFonts w:ascii="Arial" w:hAnsi="Arial" w:cs="Arial"/>
          <w:sz w:val="22"/>
          <w:szCs w:val="22"/>
        </w:rPr>
        <w:t xml:space="preserve"> via adjusting data for assumed sensitivity and specificity of classification (from Taylor et al. 2009)</w:t>
      </w:r>
      <w:r w:rsidRPr="006A3BEE">
        <w:rPr>
          <w:rFonts w:ascii="Arial" w:hAnsi="Arial" w:cs="Arial"/>
          <w:sz w:val="22"/>
          <w:szCs w:val="22"/>
        </w:rPr>
        <w:t>.</w:t>
      </w:r>
    </w:p>
    <w:p w14:paraId="6B99B0D2" w14:textId="50F06103" w:rsidR="0034197A" w:rsidRDefault="0034197A" w:rsidP="00E5577C">
      <w:pPr>
        <w:pStyle w:val="NormalWeb"/>
        <w:spacing w:before="0" w:beforeAutospacing="0" w:after="0" w:afterAutospacing="0"/>
        <w:rPr>
          <w:rFonts w:ascii="Arial" w:hAnsi="Arial" w:cs="Arial"/>
          <w:sz w:val="22"/>
          <w:szCs w:val="22"/>
        </w:rPr>
      </w:pPr>
    </w:p>
    <w:p w14:paraId="37EE6BCC" w14:textId="79679AA5" w:rsidR="006267EC" w:rsidRDefault="006267EC" w:rsidP="00EB3C7B">
      <w:pPr>
        <w:pStyle w:val="NormalWeb"/>
        <w:spacing w:before="0" w:beforeAutospacing="0" w:after="0" w:afterAutospacing="0"/>
        <w:jc w:val="both"/>
        <w:rPr>
          <w:rFonts w:ascii="Arial" w:hAnsi="Arial" w:cs="Arial"/>
          <w:color w:val="000000"/>
          <w:sz w:val="22"/>
          <w:szCs w:val="22"/>
        </w:rPr>
      </w:pPr>
      <w:r w:rsidRPr="006C1AD0">
        <w:rPr>
          <w:rFonts w:ascii="Arial" w:hAnsi="Arial" w:cs="Arial"/>
          <w:b/>
          <w:bCs/>
          <w:sz w:val="22"/>
          <w:szCs w:val="22"/>
        </w:rPr>
        <w:t>Table S6</w:t>
      </w:r>
      <w:r w:rsidRPr="0022686D">
        <w:rPr>
          <w:rFonts w:ascii="Arial" w:hAnsi="Arial" w:cs="Arial"/>
          <w:sz w:val="22"/>
          <w:szCs w:val="22"/>
        </w:rPr>
        <w:t>.</w:t>
      </w:r>
      <w:r w:rsidRPr="006A3BEE">
        <w:rPr>
          <w:rFonts w:ascii="Arial" w:hAnsi="Arial" w:cs="Arial"/>
        </w:rPr>
        <w:t xml:space="preserve"> </w:t>
      </w:r>
      <w:r w:rsidRPr="006A3BEE">
        <w:rPr>
          <w:rFonts w:ascii="Arial" w:hAnsi="Arial" w:cs="Arial"/>
          <w:color w:val="000000"/>
          <w:sz w:val="22"/>
          <w:szCs w:val="22"/>
        </w:rPr>
        <w:t>Comparing the dementia and AD cohort using Medicare CCW database versus Medicare inpatient claims (2000-2016)</w:t>
      </w:r>
    </w:p>
    <w:p w14:paraId="16A4A1CE" w14:textId="77777777" w:rsidR="00EB3C7B" w:rsidRPr="006A3BEE" w:rsidRDefault="00EB3C7B" w:rsidP="00EB3C7B">
      <w:pPr>
        <w:pStyle w:val="NormalWeb"/>
        <w:spacing w:before="0" w:beforeAutospacing="0" w:after="120" w:afterAutospacing="0"/>
        <w:jc w:val="both"/>
        <w:rPr>
          <w:rFonts w:ascii="Arial" w:hAnsi="Arial" w:cs="Arial"/>
        </w:rPr>
      </w:pPr>
    </w:p>
    <w:p w14:paraId="32D57F38" w14:textId="0B8543A7" w:rsidR="00027DCD" w:rsidRDefault="00027DCD" w:rsidP="00027DCD">
      <w:pPr>
        <w:spacing w:after="200" w:line="360" w:lineRule="auto"/>
        <w:rPr>
          <w:b/>
          <w:color w:val="222222"/>
          <w:sz w:val="20"/>
          <w:szCs w:val="20"/>
          <w:highlight w:val="white"/>
        </w:rPr>
      </w:pPr>
      <w:r w:rsidRPr="00027DCD">
        <w:rPr>
          <w:rFonts w:ascii="Arial" w:hAnsi="Arial" w:cs="Arial"/>
          <w:b/>
          <w:bCs/>
          <w:sz w:val="22"/>
          <w:szCs w:val="22"/>
        </w:rPr>
        <w:t>Fig</w:t>
      </w:r>
      <w:r>
        <w:rPr>
          <w:rFonts w:ascii="Arial" w:hAnsi="Arial" w:cs="Arial"/>
          <w:b/>
          <w:bCs/>
          <w:sz w:val="22"/>
          <w:szCs w:val="22"/>
        </w:rPr>
        <w:t>ure S1.</w:t>
      </w:r>
      <w:r>
        <w:rPr>
          <w:color w:val="0E101A"/>
          <w:sz w:val="20"/>
          <w:szCs w:val="20"/>
        </w:rPr>
        <w:t xml:space="preserve"> </w:t>
      </w:r>
      <w:r w:rsidRPr="00027DCD">
        <w:rPr>
          <w:rFonts w:ascii="Arial" w:hAnsi="Arial" w:cs="Arial"/>
          <w:color w:val="000000"/>
          <w:sz w:val="22"/>
          <w:szCs w:val="22"/>
        </w:rPr>
        <w:t>Effect modifications by sex, race, Medicaid eligibility, age, and population density. Results represent the hazard ratios of dementia or Alzheimer’s disease (AD), from the tri-pollutant models, per IQR increase in 5-year average warm-season ozone. The blue dashed lines indicate the overall effect estimates for all groups. “Density Q1-Q4” denotes quartiles of population density, i.e., low population density, low-medium population density, medium-high population density, and high population density.</w:t>
      </w:r>
    </w:p>
    <w:p w14:paraId="30C69D1D" w14:textId="437E46F5" w:rsidR="00F95B92" w:rsidRPr="006A3BEE" w:rsidRDefault="00F95B92" w:rsidP="00E5577C">
      <w:pPr>
        <w:pStyle w:val="NormalWeb"/>
        <w:spacing w:before="0" w:beforeAutospacing="0" w:after="0" w:afterAutospacing="0"/>
        <w:rPr>
          <w:rFonts w:ascii="Arial" w:hAnsi="Arial" w:cs="Arial"/>
          <w:sz w:val="22"/>
          <w:szCs w:val="22"/>
        </w:rPr>
      </w:pPr>
    </w:p>
    <w:p w14:paraId="11EE7D22" w14:textId="77777777" w:rsidR="00E5577C" w:rsidRDefault="00E5577C">
      <w:pPr>
        <w:rPr>
          <w:rFonts w:ascii="Arial" w:hAnsi="Arial" w:cs="Arial"/>
          <w:b/>
          <w:color w:val="222222"/>
          <w:highlight w:val="white"/>
        </w:rPr>
      </w:pPr>
    </w:p>
    <w:p w14:paraId="3AED68FC" w14:textId="2109D99F" w:rsidR="00CD1DB7" w:rsidRPr="006A3BEE" w:rsidRDefault="00CD1DB7">
      <w:pPr>
        <w:rPr>
          <w:rFonts w:ascii="Arial" w:hAnsi="Arial" w:cs="Arial"/>
          <w:b/>
          <w:color w:val="222222"/>
          <w:highlight w:val="white"/>
        </w:rPr>
      </w:pPr>
      <w:r w:rsidRPr="006A3BEE">
        <w:rPr>
          <w:rFonts w:ascii="Arial" w:hAnsi="Arial" w:cs="Arial"/>
          <w:b/>
          <w:color w:val="222222"/>
          <w:highlight w:val="white"/>
        </w:rPr>
        <w:br w:type="page"/>
      </w:r>
    </w:p>
    <w:p w14:paraId="7BE65817" w14:textId="62B799E1" w:rsidR="00385422" w:rsidRPr="00EA286F" w:rsidRDefault="00CD1DB7">
      <w:pPr>
        <w:rPr>
          <w:rFonts w:ascii="Arial" w:hAnsi="Arial" w:cs="Arial"/>
          <w:b/>
          <w:color w:val="222222"/>
          <w:sz w:val="22"/>
          <w:szCs w:val="22"/>
          <w:highlight w:val="white"/>
        </w:rPr>
      </w:pPr>
      <w:r w:rsidRPr="003620B5">
        <w:rPr>
          <w:rFonts w:ascii="Arial" w:hAnsi="Arial" w:cs="Arial"/>
          <w:b/>
          <w:color w:val="222222"/>
          <w:sz w:val="22"/>
          <w:szCs w:val="22"/>
          <w:highlight w:val="white"/>
        </w:rPr>
        <w:lastRenderedPageBreak/>
        <w:t>Table S1</w:t>
      </w:r>
      <w:r w:rsidRPr="002B3C15">
        <w:rPr>
          <w:rFonts w:ascii="Arial" w:hAnsi="Arial" w:cs="Arial"/>
          <w:bCs/>
          <w:color w:val="222222"/>
          <w:sz w:val="22"/>
          <w:szCs w:val="22"/>
          <w:highlight w:val="white"/>
        </w:rPr>
        <w:t>.</w:t>
      </w:r>
      <w:r w:rsidRPr="00EA286F">
        <w:rPr>
          <w:rFonts w:ascii="Arial" w:hAnsi="Arial" w:cs="Arial"/>
          <w:b/>
          <w:color w:val="222222"/>
          <w:sz w:val="22"/>
          <w:szCs w:val="22"/>
          <w:highlight w:val="white"/>
        </w:rPr>
        <w:t xml:space="preserve"> </w:t>
      </w:r>
      <w:r w:rsidRPr="00EA286F">
        <w:rPr>
          <w:rFonts w:ascii="Arial" w:hAnsi="Arial" w:cs="Arial"/>
          <w:bCs/>
          <w:color w:val="222222"/>
          <w:sz w:val="22"/>
          <w:szCs w:val="22"/>
        </w:rPr>
        <w:t>Annual PM</w:t>
      </w:r>
      <w:r w:rsidRPr="00EA286F">
        <w:rPr>
          <w:rFonts w:ascii="Arial" w:hAnsi="Arial" w:cs="Arial"/>
          <w:bCs/>
          <w:color w:val="222222"/>
          <w:sz w:val="22"/>
          <w:szCs w:val="22"/>
          <w:vertAlign w:val="subscript"/>
        </w:rPr>
        <w:t xml:space="preserve">2.5 </w:t>
      </w:r>
      <w:r w:rsidRPr="00EA286F">
        <w:rPr>
          <w:rFonts w:ascii="Arial" w:hAnsi="Arial" w:cs="Arial"/>
          <w:bCs/>
          <w:color w:val="222222"/>
          <w:sz w:val="22"/>
          <w:szCs w:val="22"/>
        </w:rPr>
        <w:t>(g/m</w:t>
      </w:r>
      <w:r w:rsidRPr="00EA286F">
        <w:rPr>
          <w:rFonts w:ascii="Arial" w:hAnsi="Arial" w:cs="Arial"/>
          <w:bCs/>
          <w:color w:val="222222"/>
          <w:sz w:val="22"/>
          <w:szCs w:val="22"/>
          <w:vertAlign w:val="superscript"/>
        </w:rPr>
        <w:t>3</w:t>
      </w:r>
      <w:r w:rsidRPr="00EA286F">
        <w:rPr>
          <w:rFonts w:ascii="Arial" w:hAnsi="Arial" w:cs="Arial"/>
          <w:bCs/>
          <w:color w:val="222222"/>
          <w:sz w:val="22"/>
          <w:szCs w:val="22"/>
        </w:rPr>
        <w:t>), annual NO</w:t>
      </w:r>
      <w:r w:rsidRPr="00EA286F">
        <w:rPr>
          <w:rFonts w:ascii="Arial" w:hAnsi="Arial" w:cs="Arial"/>
          <w:bCs/>
          <w:color w:val="222222"/>
          <w:sz w:val="22"/>
          <w:szCs w:val="22"/>
          <w:vertAlign w:val="subscript"/>
        </w:rPr>
        <w:t>2</w:t>
      </w:r>
      <w:r w:rsidRPr="00EA286F">
        <w:rPr>
          <w:rFonts w:ascii="Arial" w:hAnsi="Arial" w:cs="Arial"/>
          <w:bCs/>
          <w:color w:val="222222"/>
          <w:sz w:val="22"/>
          <w:szCs w:val="22"/>
        </w:rPr>
        <w:t xml:space="preserve"> (ppb), and warm-season O</w:t>
      </w:r>
      <w:r w:rsidRPr="00EA286F">
        <w:rPr>
          <w:rFonts w:ascii="Arial" w:hAnsi="Arial" w:cs="Arial"/>
          <w:bCs/>
          <w:color w:val="222222"/>
          <w:sz w:val="22"/>
          <w:szCs w:val="22"/>
          <w:vertAlign w:val="subscript"/>
        </w:rPr>
        <w:t>3</w:t>
      </w:r>
      <w:r w:rsidRPr="00EA286F">
        <w:rPr>
          <w:rFonts w:ascii="Arial" w:hAnsi="Arial" w:cs="Arial"/>
          <w:bCs/>
          <w:color w:val="222222"/>
          <w:sz w:val="22"/>
          <w:szCs w:val="22"/>
        </w:rPr>
        <w:t xml:space="preserve"> (ppb) levels </w:t>
      </w:r>
      <w:r w:rsidR="00BC79E8">
        <w:rPr>
          <w:rFonts w:ascii="Arial" w:hAnsi="Arial" w:cs="Arial"/>
          <w:bCs/>
          <w:color w:val="222222"/>
          <w:sz w:val="22"/>
          <w:szCs w:val="22"/>
        </w:rPr>
        <w:t>(minimum, maximum, mean, and percentiles)</w:t>
      </w:r>
      <w:r w:rsidR="00BC79E8" w:rsidRPr="00EA286F">
        <w:rPr>
          <w:rFonts w:ascii="Arial" w:hAnsi="Arial" w:cs="Arial"/>
          <w:bCs/>
          <w:color w:val="222222"/>
          <w:sz w:val="22"/>
          <w:szCs w:val="22"/>
        </w:rPr>
        <w:t xml:space="preserve"> </w:t>
      </w:r>
      <w:r w:rsidRPr="00EA286F">
        <w:rPr>
          <w:rFonts w:ascii="Arial" w:hAnsi="Arial" w:cs="Arial"/>
          <w:bCs/>
          <w:color w:val="222222"/>
          <w:sz w:val="22"/>
          <w:szCs w:val="22"/>
        </w:rPr>
        <w:t xml:space="preserve">over the study </w:t>
      </w:r>
      <w:proofErr w:type="gramStart"/>
      <w:r w:rsidRPr="00EA286F">
        <w:rPr>
          <w:rFonts w:ascii="Arial" w:hAnsi="Arial" w:cs="Arial"/>
          <w:bCs/>
          <w:color w:val="222222"/>
          <w:sz w:val="22"/>
          <w:szCs w:val="22"/>
        </w:rPr>
        <w:t>period</w:t>
      </w:r>
      <w:proofErr w:type="gramEnd"/>
    </w:p>
    <w:p w14:paraId="33BDB30A" w14:textId="77777777" w:rsidR="00AC4105" w:rsidRPr="006A3BEE" w:rsidRDefault="00AC4105">
      <w:pPr>
        <w:rPr>
          <w:rFonts w:ascii="Arial" w:hAnsi="Arial" w:cs="Arial"/>
          <w:b/>
          <w:color w:val="222222"/>
          <w:highlight w:val="white"/>
        </w:rPr>
      </w:pPr>
    </w:p>
    <w:p w14:paraId="7B0EC49A" w14:textId="5E3CD451" w:rsidR="00E848DC" w:rsidRPr="006A3BEE" w:rsidRDefault="00E848DC" w:rsidP="00E848DC">
      <w:pPr>
        <w:rPr>
          <w:rFonts w:ascii="Arial" w:hAnsi="Arial" w:cs="Arial"/>
          <w:b/>
          <w:color w:val="222222"/>
        </w:rPr>
      </w:pPr>
    </w:p>
    <w:tbl>
      <w:tblPr>
        <w:tblpPr w:leftFromText="180" w:rightFromText="180" w:vertAnchor="page" w:horzAnchor="margin" w:tblpXSpec="center" w:tblpY="2236"/>
        <w:tblW w:w="10880" w:type="dxa"/>
        <w:tblLook w:val="04A0" w:firstRow="1" w:lastRow="0" w:firstColumn="1" w:lastColumn="0" w:noHBand="0" w:noVBand="1"/>
      </w:tblPr>
      <w:tblGrid>
        <w:gridCol w:w="1221"/>
        <w:gridCol w:w="890"/>
        <w:gridCol w:w="848"/>
        <w:gridCol w:w="933"/>
        <w:gridCol w:w="933"/>
        <w:gridCol w:w="933"/>
        <w:gridCol w:w="1018"/>
        <w:gridCol w:w="1018"/>
        <w:gridCol w:w="1018"/>
        <w:gridCol w:w="1018"/>
        <w:gridCol w:w="1050"/>
      </w:tblGrid>
      <w:tr w:rsidR="001533D1" w:rsidRPr="006A3BEE" w14:paraId="26B253C3" w14:textId="77777777" w:rsidTr="001533D1">
        <w:trPr>
          <w:trHeight w:val="363"/>
        </w:trPr>
        <w:tc>
          <w:tcPr>
            <w:tcW w:w="12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9933D9" w14:textId="77777777" w:rsidR="00B96D3F" w:rsidRPr="00412B3F" w:rsidRDefault="00B96D3F" w:rsidP="00B96D3F">
            <w:pPr>
              <w:jc w:val="center"/>
              <w:rPr>
                <w:rFonts w:ascii="Arial" w:hAnsi="Arial" w:cs="Arial"/>
                <w:color w:val="000000"/>
                <w:sz w:val="20"/>
                <w:szCs w:val="20"/>
              </w:rPr>
            </w:pPr>
            <w:r w:rsidRPr="00412B3F">
              <w:rPr>
                <w:rFonts w:ascii="Arial" w:hAnsi="Arial" w:cs="Arial"/>
                <w:b/>
                <w:bCs/>
                <w:color w:val="000000"/>
                <w:sz w:val="20"/>
                <w:szCs w:val="20"/>
              </w:rPr>
              <w:t>Pollutants</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1066AE87"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Min</w:t>
            </w:r>
          </w:p>
        </w:tc>
        <w:tc>
          <w:tcPr>
            <w:tcW w:w="848" w:type="dxa"/>
            <w:tcBorders>
              <w:top w:val="single" w:sz="8" w:space="0" w:color="auto"/>
              <w:left w:val="nil"/>
              <w:bottom w:val="single" w:sz="8" w:space="0" w:color="auto"/>
              <w:right w:val="single" w:sz="8" w:space="0" w:color="auto"/>
            </w:tcBorders>
            <w:vAlign w:val="center"/>
          </w:tcPr>
          <w:p w14:paraId="2F8A1919" w14:textId="1A63364C" w:rsidR="00B96D3F" w:rsidRPr="00412B3F" w:rsidRDefault="00B96D3F" w:rsidP="00B96D3F">
            <w:pPr>
              <w:jc w:val="center"/>
              <w:rPr>
                <w:rFonts w:ascii="Arial" w:eastAsiaTheme="minorEastAsia" w:hAnsi="Arial" w:cs="Arial"/>
                <w:b/>
                <w:bCs/>
                <w:color w:val="000000"/>
                <w:sz w:val="20"/>
                <w:szCs w:val="20"/>
              </w:rPr>
            </w:pPr>
            <w:r w:rsidRPr="00412B3F">
              <w:rPr>
                <w:rFonts w:ascii="Arial" w:hAnsi="Arial" w:cs="Arial"/>
                <w:b/>
                <w:bCs/>
                <w:color w:val="000000"/>
                <w:sz w:val="20"/>
                <w:szCs w:val="20"/>
              </w:rPr>
              <w:t>1st</w:t>
            </w:r>
          </w:p>
        </w:tc>
        <w:tc>
          <w:tcPr>
            <w:tcW w:w="9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422857" w14:textId="1FA246FD"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5th</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5B1278E5"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25th</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6EB4BEE8"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50th</w:t>
            </w:r>
          </w:p>
        </w:tc>
        <w:tc>
          <w:tcPr>
            <w:tcW w:w="1018" w:type="dxa"/>
            <w:tcBorders>
              <w:top w:val="single" w:sz="8" w:space="0" w:color="auto"/>
              <w:left w:val="nil"/>
              <w:bottom w:val="single" w:sz="8" w:space="0" w:color="auto"/>
              <w:right w:val="single" w:sz="8" w:space="0" w:color="auto"/>
            </w:tcBorders>
            <w:shd w:val="clear" w:color="auto" w:fill="auto"/>
            <w:noWrap/>
            <w:vAlign w:val="center"/>
            <w:hideMark/>
          </w:tcPr>
          <w:p w14:paraId="270CC2B1"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75th</w:t>
            </w:r>
          </w:p>
        </w:tc>
        <w:tc>
          <w:tcPr>
            <w:tcW w:w="1018" w:type="dxa"/>
            <w:tcBorders>
              <w:top w:val="single" w:sz="8" w:space="0" w:color="auto"/>
              <w:left w:val="nil"/>
              <w:bottom w:val="single" w:sz="8" w:space="0" w:color="auto"/>
              <w:right w:val="single" w:sz="8" w:space="0" w:color="auto"/>
            </w:tcBorders>
            <w:shd w:val="clear" w:color="auto" w:fill="auto"/>
            <w:noWrap/>
            <w:vAlign w:val="center"/>
            <w:hideMark/>
          </w:tcPr>
          <w:p w14:paraId="2F95D63F"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95th</w:t>
            </w:r>
          </w:p>
        </w:tc>
        <w:tc>
          <w:tcPr>
            <w:tcW w:w="1018" w:type="dxa"/>
            <w:tcBorders>
              <w:top w:val="single" w:sz="8" w:space="0" w:color="auto"/>
              <w:left w:val="nil"/>
              <w:bottom w:val="single" w:sz="8" w:space="0" w:color="auto"/>
              <w:right w:val="single" w:sz="8" w:space="0" w:color="auto"/>
            </w:tcBorders>
            <w:vAlign w:val="center"/>
          </w:tcPr>
          <w:p w14:paraId="1E7F78D8" w14:textId="658A9F23"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99th</w:t>
            </w:r>
          </w:p>
        </w:tc>
        <w:tc>
          <w:tcPr>
            <w:tcW w:w="10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48EF7A" w14:textId="3526DCF9"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Max</w:t>
            </w:r>
          </w:p>
        </w:tc>
        <w:tc>
          <w:tcPr>
            <w:tcW w:w="1050" w:type="dxa"/>
            <w:tcBorders>
              <w:top w:val="single" w:sz="8" w:space="0" w:color="auto"/>
              <w:left w:val="nil"/>
              <w:bottom w:val="single" w:sz="8" w:space="0" w:color="auto"/>
              <w:right w:val="single" w:sz="8" w:space="0" w:color="auto"/>
            </w:tcBorders>
            <w:shd w:val="clear" w:color="auto" w:fill="auto"/>
            <w:vAlign w:val="center"/>
            <w:hideMark/>
          </w:tcPr>
          <w:p w14:paraId="6317E4D3"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Mean</w:t>
            </w:r>
          </w:p>
        </w:tc>
      </w:tr>
      <w:tr w:rsidR="001533D1" w:rsidRPr="006A3BEE" w14:paraId="51A4FE1C" w14:textId="77777777" w:rsidTr="001533D1">
        <w:trPr>
          <w:trHeight w:val="363"/>
        </w:trPr>
        <w:tc>
          <w:tcPr>
            <w:tcW w:w="1221" w:type="dxa"/>
            <w:tcBorders>
              <w:top w:val="nil"/>
              <w:left w:val="single" w:sz="8" w:space="0" w:color="auto"/>
              <w:bottom w:val="single" w:sz="8" w:space="0" w:color="auto"/>
              <w:right w:val="single" w:sz="8" w:space="0" w:color="auto"/>
            </w:tcBorders>
            <w:shd w:val="clear" w:color="auto" w:fill="auto"/>
            <w:noWrap/>
            <w:vAlign w:val="center"/>
            <w:hideMark/>
          </w:tcPr>
          <w:p w14:paraId="224422E7"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PM</w:t>
            </w:r>
            <w:r w:rsidRPr="00412B3F">
              <w:rPr>
                <w:rFonts w:ascii="Arial" w:hAnsi="Arial" w:cs="Arial"/>
                <w:b/>
                <w:bCs/>
                <w:color w:val="000000"/>
                <w:sz w:val="20"/>
                <w:szCs w:val="20"/>
                <w:vertAlign w:val="subscript"/>
              </w:rPr>
              <w:t>2.5</w:t>
            </w:r>
          </w:p>
        </w:tc>
        <w:tc>
          <w:tcPr>
            <w:tcW w:w="890" w:type="dxa"/>
            <w:tcBorders>
              <w:top w:val="nil"/>
              <w:left w:val="nil"/>
              <w:bottom w:val="single" w:sz="8" w:space="0" w:color="auto"/>
              <w:right w:val="single" w:sz="8" w:space="0" w:color="auto"/>
            </w:tcBorders>
            <w:shd w:val="clear" w:color="auto" w:fill="auto"/>
            <w:vAlign w:val="center"/>
          </w:tcPr>
          <w:p w14:paraId="2AFBC133" w14:textId="62117C3D"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0.5</w:t>
            </w:r>
          </w:p>
        </w:tc>
        <w:tc>
          <w:tcPr>
            <w:tcW w:w="848" w:type="dxa"/>
            <w:tcBorders>
              <w:top w:val="nil"/>
              <w:left w:val="nil"/>
              <w:bottom w:val="single" w:sz="8" w:space="0" w:color="auto"/>
              <w:right w:val="single" w:sz="8" w:space="0" w:color="auto"/>
            </w:tcBorders>
            <w:vAlign w:val="center"/>
          </w:tcPr>
          <w:p w14:paraId="55D24698" w14:textId="5A7FA2F1"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3.3</w:t>
            </w:r>
          </w:p>
        </w:tc>
        <w:tc>
          <w:tcPr>
            <w:tcW w:w="933" w:type="dxa"/>
            <w:tcBorders>
              <w:top w:val="nil"/>
              <w:left w:val="single" w:sz="8" w:space="0" w:color="auto"/>
              <w:bottom w:val="single" w:sz="8" w:space="0" w:color="auto"/>
              <w:right w:val="single" w:sz="8" w:space="0" w:color="auto"/>
            </w:tcBorders>
            <w:shd w:val="clear" w:color="auto" w:fill="auto"/>
            <w:noWrap/>
            <w:vAlign w:val="center"/>
          </w:tcPr>
          <w:p w14:paraId="172F8DBB" w14:textId="5FF1AEF8"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4.9</w:t>
            </w:r>
          </w:p>
        </w:tc>
        <w:tc>
          <w:tcPr>
            <w:tcW w:w="933" w:type="dxa"/>
            <w:tcBorders>
              <w:top w:val="nil"/>
              <w:left w:val="nil"/>
              <w:bottom w:val="single" w:sz="8" w:space="0" w:color="auto"/>
              <w:right w:val="single" w:sz="8" w:space="0" w:color="auto"/>
            </w:tcBorders>
            <w:shd w:val="clear" w:color="auto" w:fill="auto"/>
            <w:noWrap/>
            <w:vAlign w:val="center"/>
          </w:tcPr>
          <w:p w14:paraId="165D0E5C" w14:textId="11A84D4C"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7.7</w:t>
            </w:r>
          </w:p>
        </w:tc>
        <w:tc>
          <w:tcPr>
            <w:tcW w:w="933" w:type="dxa"/>
            <w:tcBorders>
              <w:top w:val="nil"/>
              <w:left w:val="nil"/>
              <w:bottom w:val="single" w:sz="8" w:space="0" w:color="auto"/>
              <w:right w:val="single" w:sz="8" w:space="0" w:color="auto"/>
            </w:tcBorders>
            <w:shd w:val="clear" w:color="auto" w:fill="auto"/>
            <w:noWrap/>
            <w:vAlign w:val="center"/>
          </w:tcPr>
          <w:p w14:paraId="0AFCA795" w14:textId="47947FE4"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9.2</w:t>
            </w:r>
          </w:p>
        </w:tc>
        <w:tc>
          <w:tcPr>
            <w:tcW w:w="1018" w:type="dxa"/>
            <w:tcBorders>
              <w:top w:val="nil"/>
              <w:left w:val="nil"/>
              <w:bottom w:val="single" w:sz="8" w:space="0" w:color="auto"/>
              <w:right w:val="single" w:sz="8" w:space="0" w:color="auto"/>
            </w:tcBorders>
            <w:shd w:val="clear" w:color="auto" w:fill="auto"/>
            <w:noWrap/>
            <w:vAlign w:val="center"/>
          </w:tcPr>
          <w:p w14:paraId="19B5AF89" w14:textId="08DD2043"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10.8</w:t>
            </w:r>
          </w:p>
        </w:tc>
        <w:tc>
          <w:tcPr>
            <w:tcW w:w="1018" w:type="dxa"/>
            <w:tcBorders>
              <w:top w:val="nil"/>
              <w:left w:val="nil"/>
              <w:bottom w:val="single" w:sz="8" w:space="0" w:color="auto"/>
              <w:right w:val="single" w:sz="8" w:space="0" w:color="auto"/>
            </w:tcBorders>
            <w:shd w:val="clear" w:color="auto" w:fill="auto"/>
            <w:noWrap/>
            <w:vAlign w:val="center"/>
          </w:tcPr>
          <w:p w14:paraId="6A1BDB48" w14:textId="68A865A8"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13.5</w:t>
            </w:r>
          </w:p>
        </w:tc>
        <w:tc>
          <w:tcPr>
            <w:tcW w:w="1018" w:type="dxa"/>
            <w:tcBorders>
              <w:top w:val="nil"/>
              <w:left w:val="nil"/>
              <w:bottom w:val="single" w:sz="8" w:space="0" w:color="auto"/>
              <w:right w:val="single" w:sz="8" w:space="0" w:color="auto"/>
            </w:tcBorders>
            <w:vAlign w:val="center"/>
          </w:tcPr>
          <w:p w14:paraId="405EDF1D" w14:textId="4692171E"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15.1</w:t>
            </w:r>
          </w:p>
        </w:tc>
        <w:tc>
          <w:tcPr>
            <w:tcW w:w="1018" w:type="dxa"/>
            <w:tcBorders>
              <w:top w:val="nil"/>
              <w:left w:val="single" w:sz="8" w:space="0" w:color="auto"/>
              <w:bottom w:val="single" w:sz="8" w:space="0" w:color="auto"/>
              <w:right w:val="single" w:sz="8" w:space="0" w:color="auto"/>
            </w:tcBorders>
            <w:shd w:val="clear" w:color="auto" w:fill="auto"/>
            <w:vAlign w:val="center"/>
          </w:tcPr>
          <w:p w14:paraId="49B8420E" w14:textId="7CA1E89E"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25.9</w:t>
            </w:r>
          </w:p>
        </w:tc>
        <w:tc>
          <w:tcPr>
            <w:tcW w:w="1050" w:type="dxa"/>
            <w:tcBorders>
              <w:top w:val="nil"/>
              <w:left w:val="nil"/>
              <w:bottom w:val="single" w:sz="8" w:space="0" w:color="auto"/>
              <w:right w:val="single" w:sz="8" w:space="0" w:color="auto"/>
            </w:tcBorders>
            <w:shd w:val="clear" w:color="auto" w:fill="auto"/>
            <w:vAlign w:val="center"/>
          </w:tcPr>
          <w:p w14:paraId="3CCAF851" w14:textId="70A14BC4"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9.3</w:t>
            </w:r>
          </w:p>
        </w:tc>
      </w:tr>
      <w:tr w:rsidR="001533D1" w:rsidRPr="006A3BEE" w14:paraId="66348AB8" w14:textId="77777777" w:rsidTr="001533D1">
        <w:trPr>
          <w:trHeight w:val="363"/>
        </w:trPr>
        <w:tc>
          <w:tcPr>
            <w:tcW w:w="1221" w:type="dxa"/>
            <w:tcBorders>
              <w:top w:val="nil"/>
              <w:left w:val="single" w:sz="8" w:space="0" w:color="auto"/>
              <w:bottom w:val="single" w:sz="8" w:space="0" w:color="auto"/>
              <w:right w:val="single" w:sz="8" w:space="0" w:color="auto"/>
            </w:tcBorders>
            <w:shd w:val="clear" w:color="auto" w:fill="auto"/>
            <w:noWrap/>
            <w:vAlign w:val="center"/>
          </w:tcPr>
          <w:p w14:paraId="41B56B56"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NO</w:t>
            </w:r>
            <w:r w:rsidRPr="00412B3F">
              <w:rPr>
                <w:rFonts w:ascii="Arial" w:hAnsi="Arial" w:cs="Arial"/>
                <w:b/>
                <w:bCs/>
                <w:color w:val="000000"/>
                <w:sz w:val="20"/>
                <w:szCs w:val="20"/>
                <w:vertAlign w:val="subscript"/>
              </w:rPr>
              <w:t>2</w:t>
            </w:r>
          </w:p>
        </w:tc>
        <w:tc>
          <w:tcPr>
            <w:tcW w:w="890" w:type="dxa"/>
            <w:tcBorders>
              <w:top w:val="nil"/>
              <w:left w:val="nil"/>
              <w:bottom w:val="single" w:sz="8" w:space="0" w:color="auto"/>
              <w:right w:val="single" w:sz="8" w:space="0" w:color="auto"/>
            </w:tcBorders>
            <w:shd w:val="clear" w:color="auto" w:fill="auto"/>
            <w:vAlign w:val="center"/>
          </w:tcPr>
          <w:p w14:paraId="67E3A30C" w14:textId="25883AE6"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0.5</w:t>
            </w:r>
          </w:p>
        </w:tc>
        <w:tc>
          <w:tcPr>
            <w:tcW w:w="848" w:type="dxa"/>
            <w:tcBorders>
              <w:top w:val="nil"/>
              <w:left w:val="nil"/>
              <w:bottom w:val="single" w:sz="8" w:space="0" w:color="auto"/>
              <w:right w:val="single" w:sz="8" w:space="0" w:color="auto"/>
            </w:tcBorders>
            <w:vAlign w:val="center"/>
          </w:tcPr>
          <w:p w14:paraId="1D76640D" w14:textId="5252A455"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5.2</w:t>
            </w:r>
          </w:p>
        </w:tc>
        <w:tc>
          <w:tcPr>
            <w:tcW w:w="933" w:type="dxa"/>
            <w:tcBorders>
              <w:top w:val="nil"/>
              <w:left w:val="single" w:sz="8" w:space="0" w:color="auto"/>
              <w:bottom w:val="single" w:sz="8" w:space="0" w:color="auto"/>
              <w:right w:val="single" w:sz="8" w:space="0" w:color="auto"/>
            </w:tcBorders>
            <w:shd w:val="clear" w:color="auto" w:fill="auto"/>
            <w:noWrap/>
            <w:vAlign w:val="center"/>
          </w:tcPr>
          <w:p w14:paraId="22F2F747" w14:textId="7EEB21A3"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8.0</w:t>
            </w:r>
          </w:p>
        </w:tc>
        <w:tc>
          <w:tcPr>
            <w:tcW w:w="933" w:type="dxa"/>
            <w:tcBorders>
              <w:top w:val="nil"/>
              <w:left w:val="nil"/>
              <w:bottom w:val="single" w:sz="8" w:space="0" w:color="auto"/>
              <w:right w:val="single" w:sz="8" w:space="0" w:color="auto"/>
            </w:tcBorders>
            <w:shd w:val="clear" w:color="auto" w:fill="auto"/>
            <w:noWrap/>
            <w:vAlign w:val="center"/>
          </w:tcPr>
          <w:p w14:paraId="5E051231" w14:textId="3E6382E4"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10.5</w:t>
            </w:r>
          </w:p>
        </w:tc>
        <w:tc>
          <w:tcPr>
            <w:tcW w:w="933" w:type="dxa"/>
            <w:tcBorders>
              <w:top w:val="nil"/>
              <w:left w:val="nil"/>
              <w:bottom w:val="single" w:sz="8" w:space="0" w:color="auto"/>
              <w:right w:val="single" w:sz="8" w:space="0" w:color="auto"/>
            </w:tcBorders>
            <w:shd w:val="clear" w:color="auto" w:fill="auto"/>
            <w:noWrap/>
            <w:vAlign w:val="center"/>
          </w:tcPr>
          <w:p w14:paraId="0397D2DF" w14:textId="69CC4004"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14.8</w:t>
            </w:r>
          </w:p>
        </w:tc>
        <w:tc>
          <w:tcPr>
            <w:tcW w:w="1018" w:type="dxa"/>
            <w:tcBorders>
              <w:top w:val="nil"/>
              <w:left w:val="nil"/>
              <w:bottom w:val="single" w:sz="8" w:space="0" w:color="auto"/>
              <w:right w:val="single" w:sz="8" w:space="0" w:color="auto"/>
            </w:tcBorders>
            <w:shd w:val="clear" w:color="auto" w:fill="auto"/>
            <w:noWrap/>
            <w:vAlign w:val="center"/>
          </w:tcPr>
          <w:p w14:paraId="72816C28" w14:textId="6D98F221"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22.0</w:t>
            </w:r>
          </w:p>
        </w:tc>
        <w:tc>
          <w:tcPr>
            <w:tcW w:w="1018" w:type="dxa"/>
            <w:tcBorders>
              <w:top w:val="nil"/>
              <w:left w:val="nil"/>
              <w:bottom w:val="single" w:sz="8" w:space="0" w:color="auto"/>
              <w:right w:val="single" w:sz="8" w:space="0" w:color="auto"/>
            </w:tcBorders>
            <w:shd w:val="clear" w:color="auto" w:fill="auto"/>
            <w:noWrap/>
            <w:vAlign w:val="center"/>
          </w:tcPr>
          <w:p w14:paraId="6A1F2EBE" w14:textId="632616F3"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34.0</w:t>
            </w:r>
          </w:p>
        </w:tc>
        <w:tc>
          <w:tcPr>
            <w:tcW w:w="1018" w:type="dxa"/>
            <w:tcBorders>
              <w:top w:val="nil"/>
              <w:left w:val="nil"/>
              <w:bottom w:val="single" w:sz="8" w:space="0" w:color="auto"/>
              <w:right w:val="single" w:sz="8" w:space="0" w:color="auto"/>
            </w:tcBorders>
            <w:vAlign w:val="center"/>
          </w:tcPr>
          <w:p w14:paraId="7273A63A" w14:textId="477DE779"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41.8</w:t>
            </w:r>
          </w:p>
        </w:tc>
        <w:tc>
          <w:tcPr>
            <w:tcW w:w="1018" w:type="dxa"/>
            <w:tcBorders>
              <w:top w:val="nil"/>
              <w:left w:val="single" w:sz="8" w:space="0" w:color="auto"/>
              <w:bottom w:val="single" w:sz="8" w:space="0" w:color="auto"/>
              <w:right w:val="single" w:sz="8" w:space="0" w:color="auto"/>
            </w:tcBorders>
            <w:shd w:val="clear" w:color="auto" w:fill="auto"/>
            <w:vAlign w:val="center"/>
          </w:tcPr>
          <w:p w14:paraId="495124BC" w14:textId="62E559A0"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122.2</w:t>
            </w:r>
          </w:p>
        </w:tc>
        <w:tc>
          <w:tcPr>
            <w:tcW w:w="1050" w:type="dxa"/>
            <w:tcBorders>
              <w:top w:val="nil"/>
              <w:left w:val="nil"/>
              <w:bottom w:val="single" w:sz="8" w:space="0" w:color="auto"/>
              <w:right w:val="single" w:sz="8" w:space="0" w:color="auto"/>
            </w:tcBorders>
            <w:shd w:val="clear" w:color="auto" w:fill="auto"/>
            <w:vAlign w:val="center"/>
          </w:tcPr>
          <w:p w14:paraId="48FB27D9" w14:textId="357FEE58"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17.1</w:t>
            </w:r>
          </w:p>
        </w:tc>
      </w:tr>
      <w:tr w:rsidR="001533D1" w:rsidRPr="006A3BEE" w14:paraId="73F944A5" w14:textId="77777777" w:rsidTr="001533D1">
        <w:trPr>
          <w:trHeight w:val="363"/>
        </w:trPr>
        <w:tc>
          <w:tcPr>
            <w:tcW w:w="1221" w:type="dxa"/>
            <w:tcBorders>
              <w:top w:val="nil"/>
              <w:left w:val="single" w:sz="8" w:space="0" w:color="auto"/>
              <w:bottom w:val="single" w:sz="8" w:space="0" w:color="auto"/>
              <w:right w:val="single" w:sz="8" w:space="0" w:color="auto"/>
            </w:tcBorders>
            <w:shd w:val="clear" w:color="auto" w:fill="auto"/>
            <w:noWrap/>
            <w:vAlign w:val="center"/>
          </w:tcPr>
          <w:p w14:paraId="08BA9B59" w14:textId="77777777" w:rsidR="00B96D3F" w:rsidRPr="00412B3F" w:rsidRDefault="00B96D3F" w:rsidP="00B96D3F">
            <w:pPr>
              <w:jc w:val="center"/>
              <w:rPr>
                <w:rFonts w:ascii="Arial" w:hAnsi="Arial" w:cs="Arial"/>
                <w:b/>
                <w:bCs/>
                <w:color w:val="000000"/>
                <w:sz w:val="20"/>
                <w:szCs w:val="20"/>
              </w:rPr>
            </w:pPr>
            <w:r w:rsidRPr="00412B3F">
              <w:rPr>
                <w:rFonts w:ascii="Arial" w:hAnsi="Arial" w:cs="Arial"/>
                <w:b/>
                <w:bCs/>
                <w:color w:val="000000"/>
                <w:sz w:val="20"/>
                <w:szCs w:val="20"/>
              </w:rPr>
              <w:t>O</w:t>
            </w:r>
            <w:r w:rsidRPr="00412B3F">
              <w:rPr>
                <w:rFonts w:ascii="Arial" w:hAnsi="Arial" w:cs="Arial"/>
                <w:b/>
                <w:bCs/>
                <w:color w:val="000000"/>
                <w:sz w:val="20"/>
                <w:szCs w:val="20"/>
                <w:vertAlign w:val="subscript"/>
              </w:rPr>
              <w:t>3</w:t>
            </w:r>
          </w:p>
        </w:tc>
        <w:tc>
          <w:tcPr>
            <w:tcW w:w="890" w:type="dxa"/>
            <w:tcBorders>
              <w:top w:val="nil"/>
              <w:left w:val="nil"/>
              <w:bottom w:val="single" w:sz="8" w:space="0" w:color="auto"/>
              <w:right w:val="single" w:sz="8" w:space="0" w:color="auto"/>
            </w:tcBorders>
            <w:shd w:val="clear" w:color="auto" w:fill="auto"/>
            <w:vAlign w:val="center"/>
          </w:tcPr>
          <w:p w14:paraId="79E66B63" w14:textId="5ADFBC89"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19.8</w:t>
            </w:r>
          </w:p>
        </w:tc>
        <w:tc>
          <w:tcPr>
            <w:tcW w:w="848" w:type="dxa"/>
            <w:tcBorders>
              <w:top w:val="nil"/>
              <w:left w:val="nil"/>
              <w:bottom w:val="single" w:sz="8" w:space="0" w:color="auto"/>
              <w:right w:val="single" w:sz="8" w:space="0" w:color="auto"/>
            </w:tcBorders>
            <w:vAlign w:val="center"/>
          </w:tcPr>
          <w:p w14:paraId="43D8B0EC" w14:textId="1206F74C"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29.1</w:t>
            </w:r>
          </w:p>
        </w:tc>
        <w:tc>
          <w:tcPr>
            <w:tcW w:w="933" w:type="dxa"/>
            <w:tcBorders>
              <w:top w:val="nil"/>
              <w:left w:val="single" w:sz="8" w:space="0" w:color="auto"/>
              <w:bottom w:val="single" w:sz="8" w:space="0" w:color="auto"/>
              <w:right w:val="single" w:sz="8" w:space="0" w:color="auto"/>
            </w:tcBorders>
            <w:shd w:val="clear" w:color="auto" w:fill="auto"/>
            <w:noWrap/>
            <w:vAlign w:val="center"/>
          </w:tcPr>
          <w:p w14:paraId="17B2AECD" w14:textId="61E907AF"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33.4</w:t>
            </w:r>
          </w:p>
        </w:tc>
        <w:tc>
          <w:tcPr>
            <w:tcW w:w="933" w:type="dxa"/>
            <w:tcBorders>
              <w:top w:val="nil"/>
              <w:left w:val="nil"/>
              <w:bottom w:val="single" w:sz="8" w:space="0" w:color="auto"/>
              <w:right w:val="single" w:sz="8" w:space="0" w:color="auto"/>
            </w:tcBorders>
            <w:shd w:val="clear" w:color="auto" w:fill="auto"/>
            <w:noWrap/>
            <w:vAlign w:val="center"/>
          </w:tcPr>
          <w:p w14:paraId="3CE8AF70" w14:textId="50EBB411"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40.0</w:t>
            </w:r>
          </w:p>
        </w:tc>
        <w:tc>
          <w:tcPr>
            <w:tcW w:w="933" w:type="dxa"/>
            <w:tcBorders>
              <w:top w:val="nil"/>
              <w:left w:val="nil"/>
              <w:bottom w:val="single" w:sz="8" w:space="0" w:color="auto"/>
              <w:right w:val="single" w:sz="8" w:space="0" w:color="auto"/>
            </w:tcBorders>
            <w:shd w:val="clear" w:color="auto" w:fill="auto"/>
            <w:noWrap/>
            <w:vAlign w:val="center"/>
          </w:tcPr>
          <w:p w14:paraId="459F21AC" w14:textId="7D10AB9E"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42.7</w:t>
            </w:r>
          </w:p>
        </w:tc>
        <w:tc>
          <w:tcPr>
            <w:tcW w:w="1018" w:type="dxa"/>
            <w:tcBorders>
              <w:top w:val="nil"/>
              <w:left w:val="nil"/>
              <w:bottom w:val="single" w:sz="8" w:space="0" w:color="auto"/>
              <w:right w:val="single" w:sz="8" w:space="0" w:color="auto"/>
            </w:tcBorders>
            <w:shd w:val="clear" w:color="auto" w:fill="auto"/>
            <w:noWrap/>
            <w:vAlign w:val="center"/>
          </w:tcPr>
          <w:p w14:paraId="04DB8FFD" w14:textId="3483E12F"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45.4</w:t>
            </w:r>
          </w:p>
        </w:tc>
        <w:tc>
          <w:tcPr>
            <w:tcW w:w="1018" w:type="dxa"/>
            <w:tcBorders>
              <w:top w:val="nil"/>
              <w:left w:val="nil"/>
              <w:bottom w:val="single" w:sz="8" w:space="0" w:color="auto"/>
              <w:right w:val="single" w:sz="8" w:space="0" w:color="auto"/>
            </w:tcBorders>
            <w:shd w:val="clear" w:color="auto" w:fill="auto"/>
            <w:noWrap/>
            <w:vAlign w:val="center"/>
          </w:tcPr>
          <w:p w14:paraId="762FA1D7" w14:textId="69BE1250"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51.2</w:t>
            </w:r>
          </w:p>
        </w:tc>
        <w:tc>
          <w:tcPr>
            <w:tcW w:w="1018" w:type="dxa"/>
            <w:tcBorders>
              <w:top w:val="nil"/>
              <w:left w:val="nil"/>
              <w:bottom w:val="single" w:sz="8" w:space="0" w:color="auto"/>
              <w:right w:val="single" w:sz="8" w:space="0" w:color="auto"/>
            </w:tcBorders>
            <w:vAlign w:val="center"/>
          </w:tcPr>
          <w:p w14:paraId="41B6DC52" w14:textId="6FC2C3A5"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57.3</w:t>
            </w:r>
          </w:p>
        </w:tc>
        <w:tc>
          <w:tcPr>
            <w:tcW w:w="1018" w:type="dxa"/>
            <w:tcBorders>
              <w:top w:val="nil"/>
              <w:left w:val="single" w:sz="8" w:space="0" w:color="auto"/>
              <w:bottom w:val="single" w:sz="8" w:space="0" w:color="auto"/>
              <w:right w:val="single" w:sz="8" w:space="0" w:color="auto"/>
            </w:tcBorders>
            <w:shd w:val="clear" w:color="auto" w:fill="auto"/>
            <w:vAlign w:val="center"/>
          </w:tcPr>
          <w:p w14:paraId="1C60B982" w14:textId="532749CD"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77.7</w:t>
            </w:r>
          </w:p>
        </w:tc>
        <w:tc>
          <w:tcPr>
            <w:tcW w:w="1050" w:type="dxa"/>
            <w:tcBorders>
              <w:top w:val="nil"/>
              <w:left w:val="nil"/>
              <w:bottom w:val="single" w:sz="8" w:space="0" w:color="auto"/>
              <w:right w:val="single" w:sz="8" w:space="0" w:color="auto"/>
            </w:tcBorders>
            <w:shd w:val="clear" w:color="auto" w:fill="auto"/>
            <w:vAlign w:val="center"/>
          </w:tcPr>
          <w:p w14:paraId="45B96234" w14:textId="3E0DAA63" w:rsidR="00B96D3F" w:rsidRPr="00412B3F" w:rsidRDefault="00B96D3F" w:rsidP="00B96D3F">
            <w:pPr>
              <w:jc w:val="center"/>
              <w:rPr>
                <w:rFonts w:ascii="Arial" w:hAnsi="Arial" w:cs="Arial"/>
                <w:color w:val="000000"/>
                <w:sz w:val="20"/>
                <w:szCs w:val="20"/>
              </w:rPr>
            </w:pPr>
            <w:r w:rsidRPr="00412B3F">
              <w:rPr>
                <w:rFonts w:ascii="Arial" w:hAnsi="Arial" w:cs="Arial"/>
                <w:color w:val="000000"/>
                <w:sz w:val="20"/>
                <w:szCs w:val="20"/>
              </w:rPr>
              <w:t>42.6</w:t>
            </w:r>
          </w:p>
        </w:tc>
      </w:tr>
    </w:tbl>
    <w:p w14:paraId="3CCB7364" w14:textId="7202D43B" w:rsidR="00CD1DB7" w:rsidRPr="006A3BEE" w:rsidRDefault="00CD1DB7" w:rsidP="00E848DC">
      <w:pPr>
        <w:spacing w:after="160" w:line="259" w:lineRule="auto"/>
        <w:rPr>
          <w:rFonts w:ascii="Arial" w:hAnsi="Arial" w:cs="Arial"/>
          <w:sz w:val="22"/>
          <w:szCs w:val="22"/>
        </w:rPr>
      </w:pPr>
    </w:p>
    <w:p w14:paraId="7194CCDF" w14:textId="77777777" w:rsidR="00CD1DB7" w:rsidRPr="006A3BEE" w:rsidRDefault="00CD1DB7">
      <w:pPr>
        <w:rPr>
          <w:rFonts w:ascii="Arial" w:hAnsi="Arial" w:cs="Arial"/>
          <w:sz w:val="22"/>
          <w:szCs w:val="22"/>
        </w:rPr>
      </w:pPr>
      <w:r w:rsidRPr="006A3BEE">
        <w:rPr>
          <w:rFonts w:ascii="Arial" w:hAnsi="Arial" w:cs="Arial"/>
          <w:sz w:val="22"/>
          <w:szCs w:val="22"/>
        </w:rPr>
        <w:br w:type="page"/>
      </w:r>
    </w:p>
    <w:p w14:paraId="2E662D74" w14:textId="4DE2D0E8" w:rsidR="009C2C2A" w:rsidRPr="00EA286F" w:rsidRDefault="00B42457" w:rsidP="00EC05A2">
      <w:pPr>
        <w:pStyle w:val="NormalWeb"/>
        <w:spacing w:before="0" w:beforeAutospacing="0" w:after="200" w:afterAutospacing="0"/>
        <w:rPr>
          <w:rFonts w:ascii="Arial" w:eastAsiaTheme="minorEastAsia" w:hAnsi="Arial" w:cs="Arial"/>
          <w:sz w:val="22"/>
          <w:szCs w:val="22"/>
        </w:rPr>
      </w:pPr>
      <w:r w:rsidRPr="003620B5">
        <w:rPr>
          <w:rFonts w:ascii="Arial" w:hAnsi="Arial" w:cs="Arial"/>
          <w:b/>
          <w:bCs/>
          <w:sz w:val="22"/>
          <w:szCs w:val="22"/>
        </w:rPr>
        <w:lastRenderedPageBreak/>
        <w:t>Table S2</w:t>
      </w:r>
      <w:r w:rsidRPr="0022367A">
        <w:rPr>
          <w:rFonts w:ascii="Arial" w:hAnsi="Arial" w:cs="Arial"/>
          <w:sz w:val="22"/>
          <w:szCs w:val="22"/>
        </w:rPr>
        <w:t>.</w:t>
      </w:r>
      <w:r w:rsidR="00D07714" w:rsidRPr="00EA286F">
        <w:rPr>
          <w:rFonts w:ascii="Arial" w:hAnsi="Arial" w:cs="Arial"/>
          <w:sz w:val="22"/>
          <w:szCs w:val="22"/>
        </w:rPr>
        <w:t xml:space="preserve"> </w:t>
      </w:r>
      <w:r w:rsidR="008C2E0B" w:rsidRPr="00EA286F">
        <w:rPr>
          <w:rFonts w:ascii="Arial" w:hAnsi="Arial" w:cs="Arial"/>
          <w:sz w:val="22"/>
          <w:szCs w:val="22"/>
        </w:rPr>
        <w:t>Hazard ratio</w:t>
      </w:r>
      <w:r w:rsidR="00154DB9" w:rsidRPr="00EA286F">
        <w:rPr>
          <w:rFonts w:ascii="Arial" w:hAnsi="Arial" w:cs="Arial"/>
          <w:sz w:val="22"/>
          <w:szCs w:val="22"/>
        </w:rPr>
        <w:t>s</w:t>
      </w:r>
      <w:r w:rsidR="008C2E0B" w:rsidRPr="00EA286F">
        <w:rPr>
          <w:rFonts w:ascii="Arial" w:hAnsi="Arial" w:cs="Arial"/>
          <w:sz w:val="22"/>
          <w:szCs w:val="22"/>
        </w:rPr>
        <w:t xml:space="preserve"> of dementia or AD per IQR increase in air pollutants among the s</w:t>
      </w:r>
      <w:r w:rsidR="00D07714" w:rsidRPr="00EA286F">
        <w:rPr>
          <w:rFonts w:ascii="Arial" w:hAnsi="Arial" w:cs="Arial"/>
          <w:sz w:val="22"/>
          <w:szCs w:val="22"/>
        </w:rPr>
        <w:t>ub</w:t>
      </w:r>
      <w:r w:rsidR="00974841" w:rsidRPr="00EA286F">
        <w:rPr>
          <w:rFonts w:ascii="Arial" w:hAnsi="Arial" w:cs="Arial"/>
          <w:sz w:val="22"/>
          <w:szCs w:val="22"/>
        </w:rPr>
        <w:t>population</w:t>
      </w:r>
      <w:r w:rsidR="00D07714" w:rsidRPr="00EA286F">
        <w:rPr>
          <w:rFonts w:ascii="Arial" w:hAnsi="Arial" w:cs="Arial"/>
          <w:sz w:val="22"/>
          <w:szCs w:val="22"/>
        </w:rPr>
        <w:t xml:space="preserve"> with </w:t>
      </w:r>
      <w:r w:rsidR="005F78CB" w:rsidRPr="00EA286F">
        <w:rPr>
          <w:rFonts w:ascii="Arial" w:hAnsi="Arial" w:cs="Arial"/>
          <w:sz w:val="22"/>
          <w:szCs w:val="22"/>
        </w:rPr>
        <w:t>a</w:t>
      </w:r>
      <w:r w:rsidR="00D07714" w:rsidRPr="00EA286F">
        <w:rPr>
          <w:rFonts w:ascii="Arial" w:hAnsi="Arial" w:cs="Arial"/>
          <w:sz w:val="22"/>
          <w:szCs w:val="22"/>
        </w:rPr>
        <w:t xml:space="preserve"> 10-year</w:t>
      </w:r>
      <w:r w:rsidR="005F78CB" w:rsidRPr="00EA286F">
        <w:rPr>
          <w:rFonts w:ascii="Arial" w:hAnsi="Arial" w:cs="Arial"/>
          <w:sz w:val="22"/>
          <w:szCs w:val="22"/>
        </w:rPr>
        <w:t xml:space="preserve"> clean period</w:t>
      </w:r>
      <w:r w:rsidR="002527C3" w:rsidRPr="00EA286F">
        <w:rPr>
          <w:rFonts w:ascii="Arial" w:hAnsi="Arial" w:cs="Arial"/>
          <w:sz w:val="22"/>
          <w:szCs w:val="22"/>
        </w:rPr>
        <w:t xml:space="preserve">, using </w:t>
      </w:r>
      <w:r w:rsidR="00217887">
        <w:rPr>
          <w:rFonts w:ascii="Arial" w:hAnsi="Arial" w:cs="Arial"/>
          <w:sz w:val="22"/>
          <w:szCs w:val="22"/>
        </w:rPr>
        <w:t xml:space="preserve">varied lag </w:t>
      </w:r>
      <w:proofErr w:type="gramStart"/>
      <w:r w:rsidR="00217887">
        <w:rPr>
          <w:rFonts w:ascii="Arial" w:hAnsi="Arial" w:cs="Arial"/>
          <w:sz w:val="22"/>
          <w:szCs w:val="22"/>
        </w:rPr>
        <w:t>periods</w:t>
      </w:r>
      <w:proofErr w:type="gramEnd"/>
      <w:r w:rsidR="002527C3" w:rsidRPr="00EA286F">
        <w:rPr>
          <w:rFonts w:ascii="Arial" w:hAnsi="Arial" w:cs="Arial"/>
          <w:sz w:val="22"/>
          <w:szCs w:val="22"/>
        </w:rPr>
        <w:t> </w:t>
      </w:r>
    </w:p>
    <w:tbl>
      <w:tblPr>
        <w:tblpPr w:leftFromText="180" w:rightFromText="180" w:vertAnchor="text" w:horzAnchor="margin" w:tblpY="25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9"/>
        <w:gridCol w:w="2372"/>
        <w:gridCol w:w="2322"/>
        <w:gridCol w:w="2327"/>
      </w:tblGrid>
      <w:tr w:rsidR="00EC05A2" w:rsidRPr="00422BF1" w14:paraId="1109F908" w14:textId="77777777" w:rsidTr="00EC05A2">
        <w:trPr>
          <w:trHeight w:val="384"/>
        </w:trPr>
        <w:tc>
          <w:tcPr>
            <w:tcW w:w="2329" w:type="dxa"/>
            <w:shd w:val="clear" w:color="auto" w:fill="FFFFFF"/>
            <w:tcMar>
              <w:top w:w="0" w:type="dxa"/>
              <w:left w:w="108" w:type="dxa"/>
              <w:bottom w:w="0" w:type="dxa"/>
              <w:right w:w="108" w:type="dxa"/>
            </w:tcMar>
            <w:vAlign w:val="center"/>
          </w:tcPr>
          <w:p w14:paraId="51CCCFC0" w14:textId="77777777" w:rsidR="00EC05A2" w:rsidRPr="00422BF1" w:rsidRDefault="00EC05A2" w:rsidP="002F48E8">
            <w:pPr>
              <w:spacing w:line="235" w:lineRule="atLeast"/>
              <w:jc w:val="center"/>
              <w:rPr>
                <w:rFonts w:ascii="Arial" w:hAnsi="Arial" w:cs="Arial"/>
                <w:color w:val="000000"/>
                <w:sz w:val="20"/>
                <w:szCs w:val="20"/>
                <w:bdr w:val="none" w:sz="0" w:space="0" w:color="auto" w:frame="1"/>
              </w:rPr>
            </w:pPr>
          </w:p>
        </w:tc>
        <w:tc>
          <w:tcPr>
            <w:tcW w:w="2372" w:type="dxa"/>
            <w:shd w:val="clear" w:color="auto" w:fill="FFFFFF"/>
            <w:tcMar>
              <w:top w:w="0" w:type="dxa"/>
              <w:left w:w="108" w:type="dxa"/>
              <w:bottom w:w="0" w:type="dxa"/>
              <w:right w:w="108" w:type="dxa"/>
            </w:tcMar>
            <w:vAlign w:val="center"/>
          </w:tcPr>
          <w:p w14:paraId="394AC9E6" w14:textId="77777777"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b/>
                <w:bCs/>
                <w:color w:val="222222"/>
                <w:sz w:val="20"/>
                <w:szCs w:val="20"/>
                <w:bdr w:val="none" w:sz="0" w:space="0" w:color="auto" w:frame="1"/>
                <w:shd w:val="clear" w:color="auto" w:fill="FFFFFF"/>
              </w:rPr>
              <w:t>PM</w:t>
            </w:r>
            <w:r w:rsidRPr="00422BF1">
              <w:rPr>
                <w:rFonts w:ascii="Arial" w:hAnsi="Arial" w:cs="Arial"/>
                <w:b/>
                <w:bCs/>
                <w:color w:val="222222"/>
                <w:sz w:val="20"/>
                <w:szCs w:val="20"/>
                <w:bdr w:val="none" w:sz="0" w:space="0" w:color="auto" w:frame="1"/>
                <w:shd w:val="clear" w:color="auto" w:fill="FFFFFF"/>
                <w:vertAlign w:val="subscript"/>
              </w:rPr>
              <w:t>2.5</w:t>
            </w:r>
          </w:p>
        </w:tc>
        <w:tc>
          <w:tcPr>
            <w:tcW w:w="2322" w:type="dxa"/>
            <w:shd w:val="clear" w:color="auto" w:fill="FFFFFF"/>
            <w:tcMar>
              <w:top w:w="0" w:type="dxa"/>
              <w:left w:w="108" w:type="dxa"/>
              <w:bottom w:w="0" w:type="dxa"/>
              <w:right w:w="108" w:type="dxa"/>
            </w:tcMar>
            <w:vAlign w:val="center"/>
          </w:tcPr>
          <w:p w14:paraId="05304B88" w14:textId="77777777"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b/>
                <w:bCs/>
                <w:color w:val="222222"/>
                <w:sz w:val="20"/>
                <w:szCs w:val="20"/>
                <w:bdr w:val="none" w:sz="0" w:space="0" w:color="auto" w:frame="1"/>
                <w:shd w:val="clear" w:color="auto" w:fill="FFFFFF"/>
              </w:rPr>
              <w:t>NO</w:t>
            </w:r>
            <w:r w:rsidRPr="00422BF1">
              <w:rPr>
                <w:rFonts w:ascii="Arial" w:hAnsi="Arial" w:cs="Arial"/>
                <w:b/>
                <w:bCs/>
                <w:color w:val="222222"/>
                <w:sz w:val="20"/>
                <w:szCs w:val="20"/>
                <w:bdr w:val="none" w:sz="0" w:space="0" w:color="auto" w:frame="1"/>
                <w:shd w:val="clear" w:color="auto" w:fill="FFFFFF"/>
                <w:vertAlign w:val="subscript"/>
              </w:rPr>
              <w:t>2</w:t>
            </w:r>
          </w:p>
        </w:tc>
        <w:tc>
          <w:tcPr>
            <w:tcW w:w="2327" w:type="dxa"/>
            <w:shd w:val="clear" w:color="auto" w:fill="FFFFFF"/>
            <w:tcMar>
              <w:top w:w="0" w:type="dxa"/>
              <w:left w:w="108" w:type="dxa"/>
              <w:bottom w:w="0" w:type="dxa"/>
              <w:right w:w="108" w:type="dxa"/>
            </w:tcMar>
            <w:vAlign w:val="center"/>
          </w:tcPr>
          <w:p w14:paraId="28CE651E" w14:textId="77777777"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b/>
                <w:bCs/>
                <w:color w:val="222222"/>
                <w:sz w:val="20"/>
                <w:szCs w:val="20"/>
                <w:bdr w:val="none" w:sz="0" w:space="0" w:color="auto" w:frame="1"/>
                <w:shd w:val="clear" w:color="auto" w:fill="FFFFFF"/>
              </w:rPr>
              <w:t>O</w:t>
            </w:r>
            <w:r w:rsidRPr="00422BF1">
              <w:rPr>
                <w:rFonts w:ascii="Arial" w:hAnsi="Arial" w:cs="Arial"/>
                <w:b/>
                <w:bCs/>
                <w:color w:val="222222"/>
                <w:sz w:val="20"/>
                <w:szCs w:val="20"/>
                <w:bdr w:val="none" w:sz="0" w:space="0" w:color="auto" w:frame="1"/>
                <w:shd w:val="clear" w:color="auto" w:fill="FFFFFF"/>
                <w:vertAlign w:val="subscript"/>
              </w:rPr>
              <w:t>3</w:t>
            </w:r>
          </w:p>
        </w:tc>
      </w:tr>
      <w:tr w:rsidR="00EC05A2" w:rsidRPr="00422BF1" w14:paraId="05937DA8" w14:textId="77777777" w:rsidTr="00EC05A2">
        <w:trPr>
          <w:trHeight w:val="384"/>
        </w:trPr>
        <w:tc>
          <w:tcPr>
            <w:tcW w:w="9350" w:type="dxa"/>
            <w:gridSpan w:val="4"/>
            <w:shd w:val="clear" w:color="auto" w:fill="FFFFFF"/>
            <w:tcMar>
              <w:top w:w="0" w:type="dxa"/>
              <w:left w:w="108" w:type="dxa"/>
              <w:bottom w:w="0" w:type="dxa"/>
              <w:right w:w="108" w:type="dxa"/>
            </w:tcMar>
            <w:vAlign w:val="center"/>
          </w:tcPr>
          <w:p w14:paraId="46A3662C" w14:textId="345094CE"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eastAsiaTheme="minorEastAsia" w:hAnsi="Arial" w:cs="Arial"/>
                <w:color w:val="000000"/>
                <w:sz w:val="20"/>
                <w:szCs w:val="20"/>
                <w:bdr w:val="none" w:sz="0" w:space="0" w:color="auto" w:frame="1"/>
              </w:rPr>
            </w:pPr>
            <w:r w:rsidRPr="00422BF1">
              <w:rPr>
                <w:rFonts w:ascii="Arial" w:hAnsi="Arial" w:cs="Arial"/>
                <w:b/>
                <w:bCs/>
                <w:color w:val="000000"/>
                <w:sz w:val="20"/>
                <w:szCs w:val="20"/>
                <w:bdr w:val="none" w:sz="0" w:space="0" w:color="auto" w:frame="1"/>
              </w:rPr>
              <w:t>Dementia</w:t>
            </w:r>
            <w:r w:rsidRPr="00422BF1">
              <w:rPr>
                <w:rFonts w:ascii="Arial" w:hAnsi="Arial" w:cs="Arial"/>
                <w:b/>
                <w:bCs/>
                <w:color w:val="222222"/>
                <w:sz w:val="20"/>
                <w:szCs w:val="20"/>
                <w:bdr w:val="none" w:sz="0" w:space="0" w:color="auto" w:frame="1"/>
                <w:shd w:val="clear" w:color="auto" w:fill="FFFFFF"/>
              </w:rPr>
              <w:t xml:space="preserve"> – Single pollutant</w:t>
            </w:r>
          </w:p>
        </w:tc>
      </w:tr>
      <w:tr w:rsidR="00EC05A2" w:rsidRPr="00422BF1" w14:paraId="199CAB0F" w14:textId="77777777" w:rsidTr="00EC05A2">
        <w:trPr>
          <w:trHeight w:val="384"/>
        </w:trPr>
        <w:tc>
          <w:tcPr>
            <w:tcW w:w="2329" w:type="dxa"/>
            <w:shd w:val="clear" w:color="auto" w:fill="FFFFFF"/>
            <w:tcMar>
              <w:top w:w="0" w:type="dxa"/>
              <w:left w:w="108" w:type="dxa"/>
              <w:bottom w:w="0" w:type="dxa"/>
              <w:right w:w="108" w:type="dxa"/>
            </w:tcMar>
            <w:vAlign w:val="center"/>
          </w:tcPr>
          <w:p w14:paraId="06483714"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0 </w:t>
            </w:r>
          </w:p>
        </w:tc>
        <w:tc>
          <w:tcPr>
            <w:tcW w:w="2372" w:type="dxa"/>
            <w:shd w:val="clear" w:color="auto" w:fill="FFFFFF"/>
            <w:tcMar>
              <w:top w:w="0" w:type="dxa"/>
              <w:left w:w="108" w:type="dxa"/>
              <w:bottom w:w="0" w:type="dxa"/>
              <w:right w:w="108" w:type="dxa"/>
            </w:tcMar>
            <w:vAlign w:val="center"/>
          </w:tcPr>
          <w:p w14:paraId="1B75B1B7" w14:textId="5444B905" w:rsidR="00EC05A2" w:rsidRPr="00422BF1" w:rsidRDefault="004C6F6D"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1.062 (1.055, 1.069)</w:t>
            </w:r>
          </w:p>
        </w:tc>
        <w:tc>
          <w:tcPr>
            <w:tcW w:w="2322" w:type="dxa"/>
            <w:shd w:val="clear" w:color="auto" w:fill="FFFFFF"/>
            <w:tcMar>
              <w:top w:w="0" w:type="dxa"/>
              <w:left w:w="108" w:type="dxa"/>
              <w:bottom w:w="0" w:type="dxa"/>
              <w:right w:w="108" w:type="dxa"/>
            </w:tcMar>
            <w:vAlign w:val="center"/>
          </w:tcPr>
          <w:p w14:paraId="0D2F7CD8" w14:textId="230DBD9F" w:rsidR="00EC05A2" w:rsidRPr="00422BF1" w:rsidRDefault="004C6F6D"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1.029 (1.022, 1.036)</w:t>
            </w:r>
          </w:p>
        </w:tc>
        <w:tc>
          <w:tcPr>
            <w:tcW w:w="2327" w:type="dxa"/>
            <w:shd w:val="clear" w:color="auto" w:fill="FFFFFF"/>
            <w:tcMar>
              <w:top w:w="0" w:type="dxa"/>
              <w:left w:w="108" w:type="dxa"/>
              <w:bottom w:w="0" w:type="dxa"/>
              <w:right w:w="108" w:type="dxa"/>
            </w:tcMar>
            <w:vAlign w:val="center"/>
          </w:tcPr>
          <w:p w14:paraId="71D52942" w14:textId="756B24E1" w:rsidR="00EC05A2" w:rsidRPr="00422BF1" w:rsidRDefault="004C6F6D"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1.003 (0.999, 1.006)</w:t>
            </w:r>
          </w:p>
        </w:tc>
      </w:tr>
      <w:tr w:rsidR="00EC05A2" w:rsidRPr="00422BF1" w14:paraId="788FC391" w14:textId="77777777" w:rsidTr="00EC05A2">
        <w:trPr>
          <w:trHeight w:val="384"/>
        </w:trPr>
        <w:tc>
          <w:tcPr>
            <w:tcW w:w="2329" w:type="dxa"/>
            <w:shd w:val="clear" w:color="auto" w:fill="FFFFFF"/>
            <w:tcMar>
              <w:top w:w="0" w:type="dxa"/>
              <w:left w:w="108" w:type="dxa"/>
              <w:bottom w:w="0" w:type="dxa"/>
              <w:right w:w="108" w:type="dxa"/>
            </w:tcMar>
            <w:vAlign w:val="center"/>
          </w:tcPr>
          <w:p w14:paraId="2A5B2F73"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w:t>
            </w:r>
          </w:p>
        </w:tc>
        <w:tc>
          <w:tcPr>
            <w:tcW w:w="2372" w:type="dxa"/>
            <w:shd w:val="clear" w:color="auto" w:fill="FFFFFF"/>
            <w:tcMar>
              <w:top w:w="0" w:type="dxa"/>
              <w:left w:w="108" w:type="dxa"/>
              <w:bottom w:w="0" w:type="dxa"/>
              <w:right w:w="108" w:type="dxa"/>
            </w:tcMar>
            <w:vAlign w:val="center"/>
          </w:tcPr>
          <w:p w14:paraId="07380FD2" w14:textId="7EE2C8CA" w:rsidR="00EC05A2" w:rsidRPr="00422BF1" w:rsidRDefault="00D514F9"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1.052 (1.046, 1.059)</w:t>
            </w:r>
          </w:p>
        </w:tc>
        <w:tc>
          <w:tcPr>
            <w:tcW w:w="2322" w:type="dxa"/>
            <w:shd w:val="clear" w:color="auto" w:fill="FFFFFF"/>
            <w:tcMar>
              <w:top w:w="0" w:type="dxa"/>
              <w:left w:w="108" w:type="dxa"/>
              <w:bottom w:w="0" w:type="dxa"/>
              <w:right w:w="108" w:type="dxa"/>
            </w:tcMar>
            <w:vAlign w:val="center"/>
          </w:tcPr>
          <w:p w14:paraId="0CC391E1" w14:textId="7604712B" w:rsidR="00EC05A2" w:rsidRPr="00422BF1" w:rsidRDefault="00D514F9"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1.021 (1.015, 1.028)</w:t>
            </w:r>
          </w:p>
        </w:tc>
        <w:tc>
          <w:tcPr>
            <w:tcW w:w="2327" w:type="dxa"/>
            <w:shd w:val="clear" w:color="auto" w:fill="FFFFFF"/>
            <w:tcMar>
              <w:top w:w="0" w:type="dxa"/>
              <w:left w:w="108" w:type="dxa"/>
              <w:bottom w:w="0" w:type="dxa"/>
              <w:right w:w="108" w:type="dxa"/>
            </w:tcMar>
            <w:vAlign w:val="center"/>
          </w:tcPr>
          <w:p w14:paraId="45C02D1E" w14:textId="48C5F138" w:rsidR="00EC05A2" w:rsidRPr="00422BF1" w:rsidRDefault="00D514F9"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0.998 (0.994, 1.001)</w:t>
            </w:r>
          </w:p>
        </w:tc>
      </w:tr>
      <w:tr w:rsidR="00EC05A2" w:rsidRPr="00422BF1" w14:paraId="1B7280B6" w14:textId="77777777" w:rsidTr="00EC05A2">
        <w:trPr>
          <w:trHeight w:val="384"/>
        </w:trPr>
        <w:tc>
          <w:tcPr>
            <w:tcW w:w="2329" w:type="dxa"/>
            <w:shd w:val="clear" w:color="auto" w:fill="FFFFFF"/>
            <w:tcMar>
              <w:top w:w="0" w:type="dxa"/>
              <w:left w:w="108" w:type="dxa"/>
              <w:bottom w:w="0" w:type="dxa"/>
              <w:right w:w="108" w:type="dxa"/>
            </w:tcMar>
            <w:vAlign w:val="center"/>
          </w:tcPr>
          <w:p w14:paraId="3E4E928E"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5 </w:t>
            </w:r>
          </w:p>
        </w:tc>
        <w:tc>
          <w:tcPr>
            <w:tcW w:w="2372" w:type="dxa"/>
            <w:shd w:val="clear" w:color="auto" w:fill="FFFFFF"/>
            <w:tcMar>
              <w:top w:w="0" w:type="dxa"/>
              <w:left w:w="108" w:type="dxa"/>
              <w:bottom w:w="0" w:type="dxa"/>
              <w:right w:w="108" w:type="dxa"/>
            </w:tcMar>
            <w:vAlign w:val="center"/>
          </w:tcPr>
          <w:p w14:paraId="6759153E" w14:textId="61893587" w:rsidR="00EC05A2" w:rsidRPr="00422BF1" w:rsidRDefault="00977963"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1.042 (1.037, 1.046)</w:t>
            </w:r>
          </w:p>
        </w:tc>
        <w:tc>
          <w:tcPr>
            <w:tcW w:w="2322" w:type="dxa"/>
            <w:shd w:val="clear" w:color="auto" w:fill="FFFFFF"/>
            <w:tcMar>
              <w:top w:w="0" w:type="dxa"/>
              <w:left w:w="108" w:type="dxa"/>
              <w:bottom w:w="0" w:type="dxa"/>
              <w:right w:w="108" w:type="dxa"/>
            </w:tcMar>
            <w:vAlign w:val="center"/>
          </w:tcPr>
          <w:p w14:paraId="5F90EC8C" w14:textId="727BA97F" w:rsidR="00EC05A2" w:rsidRPr="00422BF1" w:rsidRDefault="00977963"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1.018 (1.012, 1.023)</w:t>
            </w:r>
          </w:p>
        </w:tc>
        <w:tc>
          <w:tcPr>
            <w:tcW w:w="2327" w:type="dxa"/>
            <w:shd w:val="clear" w:color="auto" w:fill="FFFFFF"/>
            <w:tcMar>
              <w:top w:w="0" w:type="dxa"/>
              <w:left w:w="108" w:type="dxa"/>
              <w:bottom w:w="0" w:type="dxa"/>
              <w:right w:w="108" w:type="dxa"/>
            </w:tcMar>
            <w:vAlign w:val="center"/>
          </w:tcPr>
          <w:p w14:paraId="55CFAED2" w14:textId="5A76ED98" w:rsidR="00EC05A2" w:rsidRPr="00422BF1" w:rsidRDefault="00977963"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1.004 (1.001, 1.007)</w:t>
            </w:r>
          </w:p>
        </w:tc>
      </w:tr>
      <w:tr w:rsidR="00EC05A2" w:rsidRPr="00422BF1" w14:paraId="4A3E6348" w14:textId="77777777" w:rsidTr="00EC05A2">
        <w:trPr>
          <w:trHeight w:val="384"/>
        </w:trPr>
        <w:tc>
          <w:tcPr>
            <w:tcW w:w="2329" w:type="dxa"/>
            <w:shd w:val="clear" w:color="auto" w:fill="FFFFFF"/>
            <w:tcMar>
              <w:top w:w="0" w:type="dxa"/>
              <w:left w:w="108" w:type="dxa"/>
              <w:bottom w:w="0" w:type="dxa"/>
              <w:right w:w="108" w:type="dxa"/>
            </w:tcMar>
            <w:vAlign w:val="center"/>
          </w:tcPr>
          <w:p w14:paraId="12C09877"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10 </w:t>
            </w:r>
          </w:p>
        </w:tc>
        <w:tc>
          <w:tcPr>
            <w:tcW w:w="2372" w:type="dxa"/>
            <w:shd w:val="clear" w:color="auto" w:fill="FFFFFF"/>
            <w:tcMar>
              <w:top w:w="0" w:type="dxa"/>
              <w:left w:w="108" w:type="dxa"/>
              <w:bottom w:w="0" w:type="dxa"/>
              <w:right w:w="108" w:type="dxa"/>
            </w:tcMar>
            <w:vAlign w:val="center"/>
          </w:tcPr>
          <w:p w14:paraId="01A5D89D" w14:textId="7E8BD325" w:rsidR="00EC05A2" w:rsidRPr="00422BF1" w:rsidRDefault="00DC577F"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1.028 (1.025, 1.032)</w:t>
            </w:r>
          </w:p>
        </w:tc>
        <w:tc>
          <w:tcPr>
            <w:tcW w:w="2322" w:type="dxa"/>
            <w:shd w:val="clear" w:color="auto" w:fill="FFFFFF"/>
            <w:tcMar>
              <w:top w:w="0" w:type="dxa"/>
              <w:left w:w="108" w:type="dxa"/>
              <w:bottom w:w="0" w:type="dxa"/>
              <w:right w:w="108" w:type="dxa"/>
            </w:tcMar>
            <w:vAlign w:val="center"/>
          </w:tcPr>
          <w:p w14:paraId="5273A82C" w14:textId="42FCB965" w:rsidR="00EC05A2" w:rsidRPr="00422BF1" w:rsidRDefault="00DC577F"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1.011 (1.007, 1.015)</w:t>
            </w:r>
          </w:p>
        </w:tc>
        <w:tc>
          <w:tcPr>
            <w:tcW w:w="2327" w:type="dxa"/>
            <w:shd w:val="clear" w:color="auto" w:fill="FFFFFF"/>
            <w:tcMar>
              <w:top w:w="0" w:type="dxa"/>
              <w:left w:w="108" w:type="dxa"/>
              <w:bottom w:w="0" w:type="dxa"/>
              <w:right w:w="108" w:type="dxa"/>
            </w:tcMar>
            <w:vAlign w:val="center"/>
          </w:tcPr>
          <w:p w14:paraId="3A076F1C" w14:textId="53DD4633" w:rsidR="00EC05A2" w:rsidRPr="00422BF1" w:rsidRDefault="00DC577F"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1.003 (1.000, 1.005)</w:t>
            </w:r>
          </w:p>
        </w:tc>
      </w:tr>
      <w:tr w:rsidR="00EC05A2" w:rsidRPr="00422BF1" w14:paraId="5CAF0473" w14:textId="77777777" w:rsidTr="00EC05A2">
        <w:trPr>
          <w:trHeight w:val="384"/>
        </w:trPr>
        <w:tc>
          <w:tcPr>
            <w:tcW w:w="2329" w:type="dxa"/>
            <w:shd w:val="clear" w:color="auto" w:fill="FFFFFF"/>
            <w:tcMar>
              <w:top w:w="0" w:type="dxa"/>
              <w:left w:w="108" w:type="dxa"/>
              <w:bottom w:w="0" w:type="dxa"/>
              <w:right w:w="108" w:type="dxa"/>
            </w:tcMar>
            <w:vAlign w:val="center"/>
          </w:tcPr>
          <w:p w14:paraId="5673A064"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Average (lags 0-5)</w:t>
            </w:r>
          </w:p>
        </w:tc>
        <w:tc>
          <w:tcPr>
            <w:tcW w:w="2372" w:type="dxa"/>
            <w:shd w:val="clear" w:color="auto" w:fill="FFFFFF"/>
            <w:tcMar>
              <w:top w:w="0" w:type="dxa"/>
              <w:left w:w="108" w:type="dxa"/>
              <w:bottom w:w="0" w:type="dxa"/>
              <w:right w:w="108" w:type="dxa"/>
            </w:tcMar>
            <w:vAlign w:val="center"/>
          </w:tcPr>
          <w:p w14:paraId="2CDCF100" w14:textId="737F38DD" w:rsidR="00EC05A2" w:rsidRPr="00422BF1" w:rsidRDefault="00F12859"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1.053 (1.047, 1.059)</w:t>
            </w:r>
          </w:p>
        </w:tc>
        <w:tc>
          <w:tcPr>
            <w:tcW w:w="2322" w:type="dxa"/>
            <w:shd w:val="clear" w:color="auto" w:fill="FFFFFF"/>
            <w:tcMar>
              <w:top w:w="0" w:type="dxa"/>
              <w:left w:w="108" w:type="dxa"/>
              <w:bottom w:w="0" w:type="dxa"/>
              <w:right w:w="108" w:type="dxa"/>
            </w:tcMar>
            <w:vAlign w:val="center"/>
          </w:tcPr>
          <w:p w14:paraId="33164A38" w14:textId="63BEC604" w:rsidR="00EC05A2" w:rsidRPr="00422BF1" w:rsidRDefault="00F12859"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1.022 (1.015, 1.029)</w:t>
            </w:r>
          </w:p>
        </w:tc>
        <w:tc>
          <w:tcPr>
            <w:tcW w:w="2327" w:type="dxa"/>
            <w:shd w:val="clear" w:color="auto" w:fill="FFFFFF"/>
            <w:tcMar>
              <w:top w:w="0" w:type="dxa"/>
              <w:left w:w="108" w:type="dxa"/>
              <w:bottom w:w="0" w:type="dxa"/>
              <w:right w:w="108" w:type="dxa"/>
            </w:tcMar>
            <w:vAlign w:val="center"/>
          </w:tcPr>
          <w:p w14:paraId="792A092D" w14:textId="52594753" w:rsidR="00EC05A2" w:rsidRPr="00422BF1" w:rsidRDefault="00127428" w:rsidP="00422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0.999 (0.995, 1.002)</w:t>
            </w:r>
          </w:p>
        </w:tc>
      </w:tr>
      <w:tr w:rsidR="00EC05A2" w:rsidRPr="00422BF1" w14:paraId="3EAE56AA" w14:textId="77777777" w:rsidTr="00EC05A2">
        <w:trPr>
          <w:trHeight w:val="384"/>
        </w:trPr>
        <w:tc>
          <w:tcPr>
            <w:tcW w:w="9350" w:type="dxa"/>
            <w:gridSpan w:val="4"/>
            <w:shd w:val="clear" w:color="auto" w:fill="FFFFFF"/>
            <w:tcMar>
              <w:top w:w="0" w:type="dxa"/>
              <w:left w:w="108" w:type="dxa"/>
              <w:bottom w:w="0" w:type="dxa"/>
              <w:right w:w="108" w:type="dxa"/>
            </w:tcMar>
            <w:vAlign w:val="center"/>
          </w:tcPr>
          <w:p w14:paraId="55FF5009" w14:textId="2D02C062"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b/>
                <w:bCs/>
                <w:color w:val="000000"/>
                <w:sz w:val="20"/>
                <w:szCs w:val="20"/>
                <w:bdr w:val="none" w:sz="0" w:space="0" w:color="auto" w:frame="1"/>
              </w:rPr>
              <w:t>AD</w:t>
            </w:r>
            <w:r w:rsidRPr="00422BF1">
              <w:rPr>
                <w:rFonts w:ascii="Arial" w:hAnsi="Arial" w:cs="Arial"/>
                <w:b/>
                <w:bCs/>
                <w:color w:val="222222"/>
                <w:sz w:val="20"/>
                <w:szCs w:val="20"/>
                <w:bdr w:val="none" w:sz="0" w:space="0" w:color="auto" w:frame="1"/>
                <w:shd w:val="clear" w:color="auto" w:fill="FFFFFF"/>
              </w:rPr>
              <w:t> – Single pollutant</w:t>
            </w:r>
          </w:p>
        </w:tc>
      </w:tr>
      <w:tr w:rsidR="00EC05A2" w:rsidRPr="00422BF1" w14:paraId="6742DC81" w14:textId="77777777" w:rsidTr="00EC05A2">
        <w:trPr>
          <w:trHeight w:val="384"/>
        </w:trPr>
        <w:tc>
          <w:tcPr>
            <w:tcW w:w="2329" w:type="dxa"/>
            <w:shd w:val="clear" w:color="auto" w:fill="FFFFFF"/>
            <w:tcMar>
              <w:top w:w="0" w:type="dxa"/>
              <w:left w:w="108" w:type="dxa"/>
              <w:bottom w:w="0" w:type="dxa"/>
              <w:right w:w="108" w:type="dxa"/>
            </w:tcMar>
            <w:vAlign w:val="center"/>
          </w:tcPr>
          <w:p w14:paraId="413F9917"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0 </w:t>
            </w:r>
          </w:p>
        </w:tc>
        <w:tc>
          <w:tcPr>
            <w:tcW w:w="2372" w:type="dxa"/>
            <w:shd w:val="clear" w:color="auto" w:fill="FFFFFF"/>
            <w:tcMar>
              <w:top w:w="0" w:type="dxa"/>
              <w:left w:w="108" w:type="dxa"/>
              <w:bottom w:w="0" w:type="dxa"/>
              <w:right w:w="108" w:type="dxa"/>
            </w:tcMar>
            <w:vAlign w:val="center"/>
          </w:tcPr>
          <w:p w14:paraId="3FE0DF52" w14:textId="74B4B29F"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1.096 (1.082, 1.111)</w:t>
            </w:r>
          </w:p>
        </w:tc>
        <w:tc>
          <w:tcPr>
            <w:tcW w:w="2322" w:type="dxa"/>
            <w:shd w:val="clear" w:color="auto" w:fill="FFFFFF"/>
            <w:tcMar>
              <w:top w:w="0" w:type="dxa"/>
              <w:left w:w="108" w:type="dxa"/>
              <w:bottom w:w="0" w:type="dxa"/>
              <w:right w:w="108" w:type="dxa"/>
            </w:tcMar>
            <w:vAlign w:val="center"/>
          </w:tcPr>
          <w:p w14:paraId="30E43012" w14:textId="6359E1B8"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1.076 (1.062, 1.089)</w:t>
            </w:r>
          </w:p>
        </w:tc>
        <w:tc>
          <w:tcPr>
            <w:tcW w:w="2327" w:type="dxa"/>
            <w:shd w:val="clear" w:color="auto" w:fill="FFFFFF"/>
            <w:tcMar>
              <w:top w:w="0" w:type="dxa"/>
              <w:left w:w="108" w:type="dxa"/>
              <w:bottom w:w="0" w:type="dxa"/>
              <w:right w:w="108" w:type="dxa"/>
            </w:tcMar>
            <w:vAlign w:val="center"/>
          </w:tcPr>
          <w:p w14:paraId="3D14EFDE" w14:textId="738B9008"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0.991 (0.984, 0.999)</w:t>
            </w:r>
          </w:p>
        </w:tc>
      </w:tr>
      <w:tr w:rsidR="00EC05A2" w:rsidRPr="00422BF1" w14:paraId="4FCA2400" w14:textId="77777777" w:rsidTr="00EC05A2">
        <w:trPr>
          <w:trHeight w:val="384"/>
        </w:trPr>
        <w:tc>
          <w:tcPr>
            <w:tcW w:w="2329" w:type="dxa"/>
            <w:shd w:val="clear" w:color="auto" w:fill="FFFFFF"/>
            <w:tcMar>
              <w:top w:w="0" w:type="dxa"/>
              <w:left w:w="108" w:type="dxa"/>
              <w:bottom w:w="0" w:type="dxa"/>
              <w:right w:w="108" w:type="dxa"/>
            </w:tcMar>
            <w:vAlign w:val="center"/>
          </w:tcPr>
          <w:p w14:paraId="0B123E4C"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w:t>
            </w:r>
          </w:p>
        </w:tc>
        <w:tc>
          <w:tcPr>
            <w:tcW w:w="2372" w:type="dxa"/>
            <w:shd w:val="clear" w:color="auto" w:fill="FFFFFF"/>
            <w:tcMar>
              <w:top w:w="0" w:type="dxa"/>
              <w:left w:w="108" w:type="dxa"/>
              <w:bottom w:w="0" w:type="dxa"/>
              <w:right w:w="108" w:type="dxa"/>
            </w:tcMar>
            <w:vAlign w:val="center"/>
          </w:tcPr>
          <w:p w14:paraId="55EC9FA2" w14:textId="1A299FD8" w:rsidR="00EC05A2" w:rsidRPr="00422BF1" w:rsidRDefault="00E7384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1.091 (1.079, 1.103)</w:t>
            </w:r>
          </w:p>
        </w:tc>
        <w:tc>
          <w:tcPr>
            <w:tcW w:w="2322" w:type="dxa"/>
            <w:shd w:val="clear" w:color="auto" w:fill="FFFFFF"/>
            <w:tcMar>
              <w:top w:w="0" w:type="dxa"/>
              <w:left w:w="108" w:type="dxa"/>
              <w:bottom w:w="0" w:type="dxa"/>
              <w:right w:w="108" w:type="dxa"/>
            </w:tcMar>
            <w:vAlign w:val="center"/>
          </w:tcPr>
          <w:p w14:paraId="71B4E244" w14:textId="5C0C46C8" w:rsidR="00EC05A2" w:rsidRPr="00422BF1" w:rsidRDefault="00E7384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1.064 (1.052, 1.076)</w:t>
            </w:r>
          </w:p>
        </w:tc>
        <w:tc>
          <w:tcPr>
            <w:tcW w:w="2327" w:type="dxa"/>
            <w:shd w:val="clear" w:color="auto" w:fill="FFFFFF"/>
            <w:tcMar>
              <w:top w:w="0" w:type="dxa"/>
              <w:left w:w="108" w:type="dxa"/>
              <w:bottom w:w="0" w:type="dxa"/>
              <w:right w:w="108" w:type="dxa"/>
            </w:tcMar>
            <w:vAlign w:val="center"/>
          </w:tcPr>
          <w:p w14:paraId="4359316E" w14:textId="6A81F44A" w:rsidR="00EC05A2" w:rsidRPr="00422BF1" w:rsidRDefault="00986FA6"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0.986 (0.979, 0.992)</w:t>
            </w:r>
          </w:p>
        </w:tc>
      </w:tr>
      <w:tr w:rsidR="00EC05A2" w:rsidRPr="00422BF1" w14:paraId="67C6E74A" w14:textId="77777777" w:rsidTr="00EC05A2">
        <w:trPr>
          <w:trHeight w:val="384"/>
        </w:trPr>
        <w:tc>
          <w:tcPr>
            <w:tcW w:w="2329" w:type="dxa"/>
            <w:shd w:val="clear" w:color="auto" w:fill="FFFFFF"/>
            <w:tcMar>
              <w:top w:w="0" w:type="dxa"/>
              <w:left w:w="108" w:type="dxa"/>
              <w:bottom w:w="0" w:type="dxa"/>
              <w:right w:w="108" w:type="dxa"/>
            </w:tcMar>
            <w:vAlign w:val="center"/>
          </w:tcPr>
          <w:p w14:paraId="18D3E214"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5 </w:t>
            </w:r>
          </w:p>
        </w:tc>
        <w:tc>
          <w:tcPr>
            <w:tcW w:w="2372" w:type="dxa"/>
            <w:shd w:val="clear" w:color="auto" w:fill="FFFFFF"/>
            <w:tcMar>
              <w:top w:w="0" w:type="dxa"/>
              <w:left w:w="108" w:type="dxa"/>
              <w:bottom w:w="0" w:type="dxa"/>
              <w:right w:w="108" w:type="dxa"/>
            </w:tcMar>
            <w:vAlign w:val="center"/>
          </w:tcPr>
          <w:p w14:paraId="1394D716" w14:textId="6FAB6DDE" w:rsidR="00EC05A2" w:rsidRPr="00422BF1" w:rsidRDefault="00543BD0"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1.077 (1.068, 1.087)</w:t>
            </w:r>
          </w:p>
        </w:tc>
        <w:tc>
          <w:tcPr>
            <w:tcW w:w="2322" w:type="dxa"/>
            <w:shd w:val="clear" w:color="auto" w:fill="FFFFFF"/>
            <w:tcMar>
              <w:top w:w="0" w:type="dxa"/>
              <w:left w:w="108" w:type="dxa"/>
              <w:bottom w:w="0" w:type="dxa"/>
              <w:right w:w="108" w:type="dxa"/>
            </w:tcMar>
            <w:vAlign w:val="center"/>
          </w:tcPr>
          <w:p w14:paraId="500C14D9" w14:textId="1253BD2B" w:rsidR="00EC05A2" w:rsidRPr="00422BF1" w:rsidRDefault="00543BD0"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1.052 (1.042, 1.063)</w:t>
            </w:r>
          </w:p>
        </w:tc>
        <w:tc>
          <w:tcPr>
            <w:tcW w:w="2327" w:type="dxa"/>
            <w:shd w:val="clear" w:color="auto" w:fill="FFFFFF"/>
            <w:tcMar>
              <w:top w:w="0" w:type="dxa"/>
              <w:left w:w="108" w:type="dxa"/>
              <w:bottom w:w="0" w:type="dxa"/>
              <w:right w:w="108" w:type="dxa"/>
            </w:tcMar>
            <w:vAlign w:val="center"/>
          </w:tcPr>
          <w:p w14:paraId="7A88A8F6" w14:textId="7181E069" w:rsidR="00EC05A2" w:rsidRPr="00422BF1" w:rsidRDefault="00543BD0"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0.996 (0.991, 1.002)</w:t>
            </w:r>
          </w:p>
        </w:tc>
      </w:tr>
      <w:tr w:rsidR="00EC05A2" w:rsidRPr="00422BF1" w14:paraId="2AC366C2" w14:textId="77777777" w:rsidTr="00EC05A2">
        <w:trPr>
          <w:trHeight w:val="384"/>
        </w:trPr>
        <w:tc>
          <w:tcPr>
            <w:tcW w:w="2329" w:type="dxa"/>
            <w:shd w:val="clear" w:color="auto" w:fill="FFFFFF"/>
            <w:tcMar>
              <w:top w:w="0" w:type="dxa"/>
              <w:left w:w="108" w:type="dxa"/>
              <w:bottom w:w="0" w:type="dxa"/>
              <w:right w:w="108" w:type="dxa"/>
            </w:tcMar>
            <w:vAlign w:val="center"/>
          </w:tcPr>
          <w:p w14:paraId="54A400E3"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10 </w:t>
            </w:r>
          </w:p>
        </w:tc>
        <w:tc>
          <w:tcPr>
            <w:tcW w:w="2372" w:type="dxa"/>
            <w:shd w:val="clear" w:color="auto" w:fill="FFFFFF"/>
            <w:tcMar>
              <w:top w:w="0" w:type="dxa"/>
              <w:left w:w="108" w:type="dxa"/>
              <w:bottom w:w="0" w:type="dxa"/>
              <w:right w:w="108" w:type="dxa"/>
            </w:tcMar>
            <w:vAlign w:val="center"/>
          </w:tcPr>
          <w:p w14:paraId="32C2D9BC" w14:textId="4C1F38B5" w:rsidR="00EC05A2" w:rsidRPr="00422BF1" w:rsidRDefault="002957B5"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1.066 (1.058, 1.073)</w:t>
            </w:r>
          </w:p>
        </w:tc>
        <w:tc>
          <w:tcPr>
            <w:tcW w:w="2322" w:type="dxa"/>
            <w:shd w:val="clear" w:color="auto" w:fill="FFFFFF"/>
            <w:tcMar>
              <w:top w:w="0" w:type="dxa"/>
              <w:left w:w="108" w:type="dxa"/>
              <w:bottom w:w="0" w:type="dxa"/>
              <w:right w:w="108" w:type="dxa"/>
            </w:tcMar>
            <w:vAlign w:val="center"/>
          </w:tcPr>
          <w:p w14:paraId="7827CFE5" w14:textId="71B36E38" w:rsidR="00EC05A2" w:rsidRPr="00422BF1" w:rsidRDefault="002957B5"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1.042 (1.033, 1.050)</w:t>
            </w:r>
          </w:p>
        </w:tc>
        <w:tc>
          <w:tcPr>
            <w:tcW w:w="2327" w:type="dxa"/>
            <w:shd w:val="clear" w:color="auto" w:fill="FFFFFF"/>
            <w:tcMar>
              <w:top w:w="0" w:type="dxa"/>
              <w:left w:w="108" w:type="dxa"/>
              <w:bottom w:w="0" w:type="dxa"/>
              <w:right w:w="108" w:type="dxa"/>
            </w:tcMar>
            <w:vAlign w:val="center"/>
          </w:tcPr>
          <w:p w14:paraId="2A5F72CA" w14:textId="10F924A8" w:rsidR="00EC05A2" w:rsidRPr="00422BF1" w:rsidRDefault="002957B5"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0.992 (0.987, 0.998)</w:t>
            </w:r>
          </w:p>
        </w:tc>
      </w:tr>
      <w:tr w:rsidR="00EC05A2" w:rsidRPr="00422BF1" w14:paraId="3325A1D0" w14:textId="77777777" w:rsidTr="00EC05A2">
        <w:trPr>
          <w:trHeight w:val="384"/>
        </w:trPr>
        <w:tc>
          <w:tcPr>
            <w:tcW w:w="2329" w:type="dxa"/>
            <w:shd w:val="clear" w:color="auto" w:fill="FFFFFF"/>
            <w:tcMar>
              <w:top w:w="0" w:type="dxa"/>
              <w:left w:w="108" w:type="dxa"/>
              <w:bottom w:w="0" w:type="dxa"/>
              <w:right w:w="108" w:type="dxa"/>
            </w:tcMar>
            <w:vAlign w:val="center"/>
          </w:tcPr>
          <w:p w14:paraId="2549DCDF"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Average (lags 0-5)</w:t>
            </w:r>
          </w:p>
        </w:tc>
        <w:tc>
          <w:tcPr>
            <w:tcW w:w="2372" w:type="dxa"/>
            <w:shd w:val="clear" w:color="auto" w:fill="FFFFFF"/>
            <w:tcMar>
              <w:top w:w="0" w:type="dxa"/>
              <w:left w:w="108" w:type="dxa"/>
              <w:bottom w:w="0" w:type="dxa"/>
              <w:right w:w="108" w:type="dxa"/>
            </w:tcMar>
            <w:vAlign w:val="center"/>
          </w:tcPr>
          <w:p w14:paraId="1DAB19ED" w14:textId="08B70145" w:rsidR="00EC05A2" w:rsidRPr="00422BF1" w:rsidRDefault="00C3687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1.079 (1.070, 1.088)</w:t>
            </w:r>
          </w:p>
        </w:tc>
        <w:tc>
          <w:tcPr>
            <w:tcW w:w="2322" w:type="dxa"/>
            <w:shd w:val="clear" w:color="auto" w:fill="FFFFFF"/>
            <w:tcMar>
              <w:top w:w="0" w:type="dxa"/>
              <w:left w:w="108" w:type="dxa"/>
              <w:bottom w:w="0" w:type="dxa"/>
              <w:right w:w="108" w:type="dxa"/>
            </w:tcMar>
            <w:vAlign w:val="center"/>
          </w:tcPr>
          <w:p w14:paraId="480E5471" w14:textId="0082CB9B" w:rsidR="00EC05A2" w:rsidRPr="00422BF1" w:rsidRDefault="00C3687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1.049 (1.039, 1.059)</w:t>
            </w:r>
          </w:p>
        </w:tc>
        <w:tc>
          <w:tcPr>
            <w:tcW w:w="2327" w:type="dxa"/>
            <w:shd w:val="clear" w:color="auto" w:fill="FFFFFF"/>
            <w:tcMar>
              <w:top w:w="0" w:type="dxa"/>
              <w:left w:w="108" w:type="dxa"/>
              <w:bottom w:w="0" w:type="dxa"/>
              <w:right w:w="108" w:type="dxa"/>
            </w:tcMar>
            <w:vAlign w:val="center"/>
          </w:tcPr>
          <w:p w14:paraId="68CA477E" w14:textId="1E3D4EA5" w:rsidR="00EC05A2" w:rsidRPr="00422BF1" w:rsidRDefault="004C0BCD"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0.996 (0.991, 1.001)</w:t>
            </w:r>
          </w:p>
        </w:tc>
      </w:tr>
      <w:tr w:rsidR="00EC05A2" w:rsidRPr="00422BF1" w14:paraId="0348DE60" w14:textId="77777777" w:rsidTr="00EC05A2">
        <w:trPr>
          <w:trHeight w:val="384"/>
        </w:trPr>
        <w:tc>
          <w:tcPr>
            <w:tcW w:w="9350" w:type="dxa"/>
            <w:gridSpan w:val="4"/>
            <w:shd w:val="clear" w:color="auto" w:fill="FFFFFF"/>
            <w:tcMar>
              <w:top w:w="0" w:type="dxa"/>
              <w:left w:w="108" w:type="dxa"/>
              <w:bottom w:w="0" w:type="dxa"/>
              <w:right w:w="108" w:type="dxa"/>
            </w:tcMar>
            <w:vAlign w:val="center"/>
          </w:tcPr>
          <w:p w14:paraId="39DA35A5" w14:textId="5B2058AC"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b/>
                <w:bCs/>
                <w:color w:val="000000"/>
                <w:sz w:val="20"/>
                <w:szCs w:val="20"/>
                <w:bdr w:val="none" w:sz="0" w:space="0" w:color="auto" w:frame="1"/>
              </w:rPr>
              <w:t>Dementia</w:t>
            </w:r>
            <w:r w:rsidRPr="00422BF1">
              <w:rPr>
                <w:rFonts w:ascii="Arial" w:hAnsi="Arial" w:cs="Arial"/>
                <w:b/>
                <w:bCs/>
                <w:color w:val="222222"/>
                <w:sz w:val="20"/>
                <w:szCs w:val="20"/>
                <w:bdr w:val="none" w:sz="0" w:space="0" w:color="auto" w:frame="1"/>
                <w:shd w:val="clear" w:color="auto" w:fill="FFFFFF"/>
              </w:rPr>
              <w:t> – Multi-pollutant</w:t>
            </w:r>
          </w:p>
        </w:tc>
      </w:tr>
      <w:tr w:rsidR="00EC05A2" w:rsidRPr="00422BF1" w14:paraId="3D91227D" w14:textId="77777777" w:rsidTr="00EC05A2">
        <w:trPr>
          <w:trHeight w:val="384"/>
        </w:trPr>
        <w:tc>
          <w:tcPr>
            <w:tcW w:w="2329" w:type="dxa"/>
            <w:shd w:val="clear" w:color="auto" w:fill="FFFFFF"/>
            <w:tcMar>
              <w:top w:w="0" w:type="dxa"/>
              <w:left w:w="108" w:type="dxa"/>
              <w:bottom w:w="0" w:type="dxa"/>
              <w:right w:w="108" w:type="dxa"/>
            </w:tcMar>
            <w:vAlign w:val="center"/>
          </w:tcPr>
          <w:p w14:paraId="1D87BDC7"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0 </w:t>
            </w:r>
          </w:p>
        </w:tc>
        <w:tc>
          <w:tcPr>
            <w:tcW w:w="2372" w:type="dxa"/>
            <w:shd w:val="clear" w:color="auto" w:fill="FFFFFF"/>
            <w:tcMar>
              <w:top w:w="0" w:type="dxa"/>
              <w:left w:w="108" w:type="dxa"/>
              <w:bottom w:w="0" w:type="dxa"/>
              <w:right w:w="108" w:type="dxa"/>
            </w:tcMar>
            <w:vAlign w:val="center"/>
          </w:tcPr>
          <w:p w14:paraId="7B8837E9" w14:textId="3BAB60E9" w:rsidR="00EC05A2" w:rsidRPr="00422BF1" w:rsidRDefault="00316C84"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1.060 (1.053, 1.067)</w:t>
            </w:r>
          </w:p>
        </w:tc>
        <w:tc>
          <w:tcPr>
            <w:tcW w:w="2322" w:type="dxa"/>
            <w:shd w:val="clear" w:color="auto" w:fill="FFFFFF"/>
            <w:tcMar>
              <w:top w:w="0" w:type="dxa"/>
              <w:left w:w="108" w:type="dxa"/>
              <w:bottom w:w="0" w:type="dxa"/>
              <w:right w:w="108" w:type="dxa"/>
            </w:tcMar>
            <w:vAlign w:val="center"/>
          </w:tcPr>
          <w:p w14:paraId="33D5D477" w14:textId="6356EC42" w:rsidR="00EC05A2" w:rsidRPr="00422BF1" w:rsidRDefault="00316C84"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1.016 (1.009, 1.023)</w:t>
            </w:r>
          </w:p>
        </w:tc>
        <w:tc>
          <w:tcPr>
            <w:tcW w:w="2327" w:type="dxa"/>
            <w:shd w:val="clear" w:color="auto" w:fill="FFFFFF"/>
            <w:tcMar>
              <w:top w:w="0" w:type="dxa"/>
              <w:left w:w="108" w:type="dxa"/>
              <w:bottom w:w="0" w:type="dxa"/>
              <w:right w:w="108" w:type="dxa"/>
            </w:tcMar>
            <w:vAlign w:val="center"/>
          </w:tcPr>
          <w:p w14:paraId="2D44A595" w14:textId="0C3D1BC2" w:rsidR="00EC05A2" w:rsidRPr="00422BF1" w:rsidRDefault="00316C84"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0.995 (0.991, 0.998)</w:t>
            </w:r>
          </w:p>
        </w:tc>
      </w:tr>
      <w:tr w:rsidR="00EC05A2" w:rsidRPr="00422BF1" w14:paraId="3ECA2034" w14:textId="77777777" w:rsidTr="00EC05A2">
        <w:trPr>
          <w:trHeight w:val="384"/>
        </w:trPr>
        <w:tc>
          <w:tcPr>
            <w:tcW w:w="2329" w:type="dxa"/>
            <w:shd w:val="clear" w:color="auto" w:fill="FFFFFF"/>
            <w:tcMar>
              <w:top w:w="0" w:type="dxa"/>
              <w:left w:w="108" w:type="dxa"/>
              <w:bottom w:w="0" w:type="dxa"/>
              <w:right w:w="108" w:type="dxa"/>
            </w:tcMar>
            <w:vAlign w:val="center"/>
          </w:tcPr>
          <w:p w14:paraId="03E4FBB1"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w:t>
            </w:r>
          </w:p>
        </w:tc>
        <w:tc>
          <w:tcPr>
            <w:tcW w:w="2372" w:type="dxa"/>
            <w:shd w:val="clear" w:color="auto" w:fill="FFFFFF"/>
            <w:tcMar>
              <w:top w:w="0" w:type="dxa"/>
              <w:left w:w="108" w:type="dxa"/>
              <w:bottom w:w="0" w:type="dxa"/>
              <w:right w:w="108" w:type="dxa"/>
            </w:tcMar>
            <w:vAlign w:val="center"/>
          </w:tcPr>
          <w:p w14:paraId="02986675" w14:textId="5018ECEE" w:rsidR="00EC05A2" w:rsidRPr="00422BF1" w:rsidRDefault="004A3FE1"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1.053 (1.047, 1.060)</w:t>
            </w:r>
          </w:p>
        </w:tc>
        <w:tc>
          <w:tcPr>
            <w:tcW w:w="2322" w:type="dxa"/>
            <w:shd w:val="clear" w:color="auto" w:fill="FFFFFF"/>
            <w:tcMar>
              <w:top w:w="0" w:type="dxa"/>
              <w:left w:w="108" w:type="dxa"/>
              <w:bottom w:w="0" w:type="dxa"/>
              <w:right w:w="108" w:type="dxa"/>
            </w:tcMar>
            <w:vAlign w:val="center"/>
          </w:tcPr>
          <w:p w14:paraId="2B9F4FFA" w14:textId="352D6FFD" w:rsidR="00EC05A2" w:rsidRPr="00422BF1" w:rsidRDefault="004A3FE1"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1.012 (1.005, 1.018)</w:t>
            </w:r>
          </w:p>
        </w:tc>
        <w:tc>
          <w:tcPr>
            <w:tcW w:w="2327" w:type="dxa"/>
            <w:shd w:val="clear" w:color="auto" w:fill="FFFFFF"/>
            <w:tcMar>
              <w:top w:w="0" w:type="dxa"/>
              <w:left w:w="108" w:type="dxa"/>
              <w:bottom w:w="0" w:type="dxa"/>
              <w:right w:w="108" w:type="dxa"/>
            </w:tcMar>
            <w:vAlign w:val="center"/>
          </w:tcPr>
          <w:p w14:paraId="19CBE984" w14:textId="60569C3B" w:rsidR="00EC05A2" w:rsidRPr="00422BF1" w:rsidRDefault="004A3FE1"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0.990 (0.987, 0.994)</w:t>
            </w:r>
          </w:p>
        </w:tc>
      </w:tr>
      <w:tr w:rsidR="00EC05A2" w:rsidRPr="00422BF1" w14:paraId="6A6ACDE6" w14:textId="77777777" w:rsidTr="00EC05A2">
        <w:trPr>
          <w:trHeight w:val="384"/>
        </w:trPr>
        <w:tc>
          <w:tcPr>
            <w:tcW w:w="2329" w:type="dxa"/>
            <w:shd w:val="clear" w:color="auto" w:fill="FFFFFF"/>
            <w:tcMar>
              <w:top w:w="0" w:type="dxa"/>
              <w:left w:w="108" w:type="dxa"/>
              <w:bottom w:w="0" w:type="dxa"/>
              <w:right w:w="108" w:type="dxa"/>
            </w:tcMar>
            <w:vAlign w:val="center"/>
          </w:tcPr>
          <w:p w14:paraId="6B424E05"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5 </w:t>
            </w:r>
          </w:p>
        </w:tc>
        <w:tc>
          <w:tcPr>
            <w:tcW w:w="2372" w:type="dxa"/>
            <w:shd w:val="clear" w:color="auto" w:fill="FFFFFF"/>
            <w:tcMar>
              <w:top w:w="0" w:type="dxa"/>
              <w:left w:w="108" w:type="dxa"/>
              <w:bottom w:w="0" w:type="dxa"/>
              <w:right w:w="108" w:type="dxa"/>
            </w:tcMar>
            <w:vAlign w:val="center"/>
          </w:tcPr>
          <w:p w14:paraId="69B7FB91" w14:textId="11403132" w:rsidR="00EC05A2" w:rsidRPr="00422BF1" w:rsidRDefault="00D573E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1.041 (1.036, 1.047)</w:t>
            </w:r>
          </w:p>
        </w:tc>
        <w:tc>
          <w:tcPr>
            <w:tcW w:w="2322" w:type="dxa"/>
            <w:shd w:val="clear" w:color="auto" w:fill="FFFFFF"/>
            <w:tcMar>
              <w:top w:w="0" w:type="dxa"/>
              <w:left w:w="108" w:type="dxa"/>
              <w:bottom w:w="0" w:type="dxa"/>
              <w:right w:w="108" w:type="dxa"/>
            </w:tcMar>
            <w:vAlign w:val="center"/>
          </w:tcPr>
          <w:p w14:paraId="523ADD4A" w14:textId="37C53D21" w:rsidR="00EC05A2" w:rsidRPr="00422BF1" w:rsidRDefault="00FC7465"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1.007 (1.001, 1.012)</w:t>
            </w:r>
          </w:p>
        </w:tc>
        <w:tc>
          <w:tcPr>
            <w:tcW w:w="2327" w:type="dxa"/>
            <w:shd w:val="clear" w:color="auto" w:fill="FFFFFF"/>
            <w:tcMar>
              <w:top w:w="0" w:type="dxa"/>
              <w:left w:w="108" w:type="dxa"/>
              <w:bottom w:w="0" w:type="dxa"/>
              <w:right w:w="108" w:type="dxa"/>
            </w:tcMar>
            <w:vAlign w:val="center"/>
          </w:tcPr>
          <w:p w14:paraId="37484423" w14:textId="78079A39" w:rsidR="00EC05A2" w:rsidRPr="00422BF1" w:rsidRDefault="00C00A10"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0.997 (0.994, 0.999)</w:t>
            </w:r>
          </w:p>
        </w:tc>
      </w:tr>
      <w:tr w:rsidR="00EC05A2" w:rsidRPr="00422BF1" w14:paraId="7E2850C7" w14:textId="77777777" w:rsidTr="00EC05A2">
        <w:trPr>
          <w:trHeight w:val="384"/>
        </w:trPr>
        <w:tc>
          <w:tcPr>
            <w:tcW w:w="2329" w:type="dxa"/>
            <w:shd w:val="clear" w:color="auto" w:fill="FFFFFF"/>
            <w:tcMar>
              <w:top w:w="0" w:type="dxa"/>
              <w:left w:w="108" w:type="dxa"/>
              <w:bottom w:w="0" w:type="dxa"/>
              <w:right w:w="108" w:type="dxa"/>
            </w:tcMar>
            <w:vAlign w:val="center"/>
          </w:tcPr>
          <w:p w14:paraId="1E69F2EF"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10 </w:t>
            </w:r>
          </w:p>
        </w:tc>
        <w:tc>
          <w:tcPr>
            <w:tcW w:w="2372" w:type="dxa"/>
            <w:shd w:val="clear" w:color="auto" w:fill="FFFFFF"/>
            <w:tcMar>
              <w:top w:w="0" w:type="dxa"/>
              <w:left w:w="108" w:type="dxa"/>
              <w:bottom w:w="0" w:type="dxa"/>
              <w:right w:w="108" w:type="dxa"/>
            </w:tcMar>
            <w:vAlign w:val="center"/>
          </w:tcPr>
          <w:p w14:paraId="61997065" w14:textId="40D0A007" w:rsidR="00EC05A2" w:rsidRPr="00422BF1" w:rsidRDefault="00134AFD"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1.030 (1.026, 1.035)</w:t>
            </w:r>
          </w:p>
        </w:tc>
        <w:tc>
          <w:tcPr>
            <w:tcW w:w="2322" w:type="dxa"/>
            <w:shd w:val="clear" w:color="auto" w:fill="FFFFFF"/>
            <w:tcMar>
              <w:top w:w="0" w:type="dxa"/>
              <w:left w:w="108" w:type="dxa"/>
              <w:bottom w:w="0" w:type="dxa"/>
              <w:right w:w="108" w:type="dxa"/>
            </w:tcMar>
            <w:vAlign w:val="center"/>
          </w:tcPr>
          <w:p w14:paraId="5679CE06" w14:textId="77ABFEB6" w:rsidR="00EC05A2" w:rsidRPr="00422BF1" w:rsidRDefault="00134AFD"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1.001 (0.996, 1.006)</w:t>
            </w:r>
          </w:p>
        </w:tc>
        <w:tc>
          <w:tcPr>
            <w:tcW w:w="2327" w:type="dxa"/>
            <w:shd w:val="clear" w:color="auto" w:fill="FFFFFF"/>
            <w:tcMar>
              <w:top w:w="0" w:type="dxa"/>
              <w:left w:w="108" w:type="dxa"/>
              <w:bottom w:w="0" w:type="dxa"/>
              <w:right w:w="108" w:type="dxa"/>
            </w:tcMar>
            <w:vAlign w:val="center"/>
          </w:tcPr>
          <w:p w14:paraId="19E19546" w14:textId="428A7DCC" w:rsidR="00EC05A2" w:rsidRPr="00422BF1" w:rsidRDefault="006807C7"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0.995 (0.993, 0.998)</w:t>
            </w:r>
          </w:p>
        </w:tc>
      </w:tr>
      <w:tr w:rsidR="00EC05A2" w:rsidRPr="00422BF1" w14:paraId="0C1AF770" w14:textId="77777777" w:rsidTr="00EC05A2">
        <w:trPr>
          <w:trHeight w:val="384"/>
        </w:trPr>
        <w:tc>
          <w:tcPr>
            <w:tcW w:w="2329" w:type="dxa"/>
            <w:shd w:val="clear" w:color="auto" w:fill="FFFFFF"/>
            <w:tcMar>
              <w:top w:w="0" w:type="dxa"/>
              <w:left w:w="108" w:type="dxa"/>
              <w:bottom w:w="0" w:type="dxa"/>
              <w:right w:w="108" w:type="dxa"/>
            </w:tcMar>
            <w:vAlign w:val="center"/>
          </w:tcPr>
          <w:p w14:paraId="6BAFE4E4"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Average (lags 0-5)</w:t>
            </w:r>
          </w:p>
        </w:tc>
        <w:tc>
          <w:tcPr>
            <w:tcW w:w="2372" w:type="dxa"/>
            <w:shd w:val="clear" w:color="auto" w:fill="FFFFFF"/>
            <w:tcMar>
              <w:top w:w="0" w:type="dxa"/>
              <w:left w:w="108" w:type="dxa"/>
              <w:bottom w:w="0" w:type="dxa"/>
              <w:right w:w="108" w:type="dxa"/>
            </w:tcMar>
            <w:vAlign w:val="center"/>
          </w:tcPr>
          <w:p w14:paraId="55ECEFBE" w14:textId="79CA47FB" w:rsidR="00EC05A2" w:rsidRPr="00422BF1" w:rsidRDefault="00B061C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1.055 (1.048, 1.062)</w:t>
            </w:r>
          </w:p>
        </w:tc>
        <w:tc>
          <w:tcPr>
            <w:tcW w:w="2322" w:type="dxa"/>
            <w:shd w:val="clear" w:color="auto" w:fill="FFFFFF"/>
            <w:tcMar>
              <w:top w:w="0" w:type="dxa"/>
              <w:left w:w="108" w:type="dxa"/>
              <w:bottom w:w="0" w:type="dxa"/>
              <w:right w:w="108" w:type="dxa"/>
            </w:tcMar>
            <w:vAlign w:val="center"/>
          </w:tcPr>
          <w:p w14:paraId="7DB64208" w14:textId="31E554ED" w:rsidR="00EC05A2" w:rsidRPr="00422BF1" w:rsidRDefault="00B061C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1.009 (1.002, 1.016)</w:t>
            </w:r>
          </w:p>
        </w:tc>
        <w:tc>
          <w:tcPr>
            <w:tcW w:w="2327" w:type="dxa"/>
            <w:shd w:val="clear" w:color="auto" w:fill="FFFFFF"/>
            <w:tcMar>
              <w:top w:w="0" w:type="dxa"/>
              <w:left w:w="108" w:type="dxa"/>
              <w:bottom w:w="0" w:type="dxa"/>
              <w:right w:w="108" w:type="dxa"/>
            </w:tcMar>
            <w:vAlign w:val="center"/>
          </w:tcPr>
          <w:p w14:paraId="54103054" w14:textId="4AE8BE88" w:rsidR="00EC05A2" w:rsidRPr="00422BF1" w:rsidRDefault="00B061C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0.991 (0.987, 0.994)</w:t>
            </w:r>
          </w:p>
        </w:tc>
      </w:tr>
      <w:tr w:rsidR="00EC05A2" w:rsidRPr="00422BF1" w14:paraId="27400964" w14:textId="77777777" w:rsidTr="00EC05A2">
        <w:trPr>
          <w:trHeight w:val="384"/>
        </w:trPr>
        <w:tc>
          <w:tcPr>
            <w:tcW w:w="9350" w:type="dxa"/>
            <w:gridSpan w:val="4"/>
            <w:shd w:val="clear" w:color="auto" w:fill="FFFFFF"/>
            <w:tcMar>
              <w:top w:w="0" w:type="dxa"/>
              <w:left w:w="108" w:type="dxa"/>
              <w:bottom w:w="0" w:type="dxa"/>
              <w:right w:w="108" w:type="dxa"/>
            </w:tcMar>
            <w:vAlign w:val="center"/>
          </w:tcPr>
          <w:p w14:paraId="71500E43" w14:textId="2D800A77" w:rsidR="00EC05A2" w:rsidRPr="00422BF1" w:rsidRDefault="00EC05A2"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b/>
                <w:bCs/>
                <w:color w:val="000000"/>
                <w:sz w:val="20"/>
                <w:szCs w:val="20"/>
                <w:bdr w:val="none" w:sz="0" w:space="0" w:color="auto" w:frame="1"/>
              </w:rPr>
              <w:t>AD</w:t>
            </w:r>
            <w:r w:rsidRPr="00422BF1">
              <w:rPr>
                <w:rFonts w:ascii="Arial" w:hAnsi="Arial" w:cs="Arial"/>
                <w:b/>
                <w:bCs/>
                <w:color w:val="222222"/>
                <w:sz w:val="20"/>
                <w:szCs w:val="20"/>
                <w:bdr w:val="none" w:sz="0" w:space="0" w:color="auto" w:frame="1"/>
                <w:shd w:val="clear" w:color="auto" w:fill="FFFFFF"/>
              </w:rPr>
              <w:t> – Multi-pollutant</w:t>
            </w:r>
          </w:p>
        </w:tc>
      </w:tr>
      <w:tr w:rsidR="00EC05A2" w:rsidRPr="00422BF1" w14:paraId="5EED1656" w14:textId="77777777" w:rsidTr="00EC05A2">
        <w:trPr>
          <w:trHeight w:val="384"/>
        </w:trPr>
        <w:tc>
          <w:tcPr>
            <w:tcW w:w="2329" w:type="dxa"/>
            <w:shd w:val="clear" w:color="auto" w:fill="FFFFFF"/>
            <w:tcMar>
              <w:top w:w="0" w:type="dxa"/>
              <w:left w:w="108" w:type="dxa"/>
              <w:bottom w:w="0" w:type="dxa"/>
              <w:right w:w="108" w:type="dxa"/>
            </w:tcMar>
            <w:vAlign w:val="center"/>
          </w:tcPr>
          <w:p w14:paraId="5EB50E47"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0 </w:t>
            </w:r>
          </w:p>
        </w:tc>
        <w:tc>
          <w:tcPr>
            <w:tcW w:w="2372" w:type="dxa"/>
            <w:shd w:val="clear" w:color="auto" w:fill="FFFFFF"/>
            <w:tcMar>
              <w:top w:w="0" w:type="dxa"/>
              <w:left w:w="108" w:type="dxa"/>
              <w:bottom w:w="0" w:type="dxa"/>
              <w:right w:w="108" w:type="dxa"/>
            </w:tcMar>
            <w:vAlign w:val="center"/>
          </w:tcPr>
          <w:p w14:paraId="62F1A889" w14:textId="74D6F0A1"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1.090 (1.075, 1.104)</w:t>
            </w:r>
          </w:p>
        </w:tc>
        <w:tc>
          <w:tcPr>
            <w:tcW w:w="2322" w:type="dxa"/>
            <w:shd w:val="clear" w:color="auto" w:fill="FFFFFF"/>
            <w:tcMar>
              <w:top w:w="0" w:type="dxa"/>
              <w:left w:w="108" w:type="dxa"/>
              <w:bottom w:w="0" w:type="dxa"/>
              <w:right w:w="108" w:type="dxa"/>
            </w:tcMar>
            <w:vAlign w:val="center"/>
          </w:tcPr>
          <w:p w14:paraId="6BDB7B70" w14:textId="243EF574"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1.063 (1.050, 1.077)</w:t>
            </w:r>
          </w:p>
        </w:tc>
        <w:tc>
          <w:tcPr>
            <w:tcW w:w="2327" w:type="dxa"/>
            <w:shd w:val="clear" w:color="auto" w:fill="FFFFFF"/>
            <w:tcMar>
              <w:top w:w="0" w:type="dxa"/>
              <w:left w:w="108" w:type="dxa"/>
              <w:bottom w:w="0" w:type="dxa"/>
              <w:right w:w="108" w:type="dxa"/>
            </w:tcMar>
            <w:vAlign w:val="center"/>
          </w:tcPr>
          <w:p w14:paraId="5E1B7890" w14:textId="33A49C65" w:rsidR="00EC05A2" w:rsidRPr="00422BF1" w:rsidRDefault="00E12079"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0.976 (0.968, 0.983)</w:t>
            </w:r>
          </w:p>
        </w:tc>
      </w:tr>
      <w:tr w:rsidR="00EC05A2" w:rsidRPr="00422BF1" w14:paraId="7B19BEE6" w14:textId="77777777" w:rsidTr="00EC05A2">
        <w:trPr>
          <w:trHeight w:val="384"/>
        </w:trPr>
        <w:tc>
          <w:tcPr>
            <w:tcW w:w="2329" w:type="dxa"/>
            <w:shd w:val="clear" w:color="auto" w:fill="FFFFFF"/>
            <w:tcMar>
              <w:top w:w="0" w:type="dxa"/>
              <w:left w:w="108" w:type="dxa"/>
              <w:bottom w:w="0" w:type="dxa"/>
              <w:right w:w="108" w:type="dxa"/>
            </w:tcMar>
            <w:vAlign w:val="center"/>
          </w:tcPr>
          <w:p w14:paraId="487EBBE8"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w:t>
            </w:r>
          </w:p>
        </w:tc>
        <w:tc>
          <w:tcPr>
            <w:tcW w:w="2372" w:type="dxa"/>
            <w:shd w:val="clear" w:color="auto" w:fill="FFFFFF"/>
            <w:tcMar>
              <w:top w:w="0" w:type="dxa"/>
              <w:left w:w="108" w:type="dxa"/>
              <w:bottom w:w="0" w:type="dxa"/>
              <w:right w:w="108" w:type="dxa"/>
            </w:tcMar>
            <w:vAlign w:val="center"/>
          </w:tcPr>
          <w:p w14:paraId="40FB84E1" w14:textId="3F341BB0" w:rsidR="00EC05A2" w:rsidRPr="00422BF1" w:rsidRDefault="00986FA6"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1.090 (1.077, 1.103)</w:t>
            </w:r>
          </w:p>
        </w:tc>
        <w:tc>
          <w:tcPr>
            <w:tcW w:w="2322" w:type="dxa"/>
            <w:shd w:val="clear" w:color="auto" w:fill="FFFFFF"/>
            <w:tcMar>
              <w:top w:w="0" w:type="dxa"/>
              <w:left w:w="108" w:type="dxa"/>
              <w:bottom w:w="0" w:type="dxa"/>
              <w:right w:w="108" w:type="dxa"/>
            </w:tcMar>
            <w:vAlign w:val="center"/>
          </w:tcPr>
          <w:p w14:paraId="0C257E2A" w14:textId="66FDDA0A" w:rsidR="00EC05A2" w:rsidRPr="00422BF1" w:rsidRDefault="00986FA6"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1.053 (1.041, 1.066)</w:t>
            </w:r>
          </w:p>
        </w:tc>
        <w:tc>
          <w:tcPr>
            <w:tcW w:w="2327" w:type="dxa"/>
            <w:shd w:val="clear" w:color="auto" w:fill="FFFFFF"/>
            <w:tcMar>
              <w:top w:w="0" w:type="dxa"/>
              <w:left w:w="108" w:type="dxa"/>
              <w:bottom w:w="0" w:type="dxa"/>
              <w:right w:w="108" w:type="dxa"/>
            </w:tcMar>
            <w:vAlign w:val="center"/>
          </w:tcPr>
          <w:p w14:paraId="1565BD3E" w14:textId="6D5B3DFC" w:rsidR="00EC05A2" w:rsidRPr="00422BF1" w:rsidRDefault="001B3A82"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0.970 (0.964, 0.977)</w:t>
            </w:r>
          </w:p>
        </w:tc>
      </w:tr>
      <w:tr w:rsidR="00EC05A2" w:rsidRPr="00422BF1" w14:paraId="67793F5C" w14:textId="77777777" w:rsidTr="00EC05A2">
        <w:trPr>
          <w:trHeight w:val="384"/>
        </w:trPr>
        <w:tc>
          <w:tcPr>
            <w:tcW w:w="2329" w:type="dxa"/>
            <w:shd w:val="clear" w:color="auto" w:fill="FFFFFF"/>
            <w:tcMar>
              <w:top w:w="0" w:type="dxa"/>
              <w:left w:w="108" w:type="dxa"/>
              <w:bottom w:w="0" w:type="dxa"/>
              <w:right w:w="108" w:type="dxa"/>
            </w:tcMar>
            <w:vAlign w:val="center"/>
          </w:tcPr>
          <w:p w14:paraId="25BD736B"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5 </w:t>
            </w:r>
          </w:p>
        </w:tc>
        <w:tc>
          <w:tcPr>
            <w:tcW w:w="2372" w:type="dxa"/>
            <w:shd w:val="clear" w:color="auto" w:fill="FFFFFF"/>
            <w:tcMar>
              <w:top w:w="0" w:type="dxa"/>
              <w:left w:w="108" w:type="dxa"/>
              <w:bottom w:w="0" w:type="dxa"/>
              <w:right w:w="108" w:type="dxa"/>
            </w:tcMar>
            <w:vAlign w:val="center"/>
          </w:tcPr>
          <w:p w14:paraId="70019F11" w14:textId="79482DCE" w:rsidR="00EC05A2" w:rsidRPr="00422BF1" w:rsidRDefault="008B6A6B"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1.078 (1.067, 1.088)</w:t>
            </w:r>
          </w:p>
        </w:tc>
        <w:tc>
          <w:tcPr>
            <w:tcW w:w="2322" w:type="dxa"/>
            <w:shd w:val="clear" w:color="auto" w:fill="FFFFFF"/>
            <w:tcMar>
              <w:top w:w="0" w:type="dxa"/>
              <w:left w:w="108" w:type="dxa"/>
              <w:bottom w:w="0" w:type="dxa"/>
              <w:right w:w="108" w:type="dxa"/>
            </w:tcMar>
            <w:vAlign w:val="center"/>
          </w:tcPr>
          <w:p w14:paraId="09404F28" w14:textId="599D0DAF" w:rsidR="00EC05A2" w:rsidRPr="00422BF1" w:rsidRDefault="00F77648"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1.038 (1.027, 1.048)</w:t>
            </w:r>
          </w:p>
        </w:tc>
        <w:tc>
          <w:tcPr>
            <w:tcW w:w="2327" w:type="dxa"/>
            <w:shd w:val="clear" w:color="auto" w:fill="FFFFFF"/>
            <w:tcMar>
              <w:top w:w="0" w:type="dxa"/>
              <w:left w:w="108" w:type="dxa"/>
              <w:bottom w:w="0" w:type="dxa"/>
              <w:right w:w="108" w:type="dxa"/>
            </w:tcMar>
            <w:vAlign w:val="center"/>
          </w:tcPr>
          <w:p w14:paraId="03296E4D" w14:textId="12E0E602" w:rsidR="00EC05A2" w:rsidRPr="00422BF1" w:rsidRDefault="00F77648"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0.979 (0.974, 0.985)</w:t>
            </w:r>
          </w:p>
        </w:tc>
      </w:tr>
      <w:tr w:rsidR="00EC05A2" w:rsidRPr="00422BF1" w14:paraId="418AC6D8" w14:textId="77777777" w:rsidTr="00EC05A2">
        <w:trPr>
          <w:trHeight w:val="384"/>
        </w:trPr>
        <w:tc>
          <w:tcPr>
            <w:tcW w:w="2329" w:type="dxa"/>
            <w:shd w:val="clear" w:color="auto" w:fill="FFFFFF"/>
            <w:tcMar>
              <w:top w:w="0" w:type="dxa"/>
              <w:left w:w="108" w:type="dxa"/>
              <w:bottom w:w="0" w:type="dxa"/>
              <w:right w:w="108" w:type="dxa"/>
            </w:tcMar>
            <w:vAlign w:val="center"/>
          </w:tcPr>
          <w:p w14:paraId="31809FE4"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Lag 10 </w:t>
            </w:r>
          </w:p>
        </w:tc>
        <w:tc>
          <w:tcPr>
            <w:tcW w:w="2372" w:type="dxa"/>
            <w:shd w:val="clear" w:color="auto" w:fill="FFFFFF"/>
            <w:tcMar>
              <w:top w:w="0" w:type="dxa"/>
              <w:left w:w="108" w:type="dxa"/>
              <w:bottom w:w="0" w:type="dxa"/>
              <w:right w:w="108" w:type="dxa"/>
            </w:tcMar>
            <w:vAlign w:val="center"/>
          </w:tcPr>
          <w:p w14:paraId="2E82B4C9" w14:textId="363C8402" w:rsidR="00EC05A2" w:rsidRPr="00422BF1" w:rsidRDefault="00642ED7"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1.073 (1.065, 1.081)</w:t>
            </w:r>
          </w:p>
        </w:tc>
        <w:tc>
          <w:tcPr>
            <w:tcW w:w="2322" w:type="dxa"/>
            <w:shd w:val="clear" w:color="auto" w:fill="FFFFFF"/>
            <w:tcMar>
              <w:top w:w="0" w:type="dxa"/>
              <w:left w:w="108" w:type="dxa"/>
              <w:bottom w:w="0" w:type="dxa"/>
              <w:right w:w="108" w:type="dxa"/>
            </w:tcMar>
            <w:vAlign w:val="center"/>
          </w:tcPr>
          <w:p w14:paraId="675E5D62" w14:textId="07015CEE" w:rsidR="00EC05A2" w:rsidRPr="00422BF1" w:rsidRDefault="00642ED7"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1.022 (1.013, 1.030)</w:t>
            </w:r>
          </w:p>
        </w:tc>
        <w:tc>
          <w:tcPr>
            <w:tcW w:w="2327" w:type="dxa"/>
            <w:shd w:val="clear" w:color="auto" w:fill="FFFFFF"/>
            <w:tcMar>
              <w:top w:w="0" w:type="dxa"/>
              <w:left w:w="108" w:type="dxa"/>
              <w:bottom w:w="0" w:type="dxa"/>
              <w:right w:w="108" w:type="dxa"/>
            </w:tcMar>
            <w:vAlign w:val="center"/>
          </w:tcPr>
          <w:p w14:paraId="2A3154B1" w14:textId="2F12E001" w:rsidR="00EC05A2" w:rsidRPr="00422BF1" w:rsidRDefault="00642ED7"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0.973 (0.968, 0.978)</w:t>
            </w:r>
          </w:p>
        </w:tc>
      </w:tr>
      <w:tr w:rsidR="00EC05A2" w:rsidRPr="00422BF1" w14:paraId="2AC369EB" w14:textId="77777777" w:rsidTr="00EC05A2">
        <w:trPr>
          <w:trHeight w:val="384"/>
        </w:trPr>
        <w:tc>
          <w:tcPr>
            <w:tcW w:w="2329" w:type="dxa"/>
            <w:shd w:val="clear" w:color="auto" w:fill="FFFFFF"/>
            <w:tcMar>
              <w:top w:w="0" w:type="dxa"/>
              <w:left w:w="108" w:type="dxa"/>
              <w:bottom w:w="0" w:type="dxa"/>
              <w:right w:w="108" w:type="dxa"/>
            </w:tcMar>
            <w:vAlign w:val="center"/>
          </w:tcPr>
          <w:p w14:paraId="03FB1D52" w14:textId="77777777" w:rsidR="00EC05A2" w:rsidRPr="00422BF1" w:rsidRDefault="00EC05A2"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Average (lags 0-5)</w:t>
            </w:r>
          </w:p>
        </w:tc>
        <w:tc>
          <w:tcPr>
            <w:tcW w:w="2372" w:type="dxa"/>
            <w:shd w:val="clear" w:color="auto" w:fill="FFFFFF"/>
            <w:tcMar>
              <w:top w:w="0" w:type="dxa"/>
              <w:left w:w="108" w:type="dxa"/>
              <w:bottom w:w="0" w:type="dxa"/>
              <w:right w:w="108" w:type="dxa"/>
            </w:tcMar>
            <w:vAlign w:val="center"/>
          </w:tcPr>
          <w:p w14:paraId="53A085E4" w14:textId="4DEADB56" w:rsidR="00EC05A2" w:rsidRPr="00422BF1" w:rsidRDefault="00EC3BE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1.078 (1.068, 1.088)</w:t>
            </w:r>
          </w:p>
        </w:tc>
        <w:tc>
          <w:tcPr>
            <w:tcW w:w="2322" w:type="dxa"/>
            <w:shd w:val="clear" w:color="auto" w:fill="FFFFFF"/>
            <w:tcMar>
              <w:top w:w="0" w:type="dxa"/>
              <w:left w:w="108" w:type="dxa"/>
              <w:bottom w:w="0" w:type="dxa"/>
              <w:right w:w="108" w:type="dxa"/>
            </w:tcMar>
            <w:vAlign w:val="center"/>
          </w:tcPr>
          <w:p w14:paraId="503D5105" w14:textId="63CD732F" w:rsidR="00EC05A2" w:rsidRPr="00422BF1" w:rsidRDefault="00EC3BE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1.033 (1.023, 1.043)</w:t>
            </w:r>
          </w:p>
        </w:tc>
        <w:tc>
          <w:tcPr>
            <w:tcW w:w="2327" w:type="dxa"/>
            <w:shd w:val="clear" w:color="auto" w:fill="FFFFFF"/>
            <w:tcMar>
              <w:top w:w="0" w:type="dxa"/>
              <w:left w:w="108" w:type="dxa"/>
              <w:bottom w:w="0" w:type="dxa"/>
              <w:right w:w="108" w:type="dxa"/>
            </w:tcMar>
            <w:vAlign w:val="center"/>
          </w:tcPr>
          <w:p w14:paraId="5B5A1ACF" w14:textId="3958E89C" w:rsidR="00EC05A2" w:rsidRPr="00422BF1" w:rsidRDefault="00EC3BEC" w:rsidP="00C16F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0.981 (0.976, 0.986)</w:t>
            </w:r>
          </w:p>
        </w:tc>
      </w:tr>
    </w:tbl>
    <w:p w14:paraId="53A3E674" w14:textId="77777777" w:rsidR="00EC05A2" w:rsidRPr="00EA286F" w:rsidRDefault="00EC05A2" w:rsidP="0076223E">
      <w:pPr>
        <w:rPr>
          <w:rFonts w:ascii="Arial" w:hAnsi="Arial" w:cs="Arial"/>
          <w:sz w:val="22"/>
          <w:szCs w:val="22"/>
        </w:rPr>
      </w:pPr>
    </w:p>
    <w:p w14:paraId="3F24479F" w14:textId="7AA62D14" w:rsidR="00986BCC" w:rsidRPr="00EA286F" w:rsidRDefault="00986BCC" w:rsidP="0076223E">
      <w:pPr>
        <w:rPr>
          <w:rFonts w:ascii="Arial" w:hAnsi="Arial" w:cs="Arial"/>
          <w:sz w:val="22"/>
          <w:szCs w:val="22"/>
        </w:rPr>
      </w:pPr>
    </w:p>
    <w:p w14:paraId="22F83CA5" w14:textId="77777777" w:rsidR="008F7731" w:rsidRPr="006A3BEE" w:rsidRDefault="008F7731" w:rsidP="005E00D7">
      <w:pPr>
        <w:pStyle w:val="NormalWeb"/>
        <w:spacing w:before="0" w:beforeAutospacing="0" w:after="200" w:afterAutospacing="0"/>
        <w:rPr>
          <w:rFonts w:ascii="Arial" w:hAnsi="Arial" w:cs="Arial"/>
          <w:b/>
          <w:bCs/>
          <w:highlight w:val="yellow"/>
        </w:rPr>
      </w:pPr>
    </w:p>
    <w:p w14:paraId="04D41B80" w14:textId="77777777" w:rsidR="008F7731" w:rsidRPr="006A3BEE" w:rsidRDefault="008F7731" w:rsidP="005E00D7">
      <w:pPr>
        <w:pStyle w:val="NormalWeb"/>
        <w:spacing w:before="0" w:beforeAutospacing="0" w:after="200" w:afterAutospacing="0"/>
        <w:rPr>
          <w:rFonts w:ascii="Arial" w:hAnsi="Arial" w:cs="Arial"/>
          <w:b/>
          <w:bCs/>
          <w:highlight w:val="yellow"/>
        </w:rPr>
      </w:pPr>
    </w:p>
    <w:p w14:paraId="3A96821F" w14:textId="77777777" w:rsidR="008F7731" w:rsidRPr="006A3BEE" w:rsidRDefault="008F7731" w:rsidP="005E00D7">
      <w:pPr>
        <w:pStyle w:val="NormalWeb"/>
        <w:spacing w:before="0" w:beforeAutospacing="0" w:after="200" w:afterAutospacing="0"/>
        <w:rPr>
          <w:rFonts w:ascii="Arial" w:hAnsi="Arial" w:cs="Arial"/>
          <w:b/>
          <w:bCs/>
          <w:highlight w:val="yellow"/>
        </w:rPr>
      </w:pPr>
    </w:p>
    <w:p w14:paraId="7C443FAF" w14:textId="07C9AC6A" w:rsidR="00693881" w:rsidRPr="0022367A" w:rsidRDefault="009758B8" w:rsidP="00693881">
      <w:pPr>
        <w:pStyle w:val="NormalWeb"/>
        <w:spacing w:before="0" w:beforeAutospacing="0" w:after="0" w:afterAutospacing="0"/>
        <w:textAlignment w:val="baseline"/>
        <w:rPr>
          <w:rFonts w:ascii="Arial" w:hAnsi="Arial" w:cs="Arial"/>
          <w:color w:val="000000"/>
          <w:sz w:val="22"/>
          <w:szCs w:val="22"/>
        </w:rPr>
      </w:pPr>
      <w:r w:rsidRPr="000C63AE">
        <w:rPr>
          <w:rFonts w:ascii="Arial" w:hAnsi="Arial" w:cs="Arial"/>
          <w:b/>
          <w:bCs/>
          <w:sz w:val="22"/>
          <w:szCs w:val="22"/>
        </w:rPr>
        <w:lastRenderedPageBreak/>
        <w:t>Table S3</w:t>
      </w:r>
      <w:r w:rsidRPr="0022367A">
        <w:rPr>
          <w:rFonts w:ascii="Arial" w:hAnsi="Arial" w:cs="Arial"/>
          <w:sz w:val="22"/>
          <w:szCs w:val="22"/>
        </w:rPr>
        <w:t xml:space="preserve">. </w:t>
      </w:r>
      <w:r w:rsidR="00152C48" w:rsidRPr="0022367A">
        <w:rPr>
          <w:rFonts w:ascii="Arial" w:hAnsi="Arial" w:cs="Arial"/>
          <w:sz w:val="22"/>
          <w:szCs w:val="22"/>
        </w:rPr>
        <w:t>Hazard ratios of dementia or AD per IQR increase in air pollutants from</w:t>
      </w:r>
      <w:r w:rsidR="00693881" w:rsidRPr="0022367A">
        <w:rPr>
          <w:rFonts w:ascii="Arial" w:hAnsi="Arial" w:cs="Arial"/>
          <w:sz w:val="22"/>
          <w:szCs w:val="22"/>
        </w:rPr>
        <w:t xml:space="preserve"> tri-pollutant models</w:t>
      </w:r>
      <w:r w:rsidR="00152C48" w:rsidRPr="0022367A">
        <w:rPr>
          <w:rFonts w:ascii="Arial" w:hAnsi="Arial" w:cs="Arial"/>
          <w:sz w:val="22"/>
          <w:szCs w:val="22"/>
        </w:rPr>
        <w:t xml:space="preserve">, additionally adjusting for </w:t>
      </w:r>
      <w:proofErr w:type="gramStart"/>
      <w:r w:rsidR="00152C48" w:rsidRPr="0022367A">
        <w:rPr>
          <w:rFonts w:ascii="Arial" w:hAnsi="Arial" w:cs="Arial"/>
          <w:sz w:val="22"/>
          <w:szCs w:val="22"/>
        </w:rPr>
        <w:t>comorbidities</w:t>
      </w:r>
      <w:proofErr w:type="gramEnd"/>
    </w:p>
    <w:p w14:paraId="3D2DBC44" w14:textId="614C1C7A" w:rsidR="009758B8" w:rsidRPr="006A3BEE" w:rsidRDefault="009758B8" w:rsidP="005E00D7">
      <w:pPr>
        <w:pStyle w:val="NormalWeb"/>
        <w:spacing w:before="0" w:beforeAutospacing="0" w:after="200" w:afterAutospacing="0"/>
        <w:rPr>
          <w:rFonts w:ascii="Arial" w:hAnsi="Arial" w:cs="Arial"/>
        </w:rPr>
      </w:pPr>
    </w:p>
    <w:tbl>
      <w:tblPr>
        <w:tblpPr w:leftFromText="180" w:rightFromText="180" w:vertAnchor="text" w:horzAnchor="margin" w:tblpX="-460" w:tblpY="40"/>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5"/>
        <w:gridCol w:w="3585"/>
        <w:gridCol w:w="2098"/>
        <w:gridCol w:w="2054"/>
        <w:gridCol w:w="2058"/>
      </w:tblGrid>
      <w:tr w:rsidR="005E00D7" w:rsidRPr="00422BF1" w14:paraId="32D27E63" w14:textId="77777777" w:rsidTr="002F48E8">
        <w:trPr>
          <w:trHeight w:val="338"/>
        </w:trPr>
        <w:tc>
          <w:tcPr>
            <w:tcW w:w="1165" w:type="dxa"/>
            <w:shd w:val="clear" w:color="auto" w:fill="FFFFFF"/>
            <w:tcMar>
              <w:top w:w="0" w:type="dxa"/>
              <w:left w:w="108" w:type="dxa"/>
              <w:bottom w:w="0" w:type="dxa"/>
              <w:right w:w="108" w:type="dxa"/>
            </w:tcMar>
            <w:vAlign w:val="center"/>
          </w:tcPr>
          <w:p w14:paraId="6651BD21" w14:textId="77777777" w:rsidR="005E00D7" w:rsidRPr="00422BF1" w:rsidRDefault="005E00D7" w:rsidP="002F48E8">
            <w:pPr>
              <w:spacing w:line="235" w:lineRule="atLeast"/>
              <w:jc w:val="center"/>
              <w:rPr>
                <w:rFonts w:ascii="Arial" w:hAnsi="Arial" w:cs="Arial"/>
                <w:b/>
                <w:bCs/>
                <w:color w:val="222222"/>
                <w:sz w:val="20"/>
                <w:szCs w:val="20"/>
                <w:bdr w:val="none" w:sz="0" w:space="0" w:color="auto" w:frame="1"/>
                <w:shd w:val="clear" w:color="auto" w:fill="FFFFFF"/>
              </w:rPr>
            </w:pPr>
            <w:r w:rsidRPr="00422BF1">
              <w:rPr>
                <w:rFonts w:ascii="Arial" w:hAnsi="Arial" w:cs="Arial"/>
                <w:b/>
                <w:bCs/>
                <w:color w:val="222222"/>
                <w:sz w:val="20"/>
                <w:szCs w:val="20"/>
                <w:bdr w:val="none" w:sz="0" w:space="0" w:color="auto" w:frame="1"/>
                <w:shd w:val="clear" w:color="auto" w:fill="FFFFFF"/>
              </w:rPr>
              <w:t>Outcome</w:t>
            </w:r>
          </w:p>
        </w:tc>
        <w:tc>
          <w:tcPr>
            <w:tcW w:w="3585" w:type="dxa"/>
            <w:shd w:val="clear" w:color="auto" w:fill="FFFFFF"/>
            <w:vAlign w:val="center"/>
          </w:tcPr>
          <w:p w14:paraId="68D17FEA" w14:textId="77777777" w:rsidR="005E00D7" w:rsidRPr="00422BF1" w:rsidRDefault="005E00D7" w:rsidP="002F48E8">
            <w:pPr>
              <w:spacing w:line="235" w:lineRule="atLeast"/>
              <w:jc w:val="center"/>
              <w:rPr>
                <w:rFonts w:ascii="Arial" w:hAnsi="Arial" w:cs="Arial"/>
                <w:b/>
                <w:bCs/>
                <w:color w:val="222222"/>
                <w:sz w:val="20"/>
                <w:szCs w:val="20"/>
                <w:bdr w:val="none" w:sz="0" w:space="0" w:color="auto" w:frame="1"/>
                <w:shd w:val="clear" w:color="auto" w:fill="FFFFFF"/>
              </w:rPr>
            </w:pPr>
            <w:r w:rsidRPr="00422BF1">
              <w:rPr>
                <w:rFonts w:ascii="Arial" w:hAnsi="Arial" w:cs="Arial"/>
                <w:b/>
                <w:bCs/>
                <w:color w:val="222222"/>
                <w:sz w:val="20"/>
                <w:szCs w:val="20"/>
                <w:bdr w:val="none" w:sz="0" w:space="0" w:color="auto" w:frame="1"/>
                <w:shd w:val="clear" w:color="auto" w:fill="FFFFFF"/>
              </w:rPr>
              <w:t>Models</w:t>
            </w:r>
          </w:p>
        </w:tc>
        <w:tc>
          <w:tcPr>
            <w:tcW w:w="2098" w:type="dxa"/>
            <w:shd w:val="clear" w:color="auto" w:fill="FFFFFF"/>
            <w:tcMar>
              <w:top w:w="0" w:type="dxa"/>
              <w:left w:w="108" w:type="dxa"/>
              <w:bottom w:w="0" w:type="dxa"/>
              <w:right w:w="108" w:type="dxa"/>
            </w:tcMar>
            <w:vAlign w:val="center"/>
          </w:tcPr>
          <w:p w14:paraId="4825278C" w14:textId="77777777" w:rsidR="005E00D7" w:rsidRPr="00422BF1" w:rsidRDefault="005E00D7" w:rsidP="002F48E8">
            <w:pPr>
              <w:pStyle w:val="HTMLPreformatted"/>
              <w:shd w:val="clear" w:color="auto" w:fill="FFFFFF"/>
              <w:wordWrap w:val="0"/>
              <w:jc w:val="center"/>
              <w:rPr>
                <w:rFonts w:ascii="Arial" w:hAnsi="Arial" w:cs="Arial"/>
                <w:color w:val="000000"/>
              </w:rPr>
            </w:pPr>
            <w:r w:rsidRPr="00422BF1">
              <w:rPr>
                <w:rFonts w:ascii="Arial" w:hAnsi="Arial" w:cs="Arial"/>
                <w:b/>
                <w:bCs/>
                <w:color w:val="222222"/>
                <w:bdr w:val="none" w:sz="0" w:space="0" w:color="auto" w:frame="1"/>
                <w:shd w:val="clear" w:color="auto" w:fill="FFFFFF"/>
              </w:rPr>
              <w:t>PM</w:t>
            </w:r>
            <w:r w:rsidRPr="00422BF1">
              <w:rPr>
                <w:rFonts w:ascii="Arial" w:hAnsi="Arial" w:cs="Arial"/>
                <w:b/>
                <w:bCs/>
                <w:color w:val="222222"/>
                <w:bdr w:val="none" w:sz="0" w:space="0" w:color="auto" w:frame="1"/>
                <w:shd w:val="clear" w:color="auto" w:fill="FFFFFF"/>
                <w:vertAlign w:val="subscript"/>
              </w:rPr>
              <w:t>2.5</w:t>
            </w:r>
          </w:p>
        </w:tc>
        <w:tc>
          <w:tcPr>
            <w:tcW w:w="2054" w:type="dxa"/>
            <w:shd w:val="clear" w:color="auto" w:fill="FFFFFF"/>
            <w:tcMar>
              <w:top w:w="0" w:type="dxa"/>
              <w:left w:w="108" w:type="dxa"/>
              <w:bottom w:w="0" w:type="dxa"/>
              <w:right w:w="108" w:type="dxa"/>
            </w:tcMar>
            <w:vAlign w:val="center"/>
          </w:tcPr>
          <w:p w14:paraId="546B0325" w14:textId="77777777" w:rsidR="005E00D7" w:rsidRPr="00422BF1" w:rsidRDefault="005E00D7" w:rsidP="002F48E8">
            <w:pPr>
              <w:jc w:val="center"/>
              <w:rPr>
                <w:rFonts w:ascii="Arial" w:hAnsi="Arial" w:cs="Arial"/>
                <w:sz w:val="20"/>
                <w:szCs w:val="20"/>
              </w:rPr>
            </w:pPr>
            <w:r w:rsidRPr="00422BF1">
              <w:rPr>
                <w:rFonts w:ascii="Arial" w:hAnsi="Arial" w:cs="Arial"/>
                <w:b/>
                <w:bCs/>
                <w:color w:val="222222"/>
                <w:sz w:val="20"/>
                <w:szCs w:val="20"/>
                <w:bdr w:val="none" w:sz="0" w:space="0" w:color="auto" w:frame="1"/>
                <w:shd w:val="clear" w:color="auto" w:fill="FFFFFF"/>
              </w:rPr>
              <w:t>NO</w:t>
            </w:r>
            <w:r w:rsidRPr="00422BF1">
              <w:rPr>
                <w:rFonts w:ascii="Arial" w:hAnsi="Arial" w:cs="Arial"/>
                <w:b/>
                <w:bCs/>
                <w:color w:val="222222"/>
                <w:sz w:val="20"/>
                <w:szCs w:val="20"/>
                <w:bdr w:val="none" w:sz="0" w:space="0" w:color="auto" w:frame="1"/>
                <w:shd w:val="clear" w:color="auto" w:fill="FFFFFF"/>
                <w:vertAlign w:val="subscript"/>
              </w:rPr>
              <w:t>2</w:t>
            </w:r>
          </w:p>
        </w:tc>
        <w:tc>
          <w:tcPr>
            <w:tcW w:w="2058" w:type="dxa"/>
            <w:shd w:val="clear" w:color="auto" w:fill="FFFFFF"/>
            <w:tcMar>
              <w:top w:w="0" w:type="dxa"/>
              <w:left w:w="108" w:type="dxa"/>
              <w:bottom w:w="0" w:type="dxa"/>
              <w:right w:w="108" w:type="dxa"/>
            </w:tcMar>
            <w:vAlign w:val="center"/>
          </w:tcPr>
          <w:p w14:paraId="286481C1" w14:textId="77777777" w:rsidR="005E00D7" w:rsidRPr="00422BF1" w:rsidRDefault="005E00D7" w:rsidP="002F48E8">
            <w:pPr>
              <w:jc w:val="center"/>
              <w:rPr>
                <w:rFonts w:ascii="Arial" w:hAnsi="Arial" w:cs="Arial"/>
                <w:sz w:val="20"/>
                <w:szCs w:val="20"/>
              </w:rPr>
            </w:pPr>
            <w:r w:rsidRPr="00422BF1">
              <w:rPr>
                <w:rFonts w:ascii="Arial" w:hAnsi="Arial" w:cs="Arial"/>
                <w:b/>
                <w:bCs/>
                <w:color w:val="222222"/>
                <w:sz w:val="20"/>
                <w:szCs w:val="20"/>
                <w:bdr w:val="none" w:sz="0" w:space="0" w:color="auto" w:frame="1"/>
                <w:shd w:val="clear" w:color="auto" w:fill="FFFFFF"/>
              </w:rPr>
              <w:t>O</w:t>
            </w:r>
            <w:r w:rsidRPr="00422BF1">
              <w:rPr>
                <w:rFonts w:ascii="Arial" w:hAnsi="Arial" w:cs="Arial"/>
                <w:b/>
                <w:bCs/>
                <w:color w:val="222222"/>
                <w:sz w:val="20"/>
                <w:szCs w:val="20"/>
                <w:bdr w:val="none" w:sz="0" w:space="0" w:color="auto" w:frame="1"/>
                <w:shd w:val="clear" w:color="auto" w:fill="FFFFFF"/>
                <w:vertAlign w:val="subscript"/>
              </w:rPr>
              <w:t>3</w:t>
            </w:r>
          </w:p>
        </w:tc>
      </w:tr>
      <w:tr w:rsidR="005E00D7" w:rsidRPr="00422BF1" w14:paraId="4000E6D9" w14:textId="77777777" w:rsidTr="002F48E8">
        <w:trPr>
          <w:trHeight w:val="338"/>
        </w:trPr>
        <w:tc>
          <w:tcPr>
            <w:tcW w:w="1165" w:type="dxa"/>
            <w:vMerge w:val="restart"/>
            <w:shd w:val="clear" w:color="auto" w:fill="FFFFFF"/>
            <w:tcMar>
              <w:top w:w="0" w:type="dxa"/>
              <w:left w:w="108" w:type="dxa"/>
              <w:bottom w:w="0" w:type="dxa"/>
              <w:right w:w="108" w:type="dxa"/>
            </w:tcMar>
            <w:vAlign w:val="center"/>
            <w:hideMark/>
          </w:tcPr>
          <w:p w14:paraId="50477B6C" w14:textId="77777777" w:rsidR="005E00D7" w:rsidRPr="00422BF1" w:rsidRDefault="005E00D7" w:rsidP="002F48E8">
            <w:pPr>
              <w:spacing w:line="235" w:lineRule="atLeast"/>
              <w:rPr>
                <w:rFonts w:ascii="Arial" w:hAnsi="Arial" w:cs="Arial"/>
                <w:b/>
                <w:bCs/>
                <w:color w:val="000000"/>
                <w:sz w:val="20"/>
                <w:szCs w:val="20"/>
              </w:rPr>
            </w:pPr>
            <w:r w:rsidRPr="00422BF1">
              <w:rPr>
                <w:rFonts w:ascii="Arial" w:hAnsi="Arial" w:cs="Arial"/>
                <w:b/>
                <w:bCs/>
                <w:color w:val="000000"/>
                <w:sz w:val="20"/>
                <w:szCs w:val="20"/>
                <w:bdr w:val="none" w:sz="0" w:space="0" w:color="auto" w:frame="1"/>
              </w:rPr>
              <w:t>Dementia</w:t>
            </w:r>
          </w:p>
        </w:tc>
        <w:tc>
          <w:tcPr>
            <w:tcW w:w="3585" w:type="dxa"/>
            <w:shd w:val="clear" w:color="auto" w:fill="FFFFFF"/>
            <w:tcMar>
              <w:top w:w="0" w:type="dxa"/>
              <w:left w:w="108" w:type="dxa"/>
              <w:bottom w:w="0" w:type="dxa"/>
              <w:right w:w="108" w:type="dxa"/>
            </w:tcMar>
            <w:vAlign w:val="center"/>
          </w:tcPr>
          <w:p w14:paraId="6156C7CE"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 diabetes</w:t>
            </w:r>
          </w:p>
        </w:tc>
        <w:tc>
          <w:tcPr>
            <w:tcW w:w="2098" w:type="dxa"/>
            <w:shd w:val="clear" w:color="auto" w:fill="FFFFFF"/>
            <w:tcMar>
              <w:top w:w="0" w:type="dxa"/>
              <w:left w:w="108" w:type="dxa"/>
              <w:bottom w:w="0" w:type="dxa"/>
              <w:right w:w="108" w:type="dxa"/>
            </w:tcMar>
            <w:vAlign w:val="center"/>
          </w:tcPr>
          <w:p w14:paraId="593C276A" w14:textId="76C7B9E4" w:rsidR="005E00D7" w:rsidRPr="00422BF1" w:rsidRDefault="00CC56FE"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eastAsiaTheme="minorEastAsia"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1.058 (1.052, 1.064)</w:t>
            </w:r>
          </w:p>
        </w:tc>
        <w:tc>
          <w:tcPr>
            <w:tcW w:w="2054" w:type="dxa"/>
            <w:shd w:val="clear" w:color="auto" w:fill="FFFFFF"/>
            <w:tcMar>
              <w:top w:w="0" w:type="dxa"/>
              <w:left w:w="108" w:type="dxa"/>
              <w:bottom w:w="0" w:type="dxa"/>
              <w:right w:w="108" w:type="dxa"/>
            </w:tcMar>
            <w:vAlign w:val="center"/>
          </w:tcPr>
          <w:p w14:paraId="73C0F7D4" w14:textId="3D9FFEB1" w:rsidR="005E00D7" w:rsidRPr="00422BF1" w:rsidRDefault="004C58F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1.004 (0.997, 1.010)</w:t>
            </w:r>
          </w:p>
        </w:tc>
        <w:tc>
          <w:tcPr>
            <w:tcW w:w="2058" w:type="dxa"/>
            <w:shd w:val="clear" w:color="auto" w:fill="FFFFFF"/>
            <w:tcMar>
              <w:top w:w="0" w:type="dxa"/>
              <w:left w:w="108" w:type="dxa"/>
              <w:bottom w:w="0" w:type="dxa"/>
              <w:right w:w="108" w:type="dxa"/>
            </w:tcMar>
            <w:vAlign w:val="center"/>
          </w:tcPr>
          <w:p w14:paraId="4CF0768D" w14:textId="6F4DDA29" w:rsidR="005E00D7" w:rsidRPr="00422BF1" w:rsidRDefault="004C58F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0.993 (0.990, 0.996)</w:t>
            </w:r>
          </w:p>
        </w:tc>
      </w:tr>
      <w:tr w:rsidR="005E00D7" w:rsidRPr="00422BF1" w14:paraId="1BCBA76F" w14:textId="77777777" w:rsidTr="002F48E8">
        <w:trPr>
          <w:trHeight w:val="361"/>
        </w:trPr>
        <w:tc>
          <w:tcPr>
            <w:tcW w:w="1165" w:type="dxa"/>
            <w:vMerge/>
            <w:shd w:val="clear" w:color="auto" w:fill="FFFFFF"/>
            <w:vAlign w:val="center"/>
            <w:hideMark/>
          </w:tcPr>
          <w:p w14:paraId="7DA4F4AF" w14:textId="77777777" w:rsidR="005E00D7" w:rsidRPr="00422BF1" w:rsidRDefault="005E00D7" w:rsidP="002F48E8">
            <w:pPr>
              <w:spacing w:line="235" w:lineRule="atLeast"/>
              <w:rPr>
                <w:rFonts w:ascii="Arial" w:hAnsi="Arial" w:cs="Arial"/>
                <w:b/>
                <w:bCs/>
                <w:color w:val="000000"/>
                <w:sz w:val="20"/>
                <w:szCs w:val="20"/>
              </w:rPr>
            </w:pPr>
          </w:p>
        </w:tc>
        <w:tc>
          <w:tcPr>
            <w:tcW w:w="3585" w:type="dxa"/>
            <w:shd w:val="clear" w:color="auto" w:fill="FFFFFF"/>
            <w:tcMar>
              <w:top w:w="0" w:type="dxa"/>
              <w:left w:w="108" w:type="dxa"/>
              <w:bottom w:w="0" w:type="dxa"/>
              <w:right w:w="108" w:type="dxa"/>
            </w:tcMar>
            <w:vAlign w:val="center"/>
          </w:tcPr>
          <w:p w14:paraId="3C4BE652"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 hypertension</w:t>
            </w:r>
          </w:p>
        </w:tc>
        <w:tc>
          <w:tcPr>
            <w:tcW w:w="2098" w:type="dxa"/>
            <w:shd w:val="clear" w:color="auto" w:fill="FFFFFF"/>
            <w:tcMar>
              <w:top w:w="0" w:type="dxa"/>
              <w:left w:w="108" w:type="dxa"/>
              <w:bottom w:w="0" w:type="dxa"/>
              <w:right w:w="108" w:type="dxa"/>
            </w:tcMar>
            <w:vAlign w:val="center"/>
          </w:tcPr>
          <w:p w14:paraId="46CF9E4C" w14:textId="5C0C7A66" w:rsidR="005E00D7" w:rsidRPr="00422BF1" w:rsidRDefault="003079D9"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1.051 (1.045, 1.057)</w:t>
            </w:r>
          </w:p>
        </w:tc>
        <w:tc>
          <w:tcPr>
            <w:tcW w:w="2054" w:type="dxa"/>
            <w:shd w:val="clear" w:color="auto" w:fill="FFFFFF"/>
            <w:tcMar>
              <w:top w:w="0" w:type="dxa"/>
              <w:left w:w="108" w:type="dxa"/>
              <w:bottom w:w="0" w:type="dxa"/>
              <w:right w:w="108" w:type="dxa"/>
            </w:tcMar>
            <w:vAlign w:val="center"/>
          </w:tcPr>
          <w:p w14:paraId="25F8A087" w14:textId="5ACB5FDD" w:rsidR="005E00D7" w:rsidRPr="00422BF1" w:rsidRDefault="003079D9"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1.014 (1.008, 1.021)</w:t>
            </w:r>
          </w:p>
        </w:tc>
        <w:tc>
          <w:tcPr>
            <w:tcW w:w="2058" w:type="dxa"/>
            <w:shd w:val="clear" w:color="auto" w:fill="FFFFFF"/>
            <w:tcMar>
              <w:top w:w="0" w:type="dxa"/>
              <w:left w:w="108" w:type="dxa"/>
              <w:bottom w:w="0" w:type="dxa"/>
              <w:right w:w="108" w:type="dxa"/>
            </w:tcMar>
            <w:vAlign w:val="center"/>
          </w:tcPr>
          <w:p w14:paraId="4E33297E" w14:textId="1397180E" w:rsidR="005E00D7" w:rsidRPr="00422BF1" w:rsidRDefault="003079D9"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0.992 (0.988, 0.995)</w:t>
            </w:r>
          </w:p>
        </w:tc>
      </w:tr>
      <w:tr w:rsidR="005E00D7" w:rsidRPr="00422BF1" w14:paraId="232695A3" w14:textId="77777777" w:rsidTr="002F48E8">
        <w:trPr>
          <w:trHeight w:val="338"/>
        </w:trPr>
        <w:tc>
          <w:tcPr>
            <w:tcW w:w="1165" w:type="dxa"/>
            <w:vMerge/>
            <w:shd w:val="clear" w:color="auto" w:fill="FFFFFF"/>
            <w:tcMar>
              <w:top w:w="0" w:type="dxa"/>
              <w:left w:w="108" w:type="dxa"/>
              <w:bottom w:w="0" w:type="dxa"/>
              <w:right w:w="108" w:type="dxa"/>
            </w:tcMar>
            <w:vAlign w:val="center"/>
            <w:hideMark/>
          </w:tcPr>
          <w:p w14:paraId="6EE30CF0" w14:textId="77777777" w:rsidR="005E00D7" w:rsidRPr="00422BF1" w:rsidRDefault="005E00D7" w:rsidP="002F48E8">
            <w:pPr>
              <w:spacing w:line="235" w:lineRule="atLeast"/>
              <w:rPr>
                <w:rFonts w:ascii="Arial" w:hAnsi="Arial" w:cs="Arial"/>
                <w:b/>
                <w:bCs/>
                <w:color w:val="000000"/>
                <w:sz w:val="20"/>
                <w:szCs w:val="20"/>
              </w:rPr>
            </w:pPr>
          </w:p>
        </w:tc>
        <w:tc>
          <w:tcPr>
            <w:tcW w:w="3585" w:type="dxa"/>
            <w:shd w:val="clear" w:color="auto" w:fill="FFFFFF"/>
            <w:tcMar>
              <w:top w:w="0" w:type="dxa"/>
              <w:left w:w="108" w:type="dxa"/>
              <w:bottom w:w="0" w:type="dxa"/>
              <w:right w:w="108" w:type="dxa"/>
            </w:tcMar>
            <w:vAlign w:val="center"/>
          </w:tcPr>
          <w:p w14:paraId="17743532"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 stroke</w:t>
            </w:r>
          </w:p>
        </w:tc>
        <w:tc>
          <w:tcPr>
            <w:tcW w:w="2098" w:type="dxa"/>
            <w:shd w:val="clear" w:color="auto" w:fill="FFFFFF"/>
            <w:tcMar>
              <w:top w:w="0" w:type="dxa"/>
              <w:left w:w="108" w:type="dxa"/>
              <w:bottom w:w="0" w:type="dxa"/>
              <w:right w:w="108" w:type="dxa"/>
            </w:tcMar>
            <w:vAlign w:val="center"/>
          </w:tcPr>
          <w:p w14:paraId="6029891E" w14:textId="7C9EDB41" w:rsidR="005E00D7" w:rsidRPr="00422BF1" w:rsidRDefault="00A33D1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1.051 (1.046, 1.057)</w:t>
            </w:r>
          </w:p>
        </w:tc>
        <w:tc>
          <w:tcPr>
            <w:tcW w:w="2054" w:type="dxa"/>
            <w:shd w:val="clear" w:color="auto" w:fill="FFFFFF"/>
            <w:tcMar>
              <w:top w:w="0" w:type="dxa"/>
              <w:left w:w="108" w:type="dxa"/>
              <w:bottom w:w="0" w:type="dxa"/>
              <w:right w:w="108" w:type="dxa"/>
            </w:tcMar>
            <w:vAlign w:val="center"/>
          </w:tcPr>
          <w:p w14:paraId="347E2874" w14:textId="20E9137C" w:rsidR="005E00D7" w:rsidRPr="00422BF1" w:rsidRDefault="00A33D1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1.013 (1.007, 1.020)</w:t>
            </w:r>
          </w:p>
        </w:tc>
        <w:tc>
          <w:tcPr>
            <w:tcW w:w="2058" w:type="dxa"/>
            <w:shd w:val="clear" w:color="auto" w:fill="FFFFFF"/>
            <w:tcMar>
              <w:top w:w="0" w:type="dxa"/>
              <w:left w:w="108" w:type="dxa"/>
              <w:bottom w:w="0" w:type="dxa"/>
              <w:right w:w="108" w:type="dxa"/>
            </w:tcMar>
            <w:vAlign w:val="center"/>
          </w:tcPr>
          <w:p w14:paraId="66E2BAD6" w14:textId="65716482" w:rsidR="005E00D7" w:rsidRPr="00422BF1" w:rsidRDefault="00A33D1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0.991 (0.988, 0.994)</w:t>
            </w:r>
          </w:p>
        </w:tc>
      </w:tr>
      <w:tr w:rsidR="005E00D7" w:rsidRPr="00422BF1" w14:paraId="300C4D61" w14:textId="77777777" w:rsidTr="002F48E8">
        <w:trPr>
          <w:trHeight w:val="384"/>
        </w:trPr>
        <w:tc>
          <w:tcPr>
            <w:tcW w:w="1165" w:type="dxa"/>
            <w:vMerge/>
            <w:shd w:val="clear" w:color="auto" w:fill="FFFFFF"/>
            <w:vAlign w:val="center"/>
            <w:hideMark/>
          </w:tcPr>
          <w:p w14:paraId="1A47454A" w14:textId="77777777" w:rsidR="005E00D7" w:rsidRPr="00422BF1" w:rsidRDefault="005E00D7" w:rsidP="002F48E8">
            <w:pPr>
              <w:rPr>
                <w:rFonts w:ascii="Arial" w:hAnsi="Arial" w:cs="Arial"/>
                <w:b/>
                <w:bCs/>
                <w:color w:val="000000"/>
                <w:sz w:val="20"/>
                <w:szCs w:val="20"/>
              </w:rPr>
            </w:pPr>
          </w:p>
        </w:tc>
        <w:tc>
          <w:tcPr>
            <w:tcW w:w="3585" w:type="dxa"/>
            <w:shd w:val="clear" w:color="auto" w:fill="FFFFFF"/>
            <w:tcMar>
              <w:top w:w="0" w:type="dxa"/>
              <w:left w:w="108" w:type="dxa"/>
              <w:bottom w:w="0" w:type="dxa"/>
              <w:right w:w="108" w:type="dxa"/>
            </w:tcMar>
            <w:vAlign w:val="center"/>
          </w:tcPr>
          <w:p w14:paraId="3B39EEC4"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 heart failure</w:t>
            </w:r>
          </w:p>
        </w:tc>
        <w:tc>
          <w:tcPr>
            <w:tcW w:w="2098" w:type="dxa"/>
            <w:shd w:val="clear" w:color="auto" w:fill="FFFFFF"/>
            <w:tcMar>
              <w:top w:w="0" w:type="dxa"/>
              <w:left w:w="108" w:type="dxa"/>
              <w:bottom w:w="0" w:type="dxa"/>
              <w:right w:w="108" w:type="dxa"/>
            </w:tcMar>
            <w:vAlign w:val="center"/>
          </w:tcPr>
          <w:p w14:paraId="3889A899" w14:textId="35A40635" w:rsidR="005E00D7" w:rsidRPr="00422BF1" w:rsidRDefault="00402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1.052 (1.046, 1.058)</w:t>
            </w:r>
          </w:p>
        </w:tc>
        <w:tc>
          <w:tcPr>
            <w:tcW w:w="2054" w:type="dxa"/>
            <w:shd w:val="clear" w:color="auto" w:fill="FFFFFF"/>
            <w:tcMar>
              <w:top w:w="0" w:type="dxa"/>
              <w:left w:w="108" w:type="dxa"/>
              <w:bottom w:w="0" w:type="dxa"/>
              <w:right w:w="108" w:type="dxa"/>
            </w:tcMar>
            <w:vAlign w:val="center"/>
          </w:tcPr>
          <w:p w14:paraId="1415D5CB" w14:textId="5FBC64DE" w:rsidR="005E00D7" w:rsidRPr="00422BF1" w:rsidRDefault="00402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1.003 (0.997, 1.009)</w:t>
            </w:r>
          </w:p>
        </w:tc>
        <w:tc>
          <w:tcPr>
            <w:tcW w:w="2058" w:type="dxa"/>
            <w:shd w:val="clear" w:color="auto" w:fill="FFFFFF"/>
            <w:tcMar>
              <w:top w:w="0" w:type="dxa"/>
              <w:left w:w="108" w:type="dxa"/>
              <w:bottom w:w="0" w:type="dxa"/>
              <w:right w:w="108" w:type="dxa"/>
            </w:tcMar>
            <w:vAlign w:val="center"/>
          </w:tcPr>
          <w:p w14:paraId="24B788EA" w14:textId="500E823F" w:rsidR="005E00D7" w:rsidRPr="00422BF1" w:rsidRDefault="00402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0.992 (0.988, 0.995)</w:t>
            </w:r>
          </w:p>
        </w:tc>
      </w:tr>
      <w:tr w:rsidR="005E00D7" w:rsidRPr="00422BF1" w14:paraId="3E2F63E7" w14:textId="77777777" w:rsidTr="002F48E8">
        <w:trPr>
          <w:trHeight w:val="338"/>
        </w:trPr>
        <w:tc>
          <w:tcPr>
            <w:tcW w:w="1165" w:type="dxa"/>
            <w:vMerge/>
            <w:shd w:val="clear" w:color="auto" w:fill="FFFFFF"/>
            <w:tcMar>
              <w:top w:w="0" w:type="dxa"/>
              <w:left w:w="108" w:type="dxa"/>
              <w:bottom w:w="0" w:type="dxa"/>
              <w:right w:w="108" w:type="dxa"/>
            </w:tcMar>
            <w:vAlign w:val="center"/>
          </w:tcPr>
          <w:p w14:paraId="630149F1" w14:textId="77777777" w:rsidR="005E00D7" w:rsidRPr="00422BF1" w:rsidRDefault="005E00D7" w:rsidP="002F48E8">
            <w:pPr>
              <w:spacing w:line="235" w:lineRule="atLeast"/>
              <w:rPr>
                <w:rFonts w:ascii="Arial" w:hAnsi="Arial" w:cs="Arial"/>
                <w:b/>
                <w:bCs/>
                <w:color w:val="000000"/>
                <w:sz w:val="20"/>
                <w:szCs w:val="20"/>
                <w:bdr w:val="none" w:sz="0" w:space="0" w:color="auto" w:frame="1"/>
              </w:rPr>
            </w:pPr>
          </w:p>
        </w:tc>
        <w:tc>
          <w:tcPr>
            <w:tcW w:w="3585" w:type="dxa"/>
            <w:shd w:val="clear" w:color="auto" w:fill="FFFFFF"/>
            <w:tcMar>
              <w:top w:w="0" w:type="dxa"/>
              <w:left w:w="108" w:type="dxa"/>
              <w:bottom w:w="0" w:type="dxa"/>
              <w:right w:w="108" w:type="dxa"/>
            </w:tcMar>
            <w:vAlign w:val="center"/>
          </w:tcPr>
          <w:p w14:paraId="437E9C3C"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among no comorbidities</w:t>
            </w:r>
          </w:p>
        </w:tc>
        <w:tc>
          <w:tcPr>
            <w:tcW w:w="2098" w:type="dxa"/>
            <w:shd w:val="clear" w:color="auto" w:fill="FFFFFF"/>
            <w:tcMar>
              <w:top w:w="0" w:type="dxa"/>
              <w:left w:w="108" w:type="dxa"/>
              <w:bottom w:w="0" w:type="dxa"/>
              <w:right w:w="108" w:type="dxa"/>
            </w:tcMar>
            <w:vAlign w:val="center"/>
          </w:tcPr>
          <w:p w14:paraId="6B3C8309" w14:textId="715F9294" w:rsidR="005E00D7" w:rsidRPr="00422BF1" w:rsidRDefault="004046AF"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1.061 (1.048, 1.075)</w:t>
            </w:r>
          </w:p>
        </w:tc>
        <w:tc>
          <w:tcPr>
            <w:tcW w:w="2054" w:type="dxa"/>
            <w:shd w:val="clear" w:color="auto" w:fill="FFFFFF"/>
            <w:tcMar>
              <w:top w:w="0" w:type="dxa"/>
              <w:left w:w="108" w:type="dxa"/>
              <w:bottom w:w="0" w:type="dxa"/>
              <w:right w:w="108" w:type="dxa"/>
            </w:tcMar>
            <w:vAlign w:val="center"/>
          </w:tcPr>
          <w:p w14:paraId="0B7BD6ED" w14:textId="523779C5" w:rsidR="005E00D7" w:rsidRPr="00422BF1" w:rsidRDefault="004046AF"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0.922 (0.910, 0.935)</w:t>
            </w:r>
          </w:p>
        </w:tc>
        <w:tc>
          <w:tcPr>
            <w:tcW w:w="2058" w:type="dxa"/>
            <w:shd w:val="clear" w:color="auto" w:fill="FFFFFF"/>
            <w:tcMar>
              <w:top w:w="0" w:type="dxa"/>
              <w:left w:w="108" w:type="dxa"/>
              <w:bottom w:w="0" w:type="dxa"/>
              <w:right w:w="108" w:type="dxa"/>
            </w:tcMar>
            <w:vAlign w:val="center"/>
          </w:tcPr>
          <w:p w14:paraId="28F0EFE1" w14:textId="2CFDFD30" w:rsidR="005E00D7" w:rsidRPr="00422BF1" w:rsidRDefault="004046AF"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1.029 (1.021, 1.037)</w:t>
            </w:r>
          </w:p>
        </w:tc>
      </w:tr>
      <w:tr w:rsidR="005E00D7" w:rsidRPr="00422BF1" w14:paraId="1D555963" w14:textId="77777777" w:rsidTr="002F48E8">
        <w:trPr>
          <w:trHeight w:val="338"/>
        </w:trPr>
        <w:tc>
          <w:tcPr>
            <w:tcW w:w="1165" w:type="dxa"/>
            <w:vMerge w:val="restart"/>
            <w:shd w:val="clear" w:color="auto" w:fill="FFFFFF"/>
            <w:tcMar>
              <w:top w:w="0" w:type="dxa"/>
              <w:left w:w="108" w:type="dxa"/>
              <w:bottom w:w="0" w:type="dxa"/>
              <w:right w:w="108" w:type="dxa"/>
            </w:tcMar>
            <w:vAlign w:val="center"/>
            <w:hideMark/>
          </w:tcPr>
          <w:p w14:paraId="3B18749A" w14:textId="77777777" w:rsidR="005E00D7" w:rsidRPr="00422BF1" w:rsidRDefault="005E00D7" w:rsidP="002F48E8">
            <w:pPr>
              <w:spacing w:line="235" w:lineRule="atLeast"/>
              <w:rPr>
                <w:rFonts w:ascii="Arial" w:hAnsi="Arial" w:cs="Arial"/>
                <w:b/>
                <w:bCs/>
                <w:color w:val="000000"/>
                <w:sz w:val="20"/>
                <w:szCs w:val="20"/>
              </w:rPr>
            </w:pPr>
            <w:r w:rsidRPr="00422BF1">
              <w:rPr>
                <w:rFonts w:ascii="Arial" w:hAnsi="Arial" w:cs="Arial"/>
                <w:b/>
                <w:bCs/>
                <w:color w:val="000000"/>
                <w:sz w:val="20"/>
                <w:szCs w:val="20"/>
                <w:bdr w:val="none" w:sz="0" w:space="0" w:color="auto" w:frame="1"/>
              </w:rPr>
              <w:t>AD</w:t>
            </w:r>
          </w:p>
        </w:tc>
        <w:tc>
          <w:tcPr>
            <w:tcW w:w="3585" w:type="dxa"/>
            <w:shd w:val="clear" w:color="auto" w:fill="FFFFFF"/>
            <w:tcMar>
              <w:top w:w="0" w:type="dxa"/>
              <w:left w:w="108" w:type="dxa"/>
              <w:bottom w:w="0" w:type="dxa"/>
              <w:right w:w="108" w:type="dxa"/>
            </w:tcMar>
            <w:vAlign w:val="center"/>
          </w:tcPr>
          <w:p w14:paraId="343E1010" w14:textId="77777777" w:rsidR="005E00D7" w:rsidRPr="00422BF1" w:rsidRDefault="005E00D7" w:rsidP="002F48E8">
            <w:pPr>
              <w:spacing w:line="235" w:lineRule="atLeast"/>
              <w:rPr>
                <w:rFonts w:ascii="Arial" w:hAnsi="Arial" w:cs="Arial"/>
                <w:color w:val="000000"/>
                <w:sz w:val="20"/>
                <w:szCs w:val="20"/>
              </w:rPr>
            </w:pPr>
            <w:r w:rsidRPr="00422BF1">
              <w:rPr>
                <w:rFonts w:ascii="Arial" w:hAnsi="Arial" w:cs="Arial"/>
                <w:color w:val="000000"/>
                <w:sz w:val="20"/>
                <w:szCs w:val="20"/>
                <w:bdr w:val="none" w:sz="0" w:space="0" w:color="auto" w:frame="1"/>
              </w:rPr>
              <w:t>Main model + diabetes</w:t>
            </w:r>
          </w:p>
        </w:tc>
        <w:tc>
          <w:tcPr>
            <w:tcW w:w="2098" w:type="dxa"/>
            <w:shd w:val="clear" w:color="auto" w:fill="FFFFFF"/>
            <w:tcMar>
              <w:top w:w="0" w:type="dxa"/>
              <w:left w:w="108" w:type="dxa"/>
              <w:bottom w:w="0" w:type="dxa"/>
              <w:right w:w="108" w:type="dxa"/>
            </w:tcMar>
            <w:vAlign w:val="center"/>
          </w:tcPr>
          <w:p w14:paraId="4BFB00AA" w14:textId="4A36AB39" w:rsidR="005E00D7" w:rsidRPr="00422BF1" w:rsidRDefault="007A2A33"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1.077 (1.069, 1.084)</w:t>
            </w:r>
          </w:p>
        </w:tc>
        <w:tc>
          <w:tcPr>
            <w:tcW w:w="2054" w:type="dxa"/>
            <w:shd w:val="clear" w:color="auto" w:fill="FFFFFF"/>
            <w:tcMar>
              <w:top w:w="0" w:type="dxa"/>
              <w:left w:w="108" w:type="dxa"/>
              <w:bottom w:w="0" w:type="dxa"/>
              <w:right w:w="108" w:type="dxa"/>
            </w:tcMar>
            <w:vAlign w:val="center"/>
          </w:tcPr>
          <w:p w14:paraId="77556534" w14:textId="3E560C8F" w:rsidR="005E00D7" w:rsidRPr="00422BF1" w:rsidRDefault="007A2A33"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1.022 (1.014, 1.030)</w:t>
            </w:r>
          </w:p>
        </w:tc>
        <w:tc>
          <w:tcPr>
            <w:tcW w:w="2058" w:type="dxa"/>
            <w:shd w:val="clear" w:color="auto" w:fill="FFFFFF"/>
            <w:tcMar>
              <w:top w:w="0" w:type="dxa"/>
              <w:left w:w="108" w:type="dxa"/>
              <w:bottom w:w="0" w:type="dxa"/>
              <w:right w:w="108" w:type="dxa"/>
            </w:tcMar>
            <w:vAlign w:val="center"/>
          </w:tcPr>
          <w:p w14:paraId="221867DD" w14:textId="07DD2427" w:rsidR="005E00D7" w:rsidRPr="00422BF1" w:rsidRDefault="007A2A33"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0.983 (0.979, 0.988)</w:t>
            </w:r>
          </w:p>
        </w:tc>
      </w:tr>
      <w:tr w:rsidR="005E00D7" w:rsidRPr="00422BF1" w14:paraId="5A5CDC62" w14:textId="77777777" w:rsidTr="002F48E8">
        <w:trPr>
          <w:trHeight w:val="361"/>
        </w:trPr>
        <w:tc>
          <w:tcPr>
            <w:tcW w:w="1165" w:type="dxa"/>
            <w:vMerge/>
            <w:shd w:val="clear" w:color="auto" w:fill="FFFFFF"/>
            <w:vAlign w:val="center"/>
            <w:hideMark/>
          </w:tcPr>
          <w:p w14:paraId="6E52E51B" w14:textId="77777777" w:rsidR="005E00D7" w:rsidRPr="00422BF1" w:rsidRDefault="005E00D7" w:rsidP="002F48E8">
            <w:pPr>
              <w:spacing w:line="235" w:lineRule="atLeast"/>
              <w:rPr>
                <w:rFonts w:ascii="Arial" w:hAnsi="Arial" w:cs="Arial"/>
                <w:color w:val="000000"/>
                <w:sz w:val="20"/>
                <w:szCs w:val="20"/>
              </w:rPr>
            </w:pPr>
          </w:p>
        </w:tc>
        <w:tc>
          <w:tcPr>
            <w:tcW w:w="3585" w:type="dxa"/>
            <w:shd w:val="clear" w:color="auto" w:fill="FFFFFF"/>
            <w:tcMar>
              <w:top w:w="0" w:type="dxa"/>
              <w:left w:w="108" w:type="dxa"/>
              <w:bottom w:w="0" w:type="dxa"/>
              <w:right w:w="108" w:type="dxa"/>
            </w:tcMar>
            <w:vAlign w:val="center"/>
          </w:tcPr>
          <w:p w14:paraId="7D2C3B36" w14:textId="77777777" w:rsidR="005E00D7" w:rsidRPr="00422BF1" w:rsidRDefault="005E00D7" w:rsidP="002F48E8">
            <w:pPr>
              <w:spacing w:line="235" w:lineRule="atLeast"/>
              <w:rPr>
                <w:rFonts w:ascii="Arial" w:hAnsi="Arial" w:cs="Arial"/>
                <w:color w:val="000000"/>
                <w:sz w:val="20"/>
                <w:szCs w:val="20"/>
              </w:rPr>
            </w:pPr>
            <w:r w:rsidRPr="00422BF1">
              <w:rPr>
                <w:rFonts w:ascii="Arial" w:hAnsi="Arial" w:cs="Arial"/>
                <w:color w:val="000000"/>
                <w:sz w:val="20"/>
                <w:szCs w:val="20"/>
                <w:bdr w:val="none" w:sz="0" w:space="0" w:color="auto" w:frame="1"/>
              </w:rPr>
              <w:t>Main model + hypertension</w:t>
            </w:r>
          </w:p>
        </w:tc>
        <w:tc>
          <w:tcPr>
            <w:tcW w:w="2098" w:type="dxa"/>
            <w:shd w:val="clear" w:color="auto" w:fill="FFFFFF"/>
            <w:tcMar>
              <w:top w:w="0" w:type="dxa"/>
              <w:left w:w="108" w:type="dxa"/>
              <w:bottom w:w="0" w:type="dxa"/>
              <w:right w:w="108" w:type="dxa"/>
            </w:tcMar>
            <w:vAlign w:val="center"/>
          </w:tcPr>
          <w:p w14:paraId="24E870F1" w14:textId="200B3CCE" w:rsidR="005E00D7" w:rsidRPr="00422BF1" w:rsidRDefault="00A90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1.072 (1.064, 1.080)</w:t>
            </w:r>
          </w:p>
        </w:tc>
        <w:tc>
          <w:tcPr>
            <w:tcW w:w="2054" w:type="dxa"/>
            <w:shd w:val="clear" w:color="auto" w:fill="FFFFFF"/>
            <w:tcMar>
              <w:top w:w="0" w:type="dxa"/>
              <w:left w:w="108" w:type="dxa"/>
              <w:bottom w:w="0" w:type="dxa"/>
              <w:right w:w="108" w:type="dxa"/>
            </w:tcMar>
            <w:vAlign w:val="center"/>
          </w:tcPr>
          <w:p w14:paraId="04419DCE" w14:textId="62EB0156" w:rsidR="005E00D7" w:rsidRPr="00422BF1" w:rsidRDefault="00A90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1.027 (1.019, 1.036)</w:t>
            </w:r>
          </w:p>
        </w:tc>
        <w:tc>
          <w:tcPr>
            <w:tcW w:w="2058" w:type="dxa"/>
            <w:shd w:val="clear" w:color="auto" w:fill="FFFFFF"/>
            <w:tcMar>
              <w:top w:w="0" w:type="dxa"/>
              <w:left w:w="108" w:type="dxa"/>
              <w:bottom w:w="0" w:type="dxa"/>
              <w:right w:w="108" w:type="dxa"/>
            </w:tcMar>
            <w:vAlign w:val="center"/>
          </w:tcPr>
          <w:p w14:paraId="644F898D" w14:textId="2F2BD616" w:rsidR="005E00D7" w:rsidRPr="00422BF1" w:rsidRDefault="00A9042A"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0.983 (0.978, 0.987)</w:t>
            </w:r>
          </w:p>
        </w:tc>
      </w:tr>
      <w:tr w:rsidR="005E00D7" w:rsidRPr="00422BF1" w14:paraId="1FE56411" w14:textId="77777777" w:rsidTr="002F48E8">
        <w:trPr>
          <w:trHeight w:val="361"/>
        </w:trPr>
        <w:tc>
          <w:tcPr>
            <w:tcW w:w="1165" w:type="dxa"/>
            <w:vMerge/>
            <w:shd w:val="clear" w:color="auto" w:fill="FFFFFF"/>
            <w:tcMar>
              <w:top w:w="0" w:type="dxa"/>
              <w:left w:w="108" w:type="dxa"/>
              <w:bottom w:w="0" w:type="dxa"/>
              <w:right w:w="108" w:type="dxa"/>
            </w:tcMar>
            <w:vAlign w:val="center"/>
            <w:hideMark/>
          </w:tcPr>
          <w:p w14:paraId="377F869A" w14:textId="77777777" w:rsidR="005E00D7" w:rsidRPr="00422BF1" w:rsidRDefault="005E00D7" w:rsidP="002F48E8">
            <w:pPr>
              <w:spacing w:line="235" w:lineRule="atLeast"/>
              <w:rPr>
                <w:rFonts w:ascii="Arial" w:hAnsi="Arial" w:cs="Arial"/>
                <w:color w:val="000000"/>
                <w:sz w:val="20"/>
                <w:szCs w:val="20"/>
              </w:rPr>
            </w:pPr>
          </w:p>
        </w:tc>
        <w:tc>
          <w:tcPr>
            <w:tcW w:w="3585" w:type="dxa"/>
            <w:shd w:val="clear" w:color="auto" w:fill="FFFFFF"/>
            <w:tcMar>
              <w:top w:w="0" w:type="dxa"/>
              <w:left w:w="108" w:type="dxa"/>
              <w:bottom w:w="0" w:type="dxa"/>
              <w:right w:w="108" w:type="dxa"/>
            </w:tcMar>
            <w:vAlign w:val="center"/>
          </w:tcPr>
          <w:p w14:paraId="325B841C" w14:textId="77777777" w:rsidR="005E00D7" w:rsidRPr="00422BF1" w:rsidRDefault="005E00D7" w:rsidP="002F48E8">
            <w:pPr>
              <w:spacing w:line="235" w:lineRule="atLeast"/>
              <w:rPr>
                <w:rFonts w:ascii="Arial" w:hAnsi="Arial" w:cs="Arial"/>
                <w:color w:val="000000"/>
                <w:sz w:val="20"/>
                <w:szCs w:val="20"/>
              </w:rPr>
            </w:pPr>
            <w:r w:rsidRPr="00422BF1">
              <w:rPr>
                <w:rFonts w:ascii="Arial" w:hAnsi="Arial" w:cs="Arial"/>
                <w:color w:val="000000"/>
                <w:sz w:val="20"/>
                <w:szCs w:val="20"/>
                <w:bdr w:val="none" w:sz="0" w:space="0" w:color="auto" w:frame="1"/>
              </w:rPr>
              <w:t>Main model + stroke</w:t>
            </w:r>
          </w:p>
        </w:tc>
        <w:tc>
          <w:tcPr>
            <w:tcW w:w="2098" w:type="dxa"/>
            <w:shd w:val="clear" w:color="auto" w:fill="FFFFFF"/>
            <w:tcMar>
              <w:top w:w="0" w:type="dxa"/>
              <w:left w:w="108" w:type="dxa"/>
              <w:bottom w:w="0" w:type="dxa"/>
              <w:right w:w="108" w:type="dxa"/>
            </w:tcMar>
            <w:vAlign w:val="center"/>
          </w:tcPr>
          <w:p w14:paraId="7BE7E88E" w14:textId="195C3C32" w:rsidR="005E00D7" w:rsidRPr="00422BF1" w:rsidRDefault="00500EF6"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1.071 (1.064, 1.079)</w:t>
            </w:r>
          </w:p>
        </w:tc>
        <w:tc>
          <w:tcPr>
            <w:tcW w:w="2054" w:type="dxa"/>
            <w:shd w:val="clear" w:color="auto" w:fill="FFFFFF"/>
            <w:tcMar>
              <w:top w:w="0" w:type="dxa"/>
              <w:left w:w="108" w:type="dxa"/>
              <w:bottom w:w="0" w:type="dxa"/>
              <w:right w:w="108" w:type="dxa"/>
            </w:tcMar>
            <w:vAlign w:val="center"/>
          </w:tcPr>
          <w:p w14:paraId="0AD18D3F" w14:textId="685328D9" w:rsidR="005E00D7" w:rsidRPr="00422BF1" w:rsidRDefault="00500EF6"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1.027 (1.018, 1.035)</w:t>
            </w:r>
          </w:p>
        </w:tc>
        <w:tc>
          <w:tcPr>
            <w:tcW w:w="2058" w:type="dxa"/>
            <w:shd w:val="clear" w:color="auto" w:fill="FFFFFF"/>
            <w:tcMar>
              <w:top w:w="0" w:type="dxa"/>
              <w:left w:w="108" w:type="dxa"/>
              <w:bottom w:w="0" w:type="dxa"/>
              <w:right w:w="108" w:type="dxa"/>
            </w:tcMar>
            <w:vAlign w:val="center"/>
          </w:tcPr>
          <w:p w14:paraId="24244E87" w14:textId="31CD0CCF" w:rsidR="005E00D7" w:rsidRPr="00422BF1" w:rsidRDefault="00500EF6"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0.983 (0.978, 0.987)</w:t>
            </w:r>
          </w:p>
        </w:tc>
      </w:tr>
      <w:tr w:rsidR="005E00D7" w:rsidRPr="00422BF1" w14:paraId="0F1BCA43" w14:textId="77777777" w:rsidTr="002F48E8">
        <w:trPr>
          <w:trHeight w:val="361"/>
        </w:trPr>
        <w:tc>
          <w:tcPr>
            <w:tcW w:w="1165" w:type="dxa"/>
            <w:vMerge/>
            <w:shd w:val="clear" w:color="auto" w:fill="FFFFFF"/>
            <w:vAlign w:val="center"/>
            <w:hideMark/>
          </w:tcPr>
          <w:p w14:paraId="3E3C9D8B" w14:textId="77777777" w:rsidR="005E00D7" w:rsidRPr="00422BF1" w:rsidRDefault="005E00D7" w:rsidP="002F48E8">
            <w:pPr>
              <w:rPr>
                <w:rFonts w:ascii="Arial" w:hAnsi="Arial" w:cs="Arial"/>
                <w:color w:val="000000"/>
                <w:sz w:val="20"/>
                <w:szCs w:val="20"/>
              </w:rPr>
            </w:pPr>
          </w:p>
        </w:tc>
        <w:tc>
          <w:tcPr>
            <w:tcW w:w="3585" w:type="dxa"/>
            <w:shd w:val="clear" w:color="auto" w:fill="FFFFFF"/>
            <w:tcMar>
              <w:top w:w="0" w:type="dxa"/>
              <w:left w:w="108" w:type="dxa"/>
              <w:bottom w:w="0" w:type="dxa"/>
              <w:right w:w="108" w:type="dxa"/>
            </w:tcMar>
            <w:vAlign w:val="center"/>
          </w:tcPr>
          <w:p w14:paraId="3674AE45" w14:textId="77777777" w:rsidR="005E00D7" w:rsidRPr="00422BF1" w:rsidRDefault="005E00D7" w:rsidP="002F48E8">
            <w:pPr>
              <w:spacing w:line="235" w:lineRule="atLeast"/>
              <w:rPr>
                <w:rFonts w:ascii="Arial" w:hAnsi="Arial" w:cs="Arial"/>
                <w:color w:val="000000"/>
                <w:sz w:val="20"/>
                <w:szCs w:val="20"/>
              </w:rPr>
            </w:pPr>
            <w:r w:rsidRPr="00422BF1">
              <w:rPr>
                <w:rFonts w:ascii="Arial" w:hAnsi="Arial" w:cs="Arial"/>
                <w:color w:val="000000"/>
                <w:sz w:val="20"/>
                <w:szCs w:val="20"/>
                <w:bdr w:val="none" w:sz="0" w:space="0" w:color="auto" w:frame="1"/>
              </w:rPr>
              <w:t>Main model + heart failure</w:t>
            </w:r>
          </w:p>
        </w:tc>
        <w:tc>
          <w:tcPr>
            <w:tcW w:w="2098" w:type="dxa"/>
            <w:shd w:val="clear" w:color="auto" w:fill="FFFFFF"/>
            <w:tcMar>
              <w:top w:w="0" w:type="dxa"/>
              <w:left w:w="108" w:type="dxa"/>
              <w:bottom w:w="0" w:type="dxa"/>
              <w:right w:w="108" w:type="dxa"/>
            </w:tcMar>
            <w:vAlign w:val="center"/>
          </w:tcPr>
          <w:p w14:paraId="354E5F90" w14:textId="01A97B02"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1.074 (1.066, 1.081)</w:t>
            </w:r>
          </w:p>
        </w:tc>
        <w:tc>
          <w:tcPr>
            <w:tcW w:w="2054" w:type="dxa"/>
            <w:shd w:val="clear" w:color="auto" w:fill="FFFFFF"/>
            <w:tcMar>
              <w:top w:w="0" w:type="dxa"/>
              <w:left w:w="108" w:type="dxa"/>
              <w:bottom w:w="0" w:type="dxa"/>
              <w:right w:w="108" w:type="dxa"/>
            </w:tcMar>
            <w:vAlign w:val="center"/>
          </w:tcPr>
          <w:p w14:paraId="1AB4F0A1" w14:textId="6BA38F8D"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1.022 (1.014, 1.031)</w:t>
            </w:r>
          </w:p>
        </w:tc>
        <w:tc>
          <w:tcPr>
            <w:tcW w:w="2058" w:type="dxa"/>
            <w:shd w:val="clear" w:color="auto" w:fill="FFFFFF"/>
            <w:tcMar>
              <w:top w:w="0" w:type="dxa"/>
              <w:left w:w="108" w:type="dxa"/>
              <w:bottom w:w="0" w:type="dxa"/>
              <w:right w:w="108" w:type="dxa"/>
            </w:tcMar>
            <w:vAlign w:val="center"/>
          </w:tcPr>
          <w:p w14:paraId="2A8017BF" w14:textId="4CB4F1EF"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0.983 (0.978, 0.987)</w:t>
            </w:r>
          </w:p>
        </w:tc>
      </w:tr>
      <w:tr w:rsidR="005E00D7" w:rsidRPr="00422BF1" w14:paraId="389A7742" w14:textId="77777777" w:rsidTr="002F48E8">
        <w:trPr>
          <w:trHeight w:val="361"/>
        </w:trPr>
        <w:tc>
          <w:tcPr>
            <w:tcW w:w="1165" w:type="dxa"/>
            <w:vMerge/>
            <w:shd w:val="clear" w:color="auto" w:fill="FFFFFF"/>
            <w:vAlign w:val="center"/>
          </w:tcPr>
          <w:p w14:paraId="382B37F1" w14:textId="77777777" w:rsidR="005E00D7" w:rsidRPr="00422BF1" w:rsidRDefault="005E00D7" w:rsidP="002F48E8">
            <w:pPr>
              <w:rPr>
                <w:rFonts w:ascii="Arial" w:hAnsi="Arial" w:cs="Arial"/>
                <w:color w:val="000000"/>
                <w:sz w:val="20"/>
                <w:szCs w:val="20"/>
              </w:rPr>
            </w:pPr>
          </w:p>
        </w:tc>
        <w:tc>
          <w:tcPr>
            <w:tcW w:w="3585" w:type="dxa"/>
            <w:shd w:val="clear" w:color="auto" w:fill="FFFFFF"/>
            <w:tcMar>
              <w:top w:w="0" w:type="dxa"/>
              <w:left w:w="108" w:type="dxa"/>
              <w:bottom w:w="0" w:type="dxa"/>
              <w:right w:w="108" w:type="dxa"/>
            </w:tcMar>
            <w:vAlign w:val="center"/>
          </w:tcPr>
          <w:p w14:paraId="6D0DFCF4" w14:textId="77777777" w:rsidR="005E00D7" w:rsidRPr="00422BF1" w:rsidRDefault="005E00D7" w:rsidP="002F48E8">
            <w:pPr>
              <w:spacing w:line="235" w:lineRule="atLeast"/>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Main model among no comorbidities</w:t>
            </w:r>
          </w:p>
        </w:tc>
        <w:tc>
          <w:tcPr>
            <w:tcW w:w="2098" w:type="dxa"/>
            <w:shd w:val="clear" w:color="auto" w:fill="FFFFFF"/>
            <w:tcMar>
              <w:top w:w="0" w:type="dxa"/>
              <w:left w:w="108" w:type="dxa"/>
              <w:bottom w:w="0" w:type="dxa"/>
              <w:right w:w="108" w:type="dxa"/>
            </w:tcMar>
            <w:vAlign w:val="center"/>
          </w:tcPr>
          <w:p w14:paraId="4CAE05C4" w14:textId="26C0C76A"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1.062 (1.044, 1.080)</w:t>
            </w:r>
          </w:p>
        </w:tc>
        <w:tc>
          <w:tcPr>
            <w:tcW w:w="2054" w:type="dxa"/>
            <w:shd w:val="clear" w:color="auto" w:fill="FFFFFF"/>
            <w:tcMar>
              <w:top w:w="0" w:type="dxa"/>
              <w:left w:w="108" w:type="dxa"/>
              <w:bottom w:w="0" w:type="dxa"/>
              <w:right w:w="108" w:type="dxa"/>
            </w:tcMar>
            <w:vAlign w:val="center"/>
          </w:tcPr>
          <w:p w14:paraId="4B20040C" w14:textId="67CE379D"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0.900 (0.882, 0.917)</w:t>
            </w:r>
          </w:p>
        </w:tc>
        <w:tc>
          <w:tcPr>
            <w:tcW w:w="2058" w:type="dxa"/>
            <w:shd w:val="clear" w:color="auto" w:fill="FFFFFF"/>
            <w:tcMar>
              <w:top w:w="0" w:type="dxa"/>
              <w:left w:w="108" w:type="dxa"/>
              <w:bottom w:w="0" w:type="dxa"/>
              <w:right w:w="108" w:type="dxa"/>
            </w:tcMar>
            <w:vAlign w:val="center"/>
          </w:tcPr>
          <w:p w14:paraId="26482404" w14:textId="6B98BBB8" w:rsidR="005E00D7" w:rsidRPr="00422BF1" w:rsidRDefault="00680D30" w:rsidP="002F4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000000"/>
                <w:sz w:val="20"/>
                <w:szCs w:val="20"/>
                <w:bdr w:val="none" w:sz="0" w:space="0" w:color="auto" w:frame="1"/>
              </w:rPr>
            </w:pPr>
            <w:r w:rsidRPr="00422BF1">
              <w:rPr>
                <w:rFonts w:ascii="Arial" w:hAnsi="Arial" w:cs="Arial"/>
                <w:color w:val="000000"/>
                <w:sz w:val="20"/>
                <w:szCs w:val="20"/>
                <w:bdr w:val="none" w:sz="0" w:space="0" w:color="auto" w:frame="1"/>
              </w:rPr>
              <w:t>1.021 (1.011, 1.032)</w:t>
            </w:r>
          </w:p>
        </w:tc>
      </w:tr>
    </w:tbl>
    <w:p w14:paraId="6D1F56CC" w14:textId="77777777" w:rsidR="005E00D7" w:rsidRPr="006A3BEE" w:rsidRDefault="005E00D7" w:rsidP="005E00D7">
      <w:pPr>
        <w:pStyle w:val="NormalWeb"/>
        <w:spacing w:before="0" w:beforeAutospacing="0" w:after="200" w:afterAutospacing="0"/>
        <w:rPr>
          <w:rFonts w:ascii="Arial" w:hAnsi="Arial" w:cs="Arial"/>
        </w:rPr>
      </w:pPr>
    </w:p>
    <w:p w14:paraId="474C435F" w14:textId="53C17BE3" w:rsidR="00986BCC" w:rsidRPr="006A3BEE" w:rsidRDefault="00986BCC" w:rsidP="0076223E">
      <w:pPr>
        <w:rPr>
          <w:rFonts w:ascii="Arial" w:hAnsi="Arial" w:cs="Arial"/>
        </w:rPr>
      </w:pPr>
    </w:p>
    <w:p w14:paraId="40BA8E47" w14:textId="77777777" w:rsidR="00986BCC" w:rsidRPr="006A3BEE" w:rsidRDefault="00986BCC" w:rsidP="0076223E">
      <w:pPr>
        <w:rPr>
          <w:rFonts w:ascii="Arial" w:hAnsi="Arial" w:cs="Arial"/>
        </w:rPr>
      </w:pPr>
    </w:p>
    <w:p w14:paraId="17E9F30B" w14:textId="77777777" w:rsidR="009758B8" w:rsidRPr="006A3BEE" w:rsidRDefault="009758B8">
      <w:pPr>
        <w:rPr>
          <w:rFonts w:ascii="Arial" w:hAnsi="Arial" w:cs="Arial"/>
        </w:rPr>
      </w:pPr>
      <w:r w:rsidRPr="006A3BEE">
        <w:rPr>
          <w:rFonts w:ascii="Arial" w:hAnsi="Arial" w:cs="Arial"/>
        </w:rPr>
        <w:br w:type="page"/>
      </w:r>
    </w:p>
    <w:p w14:paraId="33CFC71E" w14:textId="17AE0658" w:rsidR="00300902" w:rsidRPr="006A3BEE" w:rsidRDefault="00DF23BA" w:rsidP="0076223E">
      <w:pPr>
        <w:rPr>
          <w:rFonts w:ascii="Arial" w:hAnsi="Arial" w:cs="Arial"/>
        </w:rPr>
      </w:pPr>
      <w:r w:rsidRPr="006A3BEE">
        <w:rPr>
          <w:rFonts w:ascii="Arial" w:hAnsi="Arial" w:cs="Arial"/>
          <w:b/>
          <w:bCs/>
          <w:sz w:val="22"/>
          <w:szCs w:val="22"/>
        </w:rPr>
        <w:lastRenderedPageBreak/>
        <w:t>Sensitivity analysis on outcome misclassification.</w:t>
      </w:r>
      <w:r w:rsidRPr="006A3BEE">
        <w:rPr>
          <w:rFonts w:ascii="Arial" w:hAnsi="Arial" w:cs="Arial"/>
        </w:rPr>
        <w:t xml:space="preserve"> </w:t>
      </w:r>
    </w:p>
    <w:p w14:paraId="0E5B34F1" w14:textId="77777777" w:rsidR="00300902" w:rsidRPr="006A3BEE" w:rsidRDefault="00300902" w:rsidP="0076223E">
      <w:pPr>
        <w:rPr>
          <w:rFonts w:ascii="Arial" w:hAnsi="Arial" w:cs="Arial"/>
        </w:rPr>
      </w:pPr>
    </w:p>
    <w:p w14:paraId="23E9C784" w14:textId="77777777" w:rsidR="00F56ED8" w:rsidRDefault="00DF23BA" w:rsidP="00F4169C">
      <w:pPr>
        <w:rPr>
          <w:rFonts w:ascii="Arial" w:hAnsi="Arial" w:cs="Arial"/>
          <w:sz w:val="22"/>
          <w:szCs w:val="22"/>
        </w:rPr>
      </w:pPr>
      <w:r w:rsidRPr="006A3BEE">
        <w:rPr>
          <w:rFonts w:ascii="Arial" w:hAnsi="Arial" w:cs="Arial"/>
          <w:sz w:val="22"/>
          <w:szCs w:val="22"/>
        </w:rPr>
        <w:t xml:space="preserve">We </w:t>
      </w:r>
      <w:r w:rsidR="00645884" w:rsidRPr="006A3BEE">
        <w:rPr>
          <w:rFonts w:ascii="Arial" w:hAnsi="Arial" w:cs="Arial"/>
          <w:sz w:val="22"/>
          <w:szCs w:val="22"/>
        </w:rPr>
        <w:t>conducted analyses to estimate the effect of possible outcome misclassification in two ways</w:t>
      </w:r>
      <w:r w:rsidR="00F56ED8">
        <w:rPr>
          <w:rFonts w:ascii="Arial" w:hAnsi="Arial" w:cs="Arial"/>
          <w:sz w:val="22"/>
          <w:szCs w:val="22"/>
        </w:rPr>
        <w:t>:</w:t>
      </w:r>
    </w:p>
    <w:p w14:paraId="0CFA4C3F" w14:textId="77777777" w:rsidR="00F56ED8" w:rsidRDefault="00F56ED8" w:rsidP="00F4169C">
      <w:pPr>
        <w:rPr>
          <w:rFonts w:ascii="Arial" w:hAnsi="Arial" w:cs="Arial"/>
          <w:sz w:val="22"/>
          <w:szCs w:val="22"/>
        </w:rPr>
      </w:pPr>
    </w:p>
    <w:p w14:paraId="4D2DB118" w14:textId="6FCD7D48" w:rsidR="00AC7038" w:rsidRDefault="00645884" w:rsidP="00F4169C">
      <w:pPr>
        <w:rPr>
          <w:rFonts w:ascii="Arial" w:hAnsi="Arial" w:cs="Arial"/>
          <w:color w:val="980000"/>
          <w:sz w:val="22"/>
          <w:szCs w:val="22"/>
        </w:rPr>
      </w:pPr>
      <w:r w:rsidRPr="006A3BEE">
        <w:rPr>
          <w:rFonts w:ascii="Arial" w:hAnsi="Arial" w:cs="Arial"/>
          <w:sz w:val="22"/>
          <w:szCs w:val="22"/>
        </w:rPr>
        <w:t xml:space="preserve">First, we fit linear regression models for the rate of dementia or AD (events/person-time) with a generalized estimating equation, which resulted in an </w:t>
      </w:r>
      <w:r w:rsidR="00DE2724" w:rsidRPr="00DE2724">
        <w:rPr>
          <w:rFonts w:ascii="Arial" w:hAnsi="Arial" w:cs="Arial"/>
          <w:sz w:val="22"/>
          <w:szCs w:val="22"/>
        </w:rPr>
        <w:t xml:space="preserve">estimate </w:t>
      </w:r>
      <w:r w:rsidRPr="006A3BEE">
        <w:rPr>
          <w:rFonts w:ascii="Arial" w:hAnsi="Arial" w:cs="Arial"/>
          <w:sz w:val="22"/>
          <w:szCs w:val="22"/>
        </w:rPr>
        <w:t>of the additive effect</w:t>
      </w:r>
      <w:r w:rsidR="00366A98">
        <w:rPr>
          <w:rFonts w:ascii="Arial" w:hAnsi="Arial" w:cs="Arial"/>
          <w:sz w:val="22"/>
          <w:szCs w:val="22"/>
        </w:rPr>
        <w:t xml:space="preserve"> less sensitive to bias</w:t>
      </w:r>
      <w:r w:rsidRPr="006A3BEE">
        <w:rPr>
          <w:rFonts w:ascii="Arial" w:hAnsi="Arial" w:cs="Arial"/>
          <w:sz w:val="22"/>
          <w:szCs w:val="22"/>
        </w:rPr>
        <w:t xml:space="preserve">. </w:t>
      </w:r>
      <w:r w:rsidR="006E70E1" w:rsidRPr="006A3BEE">
        <w:rPr>
          <w:rFonts w:ascii="Arial" w:hAnsi="Arial" w:cs="Arial"/>
          <w:sz w:val="22"/>
          <w:szCs w:val="22"/>
        </w:rPr>
        <w:t xml:space="preserve">The advantage is that in a linear model random misclassification of the outcome would </w:t>
      </w:r>
      <w:r w:rsidR="006E70E1">
        <w:rPr>
          <w:rFonts w:ascii="Arial" w:hAnsi="Arial" w:cs="Arial"/>
          <w:sz w:val="22"/>
          <w:szCs w:val="22"/>
        </w:rPr>
        <w:t xml:space="preserve">tend to </w:t>
      </w:r>
      <w:r w:rsidR="006E70E1" w:rsidRPr="006A3BEE">
        <w:rPr>
          <w:rFonts w:ascii="Arial" w:hAnsi="Arial" w:cs="Arial"/>
          <w:sz w:val="22"/>
          <w:szCs w:val="22"/>
        </w:rPr>
        <w:t xml:space="preserve">absorb into the residual errors of the linear model for the true counts </w:t>
      </w:r>
      <w:r w:rsidR="006E70E1">
        <w:rPr>
          <w:rFonts w:ascii="Arial" w:hAnsi="Arial" w:cs="Arial"/>
          <w:sz w:val="22"/>
          <w:szCs w:val="22"/>
        </w:rPr>
        <w:t xml:space="preserve">so that the outcome misclassification should be less likely to produce markedly </w:t>
      </w:r>
      <w:r w:rsidR="006E70E1" w:rsidRPr="006A3BEE">
        <w:rPr>
          <w:rFonts w:ascii="Arial" w:hAnsi="Arial" w:cs="Arial"/>
          <w:sz w:val="22"/>
          <w:szCs w:val="22"/>
        </w:rPr>
        <w:t>bias</w:t>
      </w:r>
      <w:r w:rsidR="006E70E1">
        <w:rPr>
          <w:rFonts w:ascii="Arial" w:hAnsi="Arial" w:cs="Arial"/>
          <w:sz w:val="22"/>
          <w:szCs w:val="22"/>
        </w:rPr>
        <w:t>ed</w:t>
      </w:r>
      <w:r w:rsidR="006E70E1" w:rsidRPr="006A3BEE">
        <w:rPr>
          <w:rFonts w:ascii="Arial" w:hAnsi="Arial" w:cs="Arial"/>
          <w:sz w:val="22"/>
          <w:szCs w:val="22"/>
        </w:rPr>
        <w:t xml:space="preserve"> coefficient</w:t>
      </w:r>
      <w:r w:rsidR="006E70E1">
        <w:rPr>
          <w:rFonts w:ascii="Arial" w:hAnsi="Arial" w:cs="Arial"/>
          <w:sz w:val="22"/>
          <w:szCs w:val="22"/>
        </w:rPr>
        <w:t xml:space="preserve"> estimates </w:t>
      </w:r>
      <w:r w:rsidR="006E70E1" w:rsidRPr="006A3BEE">
        <w:rPr>
          <w:rFonts w:ascii="Arial" w:hAnsi="Arial" w:cs="Arial"/>
          <w:sz w:val="22"/>
          <w:szCs w:val="22"/>
        </w:rPr>
        <w:t>(</w:t>
      </w:r>
      <w:r w:rsidR="006E70E1">
        <w:rPr>
          <w:rFonts w:ascii="Arial" w:hAnsi="Arial" w:cs="Arial"/>
          <w:sz w:val="22"/>
          <w:szCs w:val="22"/>
        </w:rPr>
        <w:t xml:space="preserve">e.g., </w:t>
      </w:r>
      <w:r w:rsidR="006E70E1" w:rsidRPr="006A3BEE">
        <w:rPr>
          <w:rFonts w:ascii="Arial" w:hAnsi="Arial" w:cs="Arial"/>
          <w:sz w:val="22"/>
          <w:szCs w:val="22"/>
        </w:rPr>
        <w:t>Hutcheon et al., 2020)</w:t>
      </w:r>
      <w:r w:rsidR="00A93274">
        <w:rPr>
          <w:rFonts w:ascii="Arial" w:hAnsi="Arial" w:cs="Arial"/>
          <w:sz w:val="22"/>
          <w:szCs w:val="22"/>
        </w:rPr>
        <w:fldChar w:fldCharType="begin"/>
      </w:r>
      <w:r w:rsidR="00A93274">
        <w:rPr>
          <w:rFonts w:ascii="Arial" w:hAnsi="Arial" w:cs="Arial"/>
          <w:sz w:val="22"/>
          <w:szCs w:val="22"/>
        </w:rPr>
        <w:instrText xml:space="preserve"> ADDIN EN.CITE &lt;EndNote&gt;&lt;Cite&gt;&lt;Author&gt;Hutcheon&lt;/Author&gt;&lt;Year&gt;2010&lt;/Year&gt;&lt;RecNum&gt;58&lt;/RecNum&gt;&lt;DisplayText&gt;&lt;style face="superscript"&gt;1&lt;/style&gt;&lt;/DisplayText&gt;&lt;record&gt;&lt;rec-number&gt;58&lt;/rec-number&gt;&lt;foreign-keys&gt;&lt;key app="EN" db-id="5rr2vvdxv9p2v7ex9arxxevxastztad0efad" timestamp="1618759574"&gt;58&lt;/key&gt;&lt;/foreign-keys&gt;&lt;ref-type name="Journal Article"&gt;17&lt;/ref-type&gt;&lt;contributors&gt;&lt;authors&gt;&lt;author&gt;Hutcheon, Jennifer A&lt;/author&gt;&lt;author&gt;Chiolero, Arnaud&lt;/author&gt;&lt;author&gt;Hanley, James A&lt;/author&gt;&lt;/authors&gt;&lt;/contributors&gt;&lt;titles&gt;&lt;title&gt;Random measurement error and regression dilution bias&lt;/title&gt;&lt;secondary-title&gt;Bmj&lt;/secondary-title&gt;&lt;/titles&gt;&lt;periodical&gt;&lt;full-title&gt;Bmj&lt;/full-title&gt;&lt;/periodical&gt;&lt;volume&gt;340&lt;/volume&gt;&lt;dates&gt;&lt;year&gt;2010&lt;/year&gt;&lt;/dates&gt;&lt;isbn&gt;0959-8138&lt;/isbn&gt;&lt;urls&gt;&lt;/urls&gt;&lt;/record&gt;&lt;/Cite&gt;&lt;/EndNote&gt;</w:instrText>
      </w:r>
      <w:r w:rsidR="00A93274">
        <w:rPr>
          <w:rFonts w:ascii="Arial" w:hAnsi="Arial" w:cs="Arial"/>
          <w:sz w:val="22"/>
          <w:szCs w:val="22"/>
        </w:rPr>
        <w:fldChar w:fldCharType="separate"/>
      </w:r>
      <w:r w:rsidR="00A93274" w:rsidRPr="00A93274">
        <w:rPr>
          <w:rFonts w:ascii="Arial" w:hAnsi="Arial" w:cs="Arial"/>
          <w:noProof/>
          <w:sz w:val="22"/>
          <w:szCs w:val="22"/>
          <w:vertAlign w:val="superscript"/>
        </w:rPr>
        <w:t>1</w:t>
      </w:r>
      <w:r w:rsidR="00A93274">
        <w:rPr>
          <w:rFonts w:ascii="Arial" w:hAnsi="Arial" w:cs="Arial"/>
          <w:sz w:val="22"/>
          <w:szCs w:val="22"/>
        </w:rPr>
        <w:fldChar w:fldCharType="end"/>
      </w:r>
      <w:r w:rsidRPr="006A3BEE">
        <w:rPr>
          <w:rFonts w:ascii="Arial" w:hAnsi="Arial" w:cs="Arial"/>
          <w:sz w:val="22"/>
          <w:szCs w:val="22"/>
        </w:rPr>
        <w:t>.</w:t>
      </w:r>
      <w:r w:rsidRPr="00F56ED8">
        <w:rPr>
          <w:rFonts w:ascii="Arial" w:hAnsi="Arial" w:cs="Arial"/>
          <w:sz w:val="22"/>
          <w:szCs w:val="22"/>
        </w:rPr>
        <w:t xml:space="preserve"> </w:t>
      </w:r>
      <w:r w:rsidR="00F56ED8" w:rsidRPr="00F56ED8">
        <w:rPr>
          <w:rFonts w:ascii="Arial" w:hAnsi="Arial" w:cs="Arial"/>
          <w:sz w:val="22"/>
          <w:szCs w:val="22"/>
        </w:rPr>
        <w:t xml:space="preserve">In the linear rate model, the outcome is rate, </w:t>
      </w:r>
      <w:r w:rsidR="00897460">
        <w:rPr>
          <w:rFonts w:ascii="Arial" w:hAnsi="Arial" w:cs="Arial"/>
          <w:sz w:val="22"/>
          <w:szCs w:val="22"/>
        </w:rPr>
        <w:t xml:space="preserve">and </w:t>
      </w:r>
      <w:r w:rsidR="00F56ED8" w:rsidRPr="00F56ED8">
        <w:rPr>
          <w:rFonts w:ascii="Arial" w:hAnsi="Arial" w:cs="Arial"/>
          <w:sz w:val="22"/>
          <w:szCs w:val="22"/>
        </w:rPr>
        <w:t xml:space="preserve">the coefficient of exposure is the incremental probability of the event </w:t>
      </w:r>
      <w:r w:rsidR="007F73EB">
        <w:rPr>
          <w:rFonts w:ascii="Arial" w:hAnsi="Arial" w:cs="Arial"/>
          <w:sz w:val="22"/>
          <w:szCs w:val="22"/>
        </w:rPr>
        <w:t>(i.e.</w:t>
      </w:r>
      <w:r w:rsidR="00020B6F">
        <w:rPr>
          <w:rFonts w:ascii="Arial" w:hAnsi="Arial" w:cs="Arial"/>
          <w:sz w:val="22"/>
          <w:szCs w:val="22"/>
        </w:rPr>
        <w:t>,</w:t>
      </w:r>
      <w:r w:rsidR="007F73EB">
        <w:rPr>
          <w:rFonts w:ascii="Arial" w:hAnsi="Arial" w:cs="Arial"/>
          <w:sz w:val="22"/>
          <w:szCs w:val="22"/>
        </w:rPr>
        <w:t xml:space="preserve"> </w:t>
      </w:r>
      <w:r w:rsidR="007F73EB" w:rsidRPr="007F73EB">
        <w:rPr>
          <w:rFonts w:ascii="Arial" w:hAnsi="Arial" w:cs="Arial"/>
          <w:sz w:val="22"/>
          <w:szCs w:val="22"/>
        </w:rPr>
        <w:t>the increase in rate</w:t>
      </w:r>
      <w:r w:rsidR="007F73EB">
        <w:rPr>
          <w:rFonts w:ascii="Arial" w:hAnsi="Arial" w:cs="Arial"/>
          <w:sz w:val="22"/>
          <w:szCs w:val="22"/>
        </w:rPr>
        <w:t xml:space="preserve">) </w:t>
      </w:r>
      <w:r w:rsidR="00F56ED8" w:rsidRPr="00F56ED8">
        <w:rPr>
          <w:rFonts w:ascii="Arial" w:hAnsi="Arial" w:cs="Arial"/>
          <w:sz w:val="22"/>
          <w:szCs w:val="22"/>
        </w:rPr>
        <w:t>for a unit change in exposure.</w:t>
      </w:r>
      <w:r w:rsidR="00F56ED8">
        <w:rPr>
          <w:rFonts w:ascii="Arial" w:hAnsi="Arial" w:cs="Arial"/>
          <w:sz w:val="22"/>
          <w:szCs w:val="22"/>
        </w:rPr>
        <w:t xml:space="preserve"> </w:t>
      </w:r>
    </w:p>
    <w:p w14:paraId="43A8ED3A" w14:textId="77777777" w:rsidR="00AC7038" w:rsidRDefault="00AC7038" w:rsidP="00F4169C">
      <w:pPr>
        <w:rPr>
          <w:rFonts w:ascii="Arial" w:hAnsi="Arial" w:cs="Arial"/>
          <w:color w:val="FF0000"/>
          <w:sz w:val="22"/>
          <w:szCs w:val="22"/>
        </w:rPr>
      </w:pPr>
    </w:p>
    <w:p w14:paraId="4CEF00C4" w14:textId="760B0795" w:rsidR="00AC7038" w:rsidRPr="000B1EF7" w:rsidRDefault="007E7842" w:rsidP="00F4169C">
      <w:pPr>
        <w:rPr>
          <w:rFonts w:ascii="Arial" w:hAnsi="Arial" w:cs="Arial"/>
          <w:color w:val="000000" w:themeColor="text1"/>
          <w:sz w:val="22"/>
          <w:szCs w:val="22"/>
        </w:rPr>
      </w:pPr>
      <w:r w:rsidRPr="000B1EF7">
        <w:rPr>
          <w:rFonts w:ascii="Arial" w:hAnsi="Arial" w:cs="Arial"/>
          <w:color w:val="000000" w:themeColor="text1"/>
          <w:sz w:val="22"/>
          <w:szCs w:val="22"/>
        </w:rPr>
        <w:t xml:space="preserve">Second, </w:t>
      </w:r>
      <w:r w:rsidR="00F4169C" w:rsidRPr="000B1EF7">
        <w:rPr>
          <w:rFonts w:ascii="Arial" w:hAnsi="Arial" w:cs="Arial"/>
          <w:color w:val="000000" w:themeColor="text1"/>
          <w:sz w:val="22"/>
          <w:szCs w:val="22"/>
        </w:rPr>
        <w:t>we considered the possible effect of outcome misclassification</w:t>
      </w:r>
      <w:r w:rsidR="00A565A5">
        <w:rPr>
          <w:rFonts w:ascii="Arial" w:hAnsi="Arial" w:cs="Arial"/>
          <w:color w:val="000000" w:themeColor="text1"/>
          <w:sz w:val="22"/>
          <w:szCs w:val="22"/>
        </w:rPr>
        <w:t>, in a manner</w:t>
      </w:r>
      <w:r w:rsidR="00F4169C" w:rsidRPr="000B1EF7">
        <w:rPr>
          <w:rFonts w:ascii="Arial" w:hAnsi="Arial" w:cs="Arial"/>
          <w:color w:val="000000" w:themeColor="text1"/>
          <w:sz w:val="22"/>
          <w:szCs w:val="22"/>
        </w:rPr>
        <w:t xml:space="preserve"> </w:t>
      </w:r>
      <w:r w:rsidR="00A565A5">
        <w:rPr>
          <w:rFonts w:ascii="Arial" w:hAnsi="Arial" w:cs="Arial"/>
          <w:color w:val="000000" w:themeColor="text1"/>
          <w:sz w:val="22"/>
          <w:szCs w:val="22"/>
        </w:rPr>
        <w:t>similar to the</w:t>
      </w:r>
      <w:r w:rsidR="00F4169C" w:rsidRPr="000B1EF7">
        <w:rPr>
          <w:rFonts w:ascii="Arial" w:hAnsi="Arial" w:cs="Arial"/>
          <w:color w:val="000000" w:themeColor="text1"/>
          <w:sz w:val="22"/>
          <w:szCs w:val="22"/>
        </w:rPr>
        <w:t xml:space="preserve"> methods described by Fox et al. (2005)</w:t>
      </w:r>
      <w:r w:rsidR="00A93274">
        <w:rPr>
          <w:rFonts w:ascii="Arial" w:hAnsi="Arial" w:cs="Arial"/>
          <w:color w:val="000000" w:themeColor="text1"/>
          <w:sz w:val="22"/>
          <w:szCs w:val="22"/>
        </w:rPr>
        <w:fldChar w:fldCharType="begin"/>
      </w:r>
      <w:r w:rsidR="00A93274">
        <w:rPr>
          <w:rFonts w:ascii="Arial" w:hAnsi="Arial" w:cs="Arial"/>
          <w:color w:val="000000" w:themeColor="text1"/>
          <w:sz w:val="22"/>
          <w:szCs w:val="22"/>
        </w:rPr>
        <w:instrText xml:space="preserve"> ADDIN EN.CITE &lt;EndNote&gt;&lt;Cite&gt;&lt;Author&gt;Fox&lt;/Author&gt;&lt;Year&gt;2005&lt;/Year&gt;&lt;RecNum&gt;136&lt;/RecNum&gt;&lt;DisplayText&gt;&lt;style face="superscript"&gt;2&lt;/style&gt;&lt;/DisplayText&gt;&lt;record&gt;&lt;rec-number&gt;136&lt;/rec-number&gt;&lt;foreign-keys&gt;&lt;key app="EN" db-id="5rr2vvdxv9p2v7ex9arxxevxastztad0efad" timestamp="1620155181"&gt;136&lt;/key&gt;&lt;/foreign-keys&gt;&lt;ref-type name="Journal Article"&gt;17&lt;/ref-type&gt;&lt;contributors&gt;&lt;authors&gt;&lt;author&gt;Fox, Matthew P&lt;/author&gt;&lt;author&gt;Lash, Timothy L&lt;/author&gt;&lt;author&gt;Greenland, Sander&lt;/author&gt;&lt;/authors&gt;&lt;/contributors&gt;&lt;titles&gt;&lt;title&gt;A method to automate probabilistic sensitivity analyses of misclassified binary variables&lt;/title&gt;&lt;secondary-title&gt;International journal of epidemiology&lt;/secondary-title&gt;&lt;/titles&gt;&lt;periodical&gt;&lt;full-title&gt;International Journal of Epidemiology&lt;/full-title&gt;&lt;/periodical&gt;&lt;pages&gt;1370-1376&lt;/pages&gt;&lt;volume&gt;34&lt;/volume&gt;&lt;number&gt;6&lt;/number&gt;&lt;dates&gt;&lt;year&gt;2005&lt;/year&gt;&lt;/dates&gt;&lt;isbn&gt;1464-3685&lt;/isbn&gt;&lt;urls&gt;&lt;/urls&gt;&lt;/record&gt;&lt;/Cite&gt;&lt;/EndNote&gt;</w:instrText>
      </w:r>
      <w:r w:rsidR="00A93274">
        <w:rPr>
          <w:rFonts w:ascii="Arial" w:hAnsi="Arial" w:cs="Arial"/>
          <w:color w:val="000000" w:themeColor="text1"/>
          <w:sz w:val="22"/>
          <w:szCs w:val="22"/>
        </w:rPr>
        <w:fldChar w:fldCharType="separate"/>
      </w:r>
      <w:r w:rsidR="00A93274" w:rsidRPr="00A93274">
        <w:rPr>
          <w:rFonts w:ascii="Arial" w:hAnsi="Arial" w:cs="Arial"/>
          <w:noProof/>
          <w:color w:val="000000" w:themeColor="text1"/>
          <w:sz w:val="22"/>
          <w:szCs w:val="22"/>
          <w:vertAlign w:val="superscript"/>
        </w:rPr>
        <w:t>2</w:t>
      </w:r>
      <w:r w:rsidR="00A93274">
        <w:rPr>
          <w:rFonts w:ascii="Arial" w:hAnsi="Arial" w:cs="Arial"/>
          <w:color w:val="000000" w:themeColor="text1"/>
          <w:sz w:val="22"/>
          <w:szCs w:val="22"/>
        </w:rPr>
        <w:fldChar w:fldCharType="end"/>
      </w:r>
      <w:r w:rsidR="00F4169C" w:rsidRPr="000B1EF7">
        <w:rPr>
          <w:rFonts w:ascii="Arial" w:hAnsi="Arial" w:cs="Arial"/>
          <w:color w:val="000000" w:themeColor="text1"/>
          <w:sz w:val="22"/>
          <w:szCs w:val="22"/>
        </w:rPr>
        <w:t>. We used estimates of misclassification from Taylor et al. (200</w:t>
      </w:r>
      <w:r w:rsidR="001535D0" w:rsidRPr="000B1EF7">
        <w:rPr>
          <w:rFonts w:ascii="Arial" w:hAnsi="Arial" w:cs="Arial"/>
          <w:color w:val="000000" w:themeColor="text1"/>
          <w:sz w:val="22"/>
          <w:szCs w:val="22"/>
        </w:rPr>
        <w:t>9</w:t>
      </w:r>
      <w:r w:rsidR="00B615B7" w:rsidRPr="000B1EF7">
        <w:rPr>
          <w:rFonts w:ascii="Arial" w:hAnsi="Arial" w:cs="Arial"/>
          <w:color w:val="000000" w:themeColor="text1"/>
          <w:sz w:val="22"/>
          <w:szCs w:val="22"/>
        </w:rPr>
        <w:t>)</w:t>
      </w:r>
      <w:r w:rsidR="00A93274">
        <w:rPr>
          <w:rFonts w:ascii="Arial" w:hAnsi="Arial" w:cs="Arial"/>
          <w:color w:val="000000" w:themeColor="text1"/>
          <w:sz w:val="22"/>
          <w:szCs w:val="22"/>
        </w:rPr>
        <w:fldChar w:fldCharType="begin"/>
      </w:r>
      <w:r w:rsidR="00A93274">
        <w:rPr>
          <w:rFonts w:ascii="Arial" w:hAnsi="Arial" w:cs="Arial"/>
          <w:color w:val="000000" w:themeColor="text1"/>
          <w:sz w:val="22"/>
          <w:szCs w:val="22"/>
        </w:rPr>
        <w:instrText xml:space="preserve"> ADDIN EN.CITE &lt;EndNote&gt;&lt;Cite&gt;&lt;Author&gt;Taylor Jr&lt;/Author&gt;&lt;Year&gt;2009&lt;/Year&gt;&lt;RecNum&gt;52&lt;/RecNum&gt;&lt;DisplayText&gt;&lt;style face="superscript"&gt;3&lt;/style&gt;&lt;/DisplayText&gt;&lt;record&gt;&lt;rec-number&gt;52&lt;/rec-number&gt;&lt;foreign-keys&gt;&lt;key app="EN" db-id="5rr2vvdxv9p2v7ex9arxxevxastztad0efad" timestamp="1597110664"&gt;52&lt;/key&gt;&lt;/foreign-keys&gt;&lt;ref-type name="Journal Article"&gt;17&lt;/ref-type&gt;&lt;contributors&gt;&lt;authors&gt;&lt;author&gt;Taylor Jr, Donald H&lt;/author&gt;&lt;author&gt;Østbye, Truls&lt;/author&gt;&lt;author&gt;Langa, Kenneth M&lt;/author&gt;&lt;author&gt;Weir, David&lt;/author&gt;&lt;author&gt;Plassman, Brenda L&lt;/author&gt;&lt;/authors&gt;&lt;/contributors&gt;&lt;titles&gt;&lt;title&gt;The accuracy of Medicare claims as an epidemiological tool: the case of dementia revisited&lt;/title&gt;&lt;secondary-title&gt;Journal of Alzheimer&amp;apos;s Disease&lt;/secondary-title&gt;&lt;/titles&gt;&lt;periodical&gt;&lt;full-title&gt;Journal of Alzheimer&amp;apos;s Disease&lt;/full-title&gt;&lt;/periodical&gt;&lt;pages&gt;807-815&lt;/pages&gt;&lt;volume&gt;17&lt;/volume&gt;&lt;number&gt;4&lt;/number&gt;&lt;dates&gt;&lt;year&gt;2009&lt;/year&gt;&lt;/dates&gt;&lt;isbn&gt;1387-2877&lt;/isbn&gt;&lt;urls&gt;&lt;/urls&gt;&lt;/record&gt;&lt;/Cite&gt;&lt;/EndNote&gt;</w:instrText>
      </w:r>
      <w:r w:rsidR="00A93274">
        <w:rPr>
          <w:rFonts w:ascii="Arial" w:hAnsi="Arial" w:cs="Arial"/>
          <w:color w:val="000000" w:themeColor="text1"/>
          <w:sz w:val="22"/>
          <w:szCs w:val="22"/>
        </w:rPr>
        <w:fldChar w:fldCharType="separate"/>
      </w:r>
      <w:r w:rsidR="00A93274" w:rsidRPr="00A93274">
        <w:rPr>
          <w:rFonts w:ascii="Arial" w:hAnsi="Arial" w:cs="Arial"/>
          <w:noProof/>
          <w:color w:val="000000" w:themeColor="text1"/>
          <w:sz w:val="22"/>
          <w:szCs w:val="22"/>
          <w:vertAlign w:val="superscript"/>
        </w:rPr>
        <w:t>3</w:t>
      </w:r>
      <w:r w:rsidR="00A93274">
        <w:rPr>
          <w:rFonts w:ascii="Arial" w:hAnsi="Arial" w:cs="Arial"/>
          <w:color w:val="000000" w:themeColor="text1"/>
          <w:sz w:val="22"/>
          <w:szCs w:val="22"/>
        </w:rPr>
        <w:fldChar w:fldCharType="end"/>
      </w:r>
      <w:r w:rsidR="00B615B7" w:rsidRPr="000B1EF7">
        <w:rPr>
          <w:rFonts w:ascii="Arial" w:hAnsi="Arial" w:cs="Arial"/>
          <w:color w:val="000000" w:themeColor="text1"/>
          <w:sz w:val="22"/>
          <w:szCs w:val="22"/>
        </w:rPr>
        <w:t xml:space="preserve"> and</w:t>
      </w:r>
      <w:r w:rsidR="00F4169C" w:rsidRPr="000B1EF7">
        <w:rPr>
          <w:rFonts w:ascii="Arial" w:hAnsi="Arial" w:cs="Arial"/>
          <w:color w:val="000000" w:themeColor="text1"/>
          <w:sz w:val="22"/>
          <w:szCs w:val="22"/>
        </w:rPr>
        <w:t xml:space="preserve"> adjusted the observed </w:t>
      </w:r>
      <w:r w:rsidR="00A565A5">
        <w:rPr>
          <w:rFonts w:ascii="Arial" w:hAnsi="Arial" w:cs="Arial"/>
          <w:color w:val="000000" w:themeColor="text1"/>
          <w:sz w:val="22"/>
          <w:szCs w:val="22"/>
        </w:rPr>
        <w:t>case counts</w:t>
      </w:r>
      <w:r w:rsidR="00F4169C" w:rsidRPr="000B1EF7">
        <w:rPr>
          <w:rFonts w:ascii="Arial" w:hAnsi="Arial" w:cs="Arial"/>
          <w:color w:val="000000" w:themeColor="text1"/>
          <w:sz w:val="22"/>
          <w:szCs w:val="22"/>
        </w:rPr>
        <w:t xml:space="preserve"> for each</w:t>
      </w:r>
      <w:r w:rsidR="00A565A5">
        <w:rPr>
          <w:rFonts w:ascii="Arial" w:hAnsi="Arial" w:cs="Arial"/>
          <w:color w:val="000000" w:themeColor="text1"/>
          <w:sz w:val="22"/>
          <w:szCs w:val="22"/>
        </w:rPr>
        <w:t xml:space="preserve"> zip code</w:t>
      </w:r>
      <w:r w:rsidR="00F4169C" w:rsidRPr="000B1EF7">
        <w:rPr>
          <w:rFonts w:ascii="Arial" w:hAnsi="Arial" w:cs="Arial"/>
          <w:color w:val="000000" w:themeColor="text1"/>
          <w:sz w:val="22"/>
          <w:szCs w:val="22"/>
        </w:rPr>
        <w:t xml:space="preserve"> </w:t>
      </w:r>
      <w:r w:rsidR="00D9485D" w:rsidRPr="000B1EF7">
        <w:rPr>
          <w:rFonts w:ascii="Arial" w:hAnsi="Arial" w:cs="Arial"/>
          <w:color w:val="000000" w:themeColor="text1"/>
          <w:sz w:val="22"/>
          <w:szCs w:val="22"/>
        </w:rPr>
        <w:t xml:space="preserve">in the stratified Poisson model </w:t>
      </w:r>
      <w:r w:rsidR="00F4169C" w:rsidRPr="000B1EF7">
        <w:rPr>
          <w:rFonts w:ascii="Arial" w:hAnsi="Arial" w:cs="Arial"/>
          <w:color w:val="000000" w:themeColor="text1"/>
          <w:sz w:val="22"/>
          <w:szCs w:val="22"/>
        </w:rPr>
        <w:t>to match up with the expected true values given pre-specified values for sensitivity and specificity for the outcome classification.</w:t>
      </w:r>
      <w:r w:rsidR="00A32CD9" w:rsidRPr="000B1EF7">
        <w:rPr>
          <w:rFonts w:ascii="Arial" w:hAnsi="Arial" w:cs="Arial"/>
          <w:color w:val="000000" w:themeColor="text1"/>
          <w:sz w:val="22"/>
          <w:szCs w:val="22"/>
        </w:rPr>
        <w:t xml:space="preserve">  </w:t>
      </w:r>
    </w:p>
    <w:p w14:paraId="196DE211" w14:textId="77777777" w:rsidR="00AC7038" w:rsidRPr="000B1EF7" w:rsidRDefault="00AC7038" w:rsidP="00F4169C">
      <w:pPr>
        <w:rPr>
          <w:rFonts w:ascii="Arial" w:hAnsi="Arial" w:cs="Arial"/>
          <w:color w:val="000000" w:themeColor="text1"/>
          <w:sz w:val="22"/>
          <w:szCs w:val="22"/>
        </w:rPr>
      </w:pPr>
    </w:p>
    <w:p w14:paraId="79699E12" w14:textId="03A90C85" w:rsidR="00F4169C" w:rsidRPr="000B1EF7" w:rsidRDefault="00A32CD9" w:rsidP="001535D0">
      <w:pPr>
        <w:rPr>
          <w:rFonts w:ascii="Arial" w:hAnsi="Arial" w:cs="Arial"/>
          <w:color w:val="000000" w:themeColor="text1"/>
          <w:sz w:val="22"/>
          <w:szCs w:val="22"/>
        </w:rPr>
      </w:pPr>
      <w:r w:rsidRPr="000B1EF7">
        <w:rPr>
          <w:rFonts w:ascii="Arial" w:hAnsi="Arial" w:cs="Arial"/>
          <w:color w:val="000000" w:themeColor="text1"/>
          <w:sz w:val="22"/>
          <w:szCs w:val="22"/>
        </w:rPr>
        <w:t>We first reduced the number of observation</w:t>
      </w:r>
      <w:r w:rsidR="00AC7038" w:rsidRPr="000B1EF7">
        <w:rPr>
          <w:rFonts w:ascii="Arial" w:hAnsi="Arial" w:cs="Arial"/>
          <w:color w:val="000000" w:themeColor="text1"/>
          <w:sz w:val="22"/>
          <w:szCs w:val="22"/>
        </w:rPr>
        <w:t xml:space="preserve">s in the stratified Poisson model by restricting to stratification by age and race, rather than all the co-variates included in the original Cox model, </w:t>
      </w:r>
      <w:proofErr w:type="gramStart"/>
      <w:r w:rsidR="00AC7038" w:rsidRPr="000B1EF7">
        <w:rPr>
          <w:rFonts w:ascii="Arial" w:hAnsi="Arial" w:cs="Arial"/>
          <w:color w:val="000000" w:themeColor="text1"/>
          <w:sz w:val="22"/>
          <w:szCs w:val="22"/>
        </w:rPr>
        <w:t>in order to</w:t>
      </w:r>
      <w:proofErr w:type="gramEnd"/>
      <w:r w:rsidR="00AC7038" w:rsidRPr="000B1EF7">
        <w:rPr>
          <w:rFonts w:ascii="Arial" w:hAnsi="Arial" w:cs="Arial"/>
          <w:color w:val="000000" w:themeColor="text1"/>
          <w:sz w:val="22"/>
          <w:szCs w:val="22"/>
        </w:rPr>
        <w:t xml:space="preserve"> avoid smaller strata with 0 disease counts. We then switched </w:t>
      </w:r>
      <w:r w:rsidR="007E24C4">
        <w:rPr>
          <w:rFonts w:ascii="Arial" w:hAnsi="Arial" w:cs="Arial"/>
          <w:color w:val="000000" w:themeColor="text1"/>
          <w:sz w:val="22"/>
          <w:szCs w:val="22"/>
        </w:rPr>
        <w:t xml:space="preserve">focus </w:t>
      </w:r>
      <w:r w:rsidR="00AC7038" w:rsidRPr="000B1EF7">
        <w:rPr>
          <w:rFonts w:ascii="Arial" w:hAnsi="Arial" w:cs="Arial"/>
          <w:color w:val="000000" w:themeColor="text1"/>
          <w:sz w:val="22"/>
          <w:szCs w:val="22"/>
        </w:rPr>
        <w:t xml:space="preserve">from person-time to </w:t>
      </w:r>
      <w:r w:rsidR="007E24C4">
        <w:rPr>
          <w:rFonts w:ascii="Arial" w:hAnsi="Arial" w:cs="Arial"/>
          <w:color w:val="000000" w:themeColor="text1"/>
          <w:sz w:val="22"/>
          <w:szCs w:val="22"/>
        </w:rPr>
        <w:t>case counts</w:t>
      </w:r>
      <w:r w:rsidR="00AC7038" w:rsidRPr="000B1EF7">
        <w:rPr>
          <w:rFonts w:ascii="Arial" w:hAnsi="Arial" w:cs="Arial"/>
          <w:color w:val="000000" w:themeColor="text1"/>
          <w:sz w:val="22"/>
          <w:szCs w:val="22"/>
        </w:rPr>
        <w:t xml:space="preserve">, </w:t>
      </w:r>
      <w:proofErr w:type="gramStart"/>
      <w:r w:rsidR="00AC7038" w:rsidRPr="000B1EF7">
        <w:rPr>
          <w:rFonts w:ascii="Arial" w:hAnsi="Arial" w:cs="Arial"/>
          <w:color w:val="000000" w:themeColor="text1"/>
          <w:sz w:val="22"/>
          <w:szCs w:val="22"/>
        </w:rPr>
        <w:t>in order to</w:t>
      </w:r>
      <w:proofErr w:type="gramEnd"/>
      <w:r w:rsidR="00AC7038" w:rsidRPr="000B1EF7">
        <w:rPr>
          <w:rFonts w:ascii="Arial" w:hAnsi="Arial" w:cs="Arial"/>
          <w:color w:val="000000" w:themeColor="text1"/>
          <w:sz w:val="22"/>
          <w:szCs w:val="22"/>
        </w:rPr>
        <w:t xml:space="preserve"> adjust the observed proportion of cases via our correction for misclassification. We also restricted the data so that each person </w:t>
      </w:r>
      <w:r w:rsidR="000E0C46">
        <w:rPr>
          <w:rFonts w:ascii="Arial" w:hAnsi="Arial" w:cs="Arial"/>
          <w:color w:val="000000" w:themeColor="text1"/>
          <w:sz w:val="22"/>
          <w:szCs w:val="22"/>
        </w:rPr>
        <w:t>was associated with</w:t>
      </w:r>
      <w:r w:rsidR="00AC7038" w:rsidRPr="000B1EF7">
        <w:rPr>
          <w:rFonts w:ascii="Arial" w:hAnsi="Arial" w:cs="Arial"/>
          <w:color w:val="000000" w:themeColor="text1"/>
          <w:sz w:val="22"/>
          <w:szCs w:val="22"/>
        </w:rPr>
        <w:t xml:space="preserve"> only one </w:t>
      </w:r>
      <w:r w:rsidR="001A7D35">
        <w:rPr>
          <w:rFonts w:ascii="Arial" w:hAnsi="Arial" w:cs="Arial"/>
          <w:color w:val="000000" w:themeColor="text1"/>
          <w:sz w:val="22"/>
          <w:szCs w:val="22"/>
        </w:rPr>
        <w:t>ZIP</w:t>
      </w:r>
      <w:r w:rsidR="00AC7038" w:rsidRPr="000B1EF7">
        <w:rPr>
          <w:rFonts w:ascii="Arial" w:hAnsi="Arial" w:cs="Arial"/>
          <w:color w:val="000000" w:themeColor="text1"/>
          <w:sz w:val="22"/>
          <w:szCs w:val="22"/>
        </w:rPr>
        <w:t xml:space="preserve"> code, which was the </w:t>
      </w:r>
      <w:r w:rsidR="001A7D35">
        <w:rPr>
          <w:rFonts w:ascii="Arial" w:hAnsi="Arial" w:cs="Arial"/>
          <w:color w:val="000000" w:themeColor="text1"/>
          <w:sz w:val="22"/>
          <w:szCs w:val="22"/>
        </w:rPr>
        <w:t>ZIP</w:t>
      </w:r>
      <w:r w:rsidR="00AC7038" w:rsidRPr="000B1EF7">
        <w:rPr>
          <w:rFonts w:ascii="Arial" w:hAnsi="Arial" w:cs="Arial"/>
          <w:color w:val="000000" w:themeColor="text1"/>
          <w:sz w:val="22"/>
          <w:szCs w:val="22"/>
        </w:rPr>
        <w:t xml:space="preserve"> code where he/she had lived the longest during the follow-up period. Then each person was assigned the exposure level of that </w:t>
      </w:r>
      <w:r w:rsidR="001A7D35">
        <w:rPr>
          <w:rFonts w:ascii="Arial" w:hAnsi="Arial" w:cs="Arial"/>
          <w:color w:val="000000" w:themeColor="text1"/>
          <w:sz w:val="22"/>
          <w:szCs w:val="22"/>
        </w:rPr>
        <w:t>ZIP</w:t>
      </w:r>
      <w:r w:rsidR="00AC7038" w:rsidRPr="000B1EF7">
        <w:rPr>
          <w:rFonts w:ascii="Arial" w:hAnsi="Arial" w:cs="Arial"/>
          <w:color w:val="000000" w:themeColor="text1"/>
          <w:sz w:val="22"/>
          <w:szCs w:val="22"/>
        </w:rPr>
        <w:t xml:space="preserve"> code. We used the log of the number of people in each </w:t>
      </w:r>
      <w:r w:rsidR="001A7D35">
        <w:rPr>
          <w:rFonts w:ascii="Arial" w:hAnsi="Arial" w:cs="Arial"/>
          <w:color w:val="000000" w:themeColor="text1"/>
          <w:sz w:val="22"/>
          <w:szCs w:val="22"/>
        </w:rPr>
        <w:t>ZIP</w:t>
      </w:r>
      <w:r w:rsidR="00AC7038" w:rsidRPr="000B1EF7">
        <w:rPr>
          <w:rFonts w:ascii="Arial" w:hAnsi="Arial" w:cs="Arial"/>
          <w:color w:val="000000" w:themeColor="text1"/>
          <w:sz w:val="22"/>
          <w:szCs w:val="22"/>
        </w:rPr>
        <w:t xml:space="preserve"> code as the offset </w:t>
      </w:r>
      <w:r w:rsidR="009155FA">
        <w:rPr>
          <w:rFonts w:ascii="Arial" w:hAnsi="Arial" w:cs="Arial"/>
          <w:color w:val="000000" w:themeColor="text1"/>
          <w:sz w:val="22"/>
          <w:szCs w:val="22"/>
        </w:rPr>
        <w:t xml:space="preserve">associated with </w:t>
      </w:r>
      <w:r w:rsidR="00A62894">
        <w:rPr>
          <w:rFonts w:ascii="Arial" w:hAnsi="Arial" w:cs="Arial"/>
          <w:color w:val="000000" w:themeColor="text1"/>
          <w:sz w:val="22"/>
          <w:szCs w:val="22"/>
        </w:rPr>
        <w:t>t</w:t>
      </w:r>
      <w:r w:rsidR="009155FA">
        <w:rPr>
          <w:rFonts w:ascii="Arial" w:hAnsi="Arial" w:cs="Arial"/>
          <w:color w:val="000000" w:themeColor="text1"/>
          <w:sz w:val="22"/>
          <w:szCs w:val="22"/>
        </w:rPr>
        <w:t>he corresponding record in the regression analysis</w:t>
      </w:r>
      <w:r w:rsidR="00AC7038" w:rsidRPr="000B1EF7">
        <w:rPr>
          <w:rFonts w:ascii="Arial" w:hAnsi="Arial" w:cs="Arial"/>
          <w:color w:val="000000" w:themeColor="text1"/>
          <w:sz w:val="22"/>
          <w:szCs w:val="22"/>
        </w:rPr>
        <w:t>. Using this new data, the original Cox model</w:t>
      </w:r>
      <w:r w:rsidR="00BA046B" w:rsidRPr="000B1EF7">
        <w:rPr>
          <w:rFonts w:ascii="Arial" w:hAnsi="Arial" w:cs="Arial"/>
          <w:color w:val="000000" w:themeColor="text1"/>
          <w:sz w:val="22"/>
          <w:szCs w:val="22"/>
        </w:rPr>
        <w:t xml:space="preserve"> exposure</w:t>
      </w:r>
      <w:r w:rsidR="00AC7038" w:rsidRPr="000B1EF7">
        <w:rPr>
          <w:rFonts w:ascii="Arial" w:hAnsi="Arial" w:cs="Arial"/>
          <w:color w:val="000000" w:themeColor="text1"/>
          <w:sz w:val="22"/>
          <w:szCs w:val="22"/>
        </w:rPr>
        <w:t xml:space="preserve"> coefficients, as well as the new </w:t>
      </w:r>
      <w:r w:rsidR="00BA046B" w:rsidRPr="000B1EF7">
        <w:rPr>
          <w:rFonts w:ascii="Arial" w:hAnsi="Arial" w:cs="Arial"/>
          <w:color w:val="000000" w:themeColor="text1"/>
          <w:sz w:val="22"/>
          <w:szCs w:val="22"/>
        </w:rPr>
        <w:t xml:space="preserve">exposure </w:t>
      </w:r>
      <w:r w:rsidR="00AC7038" w:rsidRPr="000B1EF7">
        <w:rPr>
          <w:rFonts w:ascii="Arial" w:hAnsi="Arial" w:cs="Arial"/>
          <w:color w:val="000000" w:themeColor="text1"/>
          <w:sz w:val="22"/>
          <w:szCs w:val="22"/>
        </w:rPr>
        <w:t>coefficient using a simplified Poisson model based on people rather than person-time, are shown in Table S</w:t>
      </w:r>
      <w:r w:rsidR="00A467BC">
        <w:rPr>
          <w:rFonts w:ascii="Arial" w:hAnsi="Arial" w:cs="Arial"/>
          <w:color w:val="000000" w:themeColor="text1"/>
          <w:sz w:val="22"/>
          <w:szCs w:val="22"/>
        </w:rPr>
        <w:t>5</w:t>
      </w:r>
      <w:r w:rsidR="00AC7038" w:rsidRPr="000B1EF7">
        <w:rPr>
          <w:rFonts w:ascii="Arial" w:hAnsi="Arial" w:cs="Arial"/>
          <w:color w:val="000000" w:themeColor="text1"/>
          <w:sz w:val="22"/>
          <w:szCs w:val="22"/>
        </w:rPr>
        <w:t>, based on the tri-pollutants models for both dementia and AD. Finally</w:t>
      </w:r>
      <w:r w:rsidR="001A7D35">
        <w:rPr>
          <w:rFonts w:ascii="Arial" w:hAnsi="Arial" w:cs="Arial"/>
          <w:color w:val="000000" w:themeColor="text1"/>
          <w:sz w:val="22"/>
          <w:szCs w:val="22"/>
        </w:rPr>
        <w:t>,</w:t>
      </w:r>
      <w:r w:rsidR="00AC7038" w:rsidRPr="000B1EF7">
        <w:rPr>
          <w:rFonts w:ascii="Arial" w:hAnsi="Arial" w:cs="Arial"/>
          <w:color w:val="000000" w:themeColor="text1"/>
          <w:sz w:val="22"/>
          <w:szCs w:val="22"/>
        </w:rPr>
        <w:t xml:space="preserve"> we corrected </w:t>
      </w:r>
      <w:r w:rsidR="00734300" w:rsidRPr="000B1EF7">
        <w:rPr>
          <w:rFonts w:ascii="Arial" w:hAnsi="Arial" w:cs="Arial"/>
          <w:color w:val="000000" w:themeColor="text1"/>
          <w:sz w:val="22"/>
          <w:szCs w:val="22"/>
        </w:rPr>
        <w:t xml:space="preserve">the data for misclassification using the observed </w:t>
      </w:r>
      <w:r w:rsidR="00A565A5">
        <w:rPr>
          <w:rFonts w:ascii="Arial" w:hAnsi="Arial" w:cs="Arial"/>
          <w:color w:val="000000" w:themeColor="text1"/>
          <w:sz w:val="22"/>
          <w:szCs w:val="22"/>
        </w:rPr>
        <w:t>error-prone case counts</w:t>
      </w:r>
      <w:r w:rsidR="00734300" w:rsidRPr="000B1EF7">
        <w:rPr>
          <w:rFonts w:ascii="Arial" w:hAnsi="Arial" w:cs="Arial"/>
          <w:color w:val="000000" w:themeColor="text1"/>
          <w:sz w:val="22"/>
          <w:szCs w:val="22"/>
        </w:rPr>
        <w:t xml:space="preserve"> of dement</w:t>
      </w:r>
      <w:r w:rsidR="001535D0" w:rsidRPr="000B1EF7">
        <w:rPr>
          <w:rFonts w:ascii="Arial" w:hAnsi="Arial" w:cs="Arial"/>
          <w:color w:val="000000" w:themeColor="text1"/>
          <w:sz w:val="22"/>
          <w:szCs w:val="22"/>
        </w:rPr>
        <w:t>i</w:t>
      </w:r>
      <w:r w:rsidR="00734300" w:rsidRPr="000B1EF7">
        <w:rPr>
          <w:rFonts w:ascii="Arial" w:hAnsi="Arial" w:cs="Arial"/>
          <w:color w:val="000000" w:themeColor="text1"/>
          <w:sz w:val="22"/>
          <w:szCs w:val="22"/>
        </w:rPr>
        <w:t xml:space="preserve">a and AD in each </w:t>
      </w:r>
      <w:r w:rsidR="00B51B4C">
        <w:rPr>
          <w:rFonts w:ascii="Arial" w:hAnsi="Arial" w:cs="Arial"/>
          <w:color w:val="000000" w:themeColor="text1"/>
          <w:sz w:val="22"/>
          <w:szCs w:val="22"/>
        </w:rPr>
        <w:t>ZIP</w:t>
      </w:r>
      <w:r w:rsidR="00734300" w:rsidRPr="000B1EF7">
        <w:rPr>
          <w:rFonts w:ascii="Arial" w:hAnsi="Arial" w:cs="Arial"/>
          <w:color w:val="000000" w:themeColor="text1"/>
          <w:sz w:val="22"/>
          <w:szCs w:val="22"/>
        </w:rPr>
        <w:t xml:space="preserve"> code</w:t>
      </w:r>
      <w:r w:rsidR="001535D0" w:rsidRPr="000B1EF7">
        <w:rPr>
          <w:rFonts w:ascii="Arial" w:hAnsi="Arial" w:cs="Arial"/>
          <w:color w:val="000000" w:themeColor="text1"/>
          <w:sz w:val="22"/>
          <w:szCs w:val="22"/>
        </w:rPr>
        <w:t>, and the sensitivity and specificity for disease classification taken from Taylor et al. (2009), who compared Medicare diagnoses to a gold standard based on clinical diagnoses for 794 members of the Aging Demographics and Memory Study (ADAMS). Taylor et al. (2009)</w:t>
      </w:r>
      <w:r w:rsidR="00C922D8">
        <w:rPr>
          <w:rFonts w:ascii="Arial" w:hAnsi="Arial" w:cs="Arial"/>
          <w:color w:val="000000" w:themeColor="text1"/>
          <w:sz w:val="22"/>
          <w:szCs w:val="22"/>
        </w:rPr>
        <w:fldChar w:fldCharType="begin"/>
      </w:r>
      <w:r w:rsidR="00C922D8">
        <w:rPr>
          <w:rFonts w:ascii="Arial" w:hAnsi="Arial" w:cs="Arial"/>
          <w:color w:val="000000" w:themeColor="text1"/>
          <w:sz w:val="22"/>
          <w:szCs w:val="22"/>
        </w:rPr>
        <w:instrText xml:space="preserve"> ADDIN EN.CITE &lt;EndNote&gt;&lt;Cite&gt;&lt;Author&gt;Taylor Jr&lt;/Author&gt;&lt;Year&gt;2009&lt;/Year&gt;&lt;RecNum&gt;52&lt;/RecNum&gt;&lt;DisplayText&gt;&lt;style face="superscript"&gt;3&lt;/style&gt;&lt;/DisplayText&gt;&lt;record&gt;&lt;rec-number&gt;52&lt;/rec-number&gt;&lt;foreign-keys&gt;&lt;key app="EN" db-id="5rr2vvdxv9p2v7ex9arxxevxastztad0efad" timestamp="1597110664"&gt;52&lt;/key&gt;&lt;/foreign-keys&gt;&lt;ref-type name="Journal Article"&gt;17&lt;/ref-type&gt;&lt;contributors&gt;&lt;authors&gt;&lt;author&gt;Taylor Jr, Donald H&lt;/author&gt;&lt;author&gt;Østbye, Truls&lt;/author&gt;&lt;author&gt;Langa, Kenneth M&lt;/author&gt;&lt;author&gt;Weir, David&lt;/author&gt;&lt;author&gt;Plassman, Brenda L&lt;/author&gt;&lt;/authors&gt;&lt;/contributors&gt;&lt;titles&gt;&lt;title&gt;The accuracy of Medicare claims as an epidemiological tool: the case of dementia revisited&lt;/title&gt;&lt;secondary-title&gt;Journal of Alzheimer&amp;apos;s Disease&lt;/secondary-title&gt;&lt;/titles&gt;&lt;periodical&gt;&lt;full-title&gt;Journal of Alzheimer&amp;apos;s Disease&lt;/full-title&gt;&lt;/periodical&gt;&lt;pages&gt;807-815&lt;/pages&gt;&lt;volume&gt;17&lt;/volume&gt;&lt;number&gt;4&lt;/number&gt;&lt;dates&gt;&lt;year&gt;2009&lt;/year&gt;&lt;/dates&gt;&lt;isbn&gt;1387-2877&lt;/isbn&gt;&lt;urls&gt;&lt;/urls&gt;&lt;/record&gt;&lt;/Cite&gt;&lt;/EndNote&gt;</w:instrText>
      </w:r>
      <w:r w:rsidR="00C922D8">
        <w:rPr>
          <w:rFonts w:ascii="Arial" w:hAnsi="Arial" w:cs="Arial"/>
          <w:color w:val="000000" w:themeColor="text1"/>
          <w:sz w:val="22"/>
          <w:szCs w:val="22"/>
        </w:rPr>
        <w:fldChar w:fldCharType="separate"/>
      </w:r>
      <w:r w:rsidR="00C922D8" w:rsidRPr="00A93274">
        <w:rPr>
          <w:rFonts w:ascii="Arial" w:hAnsi="Arial" w:cs="Arial"/>
          <w:noProof/>
          <w:color w:val="000000" w:themeColor="text1"/>
          <w:sz w:val="22"/>
          <w:szCs w:val="22"/>
          <w:vertAlign w:val="superscript"/>
        </w:rPr>
        <w:t>3</w:t>
      </w:r>
      <w:r w:rsidR="00C922D8">
        <w:rPr>
          <w:rFonts w:ascii="Arial" w:hAnsi="Arial" w:cs="Arial"/>
          <w:color w:val="000000" w:themeColor="text1"/>
          <w:sz w:val="22"/>
          <w:szCs w:val="22"/>
        </w:rPr>
        <w:fldChar w:fldCharType="end"/>
      </w:r>
      <w:r w:rsidR="001535D0" w:rsidRPr="000B1EF7">
        <w:rPr>
          <w:rFonts w:ascii="Arial" w:hAnsi="Arial" w:cs="Arial"/>
          <w:color w:val="000000" w:themeColor="text1"/>
          <w:sz w:val="22"/>
          <w:szCs w:val="22"/>
        </w:rPr>
        <w:t xml:space="preserve"> </w:t>
      </w:r>
      <w:r w:rsidR="00032CB6">
        <w:rPr>
          <w:rFonts w:ascii="Arial" w:hAnsi="Arial" w:cs="Arial"/>
          <w:color w:val="000000" w:themeColor="text1"/>
          <w:sz w:val="22"/>
          <w:szCs w:val="22"/>
        </w:rPr>
        <w:t>estimated</w:t>
      </w:r>
      <w:r w:rsidR="001535D0" w:rsidRPr="000B1EF7">
        <w:rPr>
          <w:rFonts w:ascii="Arial" w:hAnsi="Arial" w:cs="Arial"/>
          <w:color w:val="000000" w:themeColor="text1"/>
          <w:sz w:val="22"/>
          <w:szCs w:val="22"/>
        </w:rPr>
        <w:t xml:space="preserve"> the sensitivity and specificity of Medicare claims </w:t>
      </w:r>
      <w:r w:rsidR="006675F2">
        <w:rPr>
          <w:rFonts w:ascii="Arial" w:hAnsi="Arial" w:cs="Arial"/>
          <w:color w:val="000000" w:themeColor="text1"/>
          <w:sz w:val="22"/>
          <w:szCs w:val="22"/>
        </w:rPr>
        <w:t>a</w:t>
      </w:r>
      <w:r w:rsidR="001535D0" w:rsidRPr="000B1EF7">
        <w:rPr>
          <w:rFonts w:ascii="Arial" w:hAnsi="Arial" w:cs="Arial"/>
          <w:color w:val="000000" w:themeColor="text1"/>
          <w:sz w:val="22"/>
          <w:szCs w:val="22"/>
        </w:rPr>
        <w:t>s 0.85 and 0.89 for dementia, and 0.64 and 0.95 for AD. The correction was done using the formula below</w:t>
      </w:r>
      <w:r w:rsidR="00A565A5">
        <w:rPr>
          <w:rFonts w:ascii="Arial" w:hAnsi="Arial" w:cs="Arial"/>
          <w:color w:val="000000" w:themeColor="text1"/>
          <w:sz w:val="22"/>
          <w:szCs w:val="22"/>
        </w:rPr>
        <w:t xml:space="preserve"> (</w:t>
      </w:r>
      <w:proofErr w:type="spellStart"/>
      <w:r w:rsidR="00A565A5">
        <w:rPr>
          <w:rFonts w:ascii="Arial" w:hAnsi="Arial" w:cs="Arial"/>
          <w:color w:val="000000" w:themeColor="text1"/>
          <w:sz w:val="22"/>
          <w:szCs w:val="22"/>
        </w:rPr>
        <w:t>Bross</w:t>
      </w:r>
      <w:proofErr w:type="spellEnd"/>
      <w:r w:rsidR="00A565A5">
        <w:rPr>
          <w:rFonts w:ascii="Arial" w:hAnsi="Arial" w:cs="Arial"/>
          <w:color w:val="000000" w:themeColor="text1"/>
          <w:sz w:val="22"/>
          <w:szCs w:val="22"/>
        </w:rPr>
        <w:t xml:space="preserve"> 1954</w:t>
      </w:r>
      <w:r w:rsidR="00451AD1">
        <w:rPr>
          <w:rFonts w:ascii="Arial" w:hAnsi="Arial" w:cs="Arial"/>
          <w:color w:val="000000" w:themeColor="text1"/>
          <w:sz w:val="22"/>
          <w:szCs w:val="22"/>
        </w:rPr>
        <w:t>)</w:t>
      </w:r>
      <w:r w:rsidR="00701624">
        <w:rPr>
          <w:rFonts w:ascii="Arial" w:hAnsi="Arial" w:cs="Arial"/>
          <w:color w:val="000000" w:themeColor="text1"/>
          <w:sz w:val="22"/>
          <w:szCs w:val="22"/>
        </w:rPr>
        <w:fldChar w:fldCharType="begin"/>
      </w:r>
      <w:r w:rsidR="00701624">
        <w:rPr>
          <w:rFonts w:ascii="Arial" w:hAnsi="Arial" w:cs="Arial"/>
          <w:color w:val="000000" w:themeColor="text1"/>
          <w:sz w:val="22"/>
          <w:szCs w:val="22"/>
        </w:rPr>
        <w:instrText xml:space="preserve"> ADDIN EN.CITE &lt;EndNote&gt;&lt;Cite&gt;&lt;Author&gt;Bross&lt;/Author&gt;&lt;Year&gt;1954&lt;/Year&gt;&lt;RecNum&gt;137&lt;/RecNum&gt;&lt;DisplayText&gt;&lt;style face="superscript"&gt;4&lt;/style&gt;&lt;/DisplayText&gt;&lt;record&gt;&lt;rec-number&gt;137&lt;/rec-number&gt;&lt;foreign-keys&gt;&lt;key app="EN" db-id="5rr2vvdxv9p2v7ex9arxxevxastztad0efad" timestamp="1620159448"&gt;137&lt;/key&gt;&lt;/foreign-keys&gt;&lt;ref-type name="Journal Article"&gt;17&lt;/ref-type&gt;&lt;contributors&gt;&lt;authors&gt;&lt;author&gt;Bross, Irwin&lt;/author&gt;&lt;/authors&gt;&lt;/contributors&gt;&lt;titles&gt;&lt;title&gt;Misclassification in 2 x 2 tables&lt;/title&gt;&lt;secondary-title&gt;Biometrics&lt;/secondary-title&gt;&lt;/titles&gt;&lt;periodical&gt;&lt;full-title&gt;Biometrics&lt;/full-title&gt;&lt;/periodical&gt;&lt;pages&gt;478-486&lt;/pages&gt;&lt;volume&gt;10&lt;/volume&gt;&lt;number&gt;4&lt;/number&gt;&lt;dates&gt;&lt;year&gt;1954&lt;/year&gt;&lt;/dates&gt;&lt;isbn&gt;0006-341X&lt;/isbn&gt;&lt;urls&gt;&lt;/urls&gt;&lt;/record&gt;&lt;/Cite&gt;&lt;/EndNote&gt;</w:instrText>
      </w:r>
      <w:r w:rsidR="00701624">
        <w:rPr>
          <w:rFonts w:ascii="Arial" w:hAnsi="Arial" w:cs="Arial"/>
          <w:color w:val="000000" w:themeColor="text1"/>
          <w:sz w:val="22"/>
          <w:szCs w:val="22"/>
        </w:rPr>
        <w:fldChar w:fldCharType="separate"/>
      </w:r>
      <w:r w:rsidR="00701624" w:rsidRPr="00701624">
        <w:rPr>
          <w:rFonts w:ascii="Arial" w:hAnsi="Arial" w:cs="Arial"/>
          <w:noProof/>
          <w:color w:val="000000" w:themeColor="text1"/>
          <w:sz w:val="22"/>
          <w:szCs w:val="22"/>
          <w:vertAlign w:val="superscript"/>
        </w:rPr>
        <w:t>4</w:t>
      </w:r>
      <w:r w:rsidR="00701624">
        <w:rPr>
          <w:rFonts w:ascii="Arial" w:hAnsi="Arial" w:cs="Arial"/>
          <w:color w:val="000000" w:themeColor="text1"/>
          <w:sz w:val="22"/>
          <w:szCs w:val="22"/>
        </w:rPr>
        <w:fldChar w:fldCharType="end"/>
      </w:r>
      <w:r w:rsidR="001535D0" w:rsidRPr="000B1EF7">
        <w:rPr>
          <w:rFonts w:ascii="Arial" w:hAnsi="Arial" w:cs="Arial"/>
          <w:color w:val="000000" w:themeColor="text1"/>
          <w:sz w:val="22"/>
          <w:szCs w:val="22"/>
        </w:rPr>
        <w:t>:</w:t>
      </w:r>
    </w:p>
    <w:p w14:paraId="2C4F1C41" w14:textId="77777777" w:rsidR="001535D0" w:rsidRPr="000741A0" w:rsidRDefault="001535D0" w:rsidP="001535D0">
      <w:pPr>
        <w:rPr>
          <w:rFonts w:asciiTheme="minorHAnsi" w:hAnsiTheme="minorHAnsi" w:cstheme="minorHAnsi"/>
          <w:color w:val="000000" w:themeColor="text1"/>
          <w:sz w:val="22"/>
          <w:szCs w:val="22"/>
          <w:vertAlign w:val="superscript"/>
        </w:rPr>
      </w:pPr>
    </w:p>
    <w:p w14:paraId="507D05BC" w14:textId="3FFD3E61" w:rsidR="001535D0" w:rsidRPr="000B1EF7" w:rsidRDefault="001535D0" w:rsidP="001535D0">
      <w:pPr>
        <w:rPr>
          <w:rFonts w:ascii="Arial" w:hAnsi="Arial" w:cs="Arial"/>
          <w:color w:val="000000" w:themeColor="text1"/>
          <w:sz w:val="22"/>
          <w:szCs w:val="22"/>
        </w:rPr>
      </w:pPr>
      <w:r w:rsidRPr="000741A0">
        <w:rPr>
          <w:rFonts w:ascii="Arial" w:hAnsi="Arial" w:cs="Arial"/>
          <w:color w:val="000000" w:themeColor="text1"/>
        </w:rPr>
        <w:t xml:space="preserve"> </w:t>
      </w:r>
      <w:r w:rsidR="003E43F3" w:rsidRPr="000741A0">
        <w:rPr>
          <w:rFonts w:ascii="Arial" w:hAnsi="Arial" w:cs="Arial"/>
          <w:color w:val="000000" w:themeColor="text1"/>
        </w:rPr>
        <w:t xml:space="preserve"> </w:t>
      </w:r>
      <w:r w:rsidR="000741A0" w:rsidRPr="00CA01BD">
        <w:rPr>
          <w:rFonts w:ascii="Arial Unicode MS" w:eastAsia="Arial Unicode MS" w:hAnsi="Arial Unicode MS" w:cs="Arial Unicode MS"/>
          <w:color w:val="000000" w:themeColor="text1"/>
          <w:sz w:val="26"/>
          <w:szCs w:val="26"/>
        </w:rPr>
        <w:t>p</w:t>
      </w:r>
      <w:r w:rsidR="000741A0" w:rsidRPr="00CA01BD">
        <w:rPr>
          <w:rFonts w:ascii="Arial Unicode MS" w:eastAsia="Arial Unicode MS" w:hAnsi="Arial Unicode MS" w:cs="Arial Unicode MS" w:hint="eastAsia"/>
          <w:color w:val="000000" w:themeColor="text1"/>
          <w:sz w:val="26"/>
          <w:szCs w:val="26"/>
        </w:rPr>
        <w:t>̂</w:t>
      </w:r>
      <w:proofErr w:type="spellStart"/>
      <w:r w:rsidR="000741A0" w:rsidRPr="00CA01BD">
        <w:rPr>
          <w:rFonts w:ascii="Arial Unicode MS" w:eastAsia="Arial Unicode MS" w:hAnsi="Arial Unicode MS" w:cs="Arial Unicode MS"/>
          <w:color w:val="000000" w:themeColor="text1"/>
          <w:sz w:val="26"/>
          <w:szCs w:val="26"/>
          <w:vertAlign w:val="subscript"/>
        </w:rPr>
        <w:t>i</w:t>
      </w:r>
      <w:proofErr w:type="spellEnd"/>
      <w:r w:rsidR="003E43F3" w:rsidRPr="00CA01BD">
        <w:rPr>
          <w:rFonts w:ascii="Arial" w:hAnsi="Arial" w:cs="Arial"/>
          <w:color w:val="000000" w:themeColor="text1"/>
        </w:rPr>
        <w:t xml:space="preserve"> </w:t>
      </w:r>
      <w:r w:rsidR="000741A0">
        <w:rPr>
          <w:rFonts w:ascii="Arial" w:hAnsi="Arial" w:cs="Arial"/>
          <w:color w:val="000000" w:themeColor="text1"/>
          <w:sz w:val="22"/>
          <w:szCs w:val="22"/>
        </w:rPr>
        <w:t xml:space="preserve">= </w:t>
      </w:r>
      <w:r w:rsidR="00435D06">
        <w:rPr>
          <w:rFonts w:ascii="Arial" w:hAnsi="Arial" w:cs="Arial"/>
          <w:color w:val="000000" w:themeColor="text1"/>
          <w:sz w:val="22"/>
          <w:szCs w:val="22"/>
        </w:rPr>
        <w:t>(</w:t>
      </w:r>
      <w:r w:rsidR="000741A0" w:rsidRPr="00CA01BD">
        <w:rPr>
          <w:rFonts w:ascii="Arial Unicode MS" w:eastAsia="Arial Unicode MS" w:hAnsi="Arial Unicode MS" w:cs="Arial Unicode MS"/>
          <w:color w:val="000000" w:themeColor="text1"/>
          <w:sz w:val="26"/>
          <w:szCs w:val="26"/>
        </w:rPr>
        <w:t>p</w:t>
      </w:r>
      <w:r w:rsidR="000741A0" w:rsidRPr="00CA01BD">
        <w:rPr>
          <w:rFonts w:ascii="Arial Unicode MS" w:eastAsia="Arial Unicode MS" w:hAnsi="Arial Unicode MS" w:cs="Arial Unicode MS" w:hint="eastAsia"/>
          <w:color w:val="000000" w:themeColor="text1"/>
          <w:sz w:val="26"/>
          <w:szCs w:val="26"/>
        </w:rPr>
        <w:t>̂</w:t>
      </w:r>
      <w:proofErr w:type="spellStart"/>
      <w:r w:rsidR="000741A0" w:rsidRPr="00CA01BD">
        <w:rPr>
          <w:rFonts w:ascii="Arial Unicode MS" w:eastAsia="Arial Unicode MS" w:hAnsi="Arial Unicode MS" w:cs="Arial Unicode MS"/>
          <w:color w:val="000000" w:themeColor="text1"/>
          <w:sz w:val="26"/>
          <w:szCs w:val="26"/>
          <w:vertAlign w:val="subscript"/>
        </w:rPr>
        <w:t>i</w:t>
      </w:r>
      <w:proofErr w:type="spellEnd"/>
      <w:r w:rsidR="000741A0" w:rsidRPr="00CA01BD">
        <w:rPr>
          <w:rFonts w:ascii="Arial Unicode MS" w:eastAsia="Arial Unicode MS" w:hAnsi="Arial Unicode MS" w:cs="Arial Unicode MS"/>
          <w:color w:val="000000" w:themeColor="text1"/>
          <w:sz w:val="26"/>
          <w:szCs w:val="26"/>
        </w:rPr>
        <w:t>*</w:t>
      </w:r>
      <w:r w:rsidRPr="000B1EF7">
        <w:rPr>
          <w:rFonts w:ascii="Arial" w:hAnsi="Arial" w:cs="Arial"/>
          <w:color w:val="000000" w:themeColor="text1"/>
          <w:sz w:val="22"/>
          <w:szCs w:val="22"/>
        </w:rPr>
        <w:t>+ SP - 1)</w:t>
      </w:r>
      <w:proofErr w:type="gramStart"/>
      <w:r w:rsidRPr="000B1EF7">
        <w:rPr>
          <w:rFonts w:ascii="Arial" w:hAnsi="Arial" w:cs="Arial"/>
          <w:color w:val="000000" w:themeColor="text1"/>
          <w:sz w:val="22"/>
          <w:szCs w:val="22"/>
        </w:rPr>
        <w:t>/(</w:t>
      </w:r>
      <w:proofErr w:type="gramEnd"/>
      <w:r w:rsidRPr="000B1EF7">
        <w:rPr>
          <w:rFonts w:ascii="Arial" w:hAnsi="Arial" w:cs="Arial"/>
          <w:color w:val="000000" w:themeColor="text1"/>
          <w:sz w:val="22"/>
          <w:szCs w:val="22"/>
        </w:rPr>
        <w:t>SE + SP - 1),</w:t>
      </w:r>
    </w:p>
    <w:p w14:paraId="73A372D6" w14:textId="60796923" w:rsidR="001535D0" w:rsidRPr="000B1EF7" w:rsidRDefault="001535D0" w:rsidP="001535D0">
      <w:pPr>
        <w:rPr>
          <w:rFonts w:ascii="Arial" w:hAnsi="Arial" w:cs="Arial"/>
          <w:color w:val="000000" w:themeColor="text1"/>
          <w:sz w:val="22"/>
          <w:szCs w:val="22"/>
        </w:rPr>
      </w:pPr>
    </w:p>
    <w:p w14:paraId="34A4046F" w14:textId="7D1CFEE9" w:rsidR="00B31AC8" w:rsidRDefault="001535D0" w:rsidP="00B31AC8">
      <w:pPr>
        <w:rPr>
          <w:rFonts w:ascii="Arial" w:hAnsi="Arial" w:cs="Arial"/>
          <w:color w:val="000000" w:themeColor="text1"/>
          <w:sz w:val="22"/>
          <w:szCs w:val="22"/>
        </w:rPr>
      </w:pPr>
      <w:r w:rsidRPr="000B1EF7">
        <w:rPr>
          <w:rFonts w:ascii="Arial" w:hAnsi="Arial" w:cs="Arial"/>
          <w:color w:val="000000" w:themeColor="text1"/>
          <w:sz w:val="22"/>
          <w:szCs w:val="22"/>
        </w:rPr>
        <w:t>where</w:t>
      </w:r>
      <w:r w:rsidR="00CA01BD">
        <w:rPr>
          <w:rFonts w:ascii="Arial" w:hAnsi="Arial" w:cs="Arial"/>
          <w:color w:val="000000" w:themeColor="text1"/>
          <w:sz w:val="22"/>
          <w:szCs w:val="22"/>
        </w:rPr>
        <w:t xml:space="preserve"> </w:t>
      </w:r>
      <w:r w:rsidR="00CA01BD" w:rsidRPr="00CA01BD">
        <w:rPr>
          <w:rFonts w:ascii="Arial Unicode MS" w:eastAsia="Arial Unicode MS" w:hAnsi="Arial Unicode MS" w:cs="Arial Unicode MS"/>
          <w:color w:val="000000" w:themeColor="text1"/>
        </w:rPr>
        <w:t>p</w:t>
      </w:r>
      <w:r w:rsidR="00CA01BD" w:rsidRPr="00CA01BD">
        <w:rPr>
          <w:rFonts w:ascii="Arial Unicode MS" w:eastAsia="Arial Unicode MS" w:hAnsi="Arial Unicode MS" w:cs="Arial Unicode MS" w:hint="eastAsia"/>
          <w:color w:val="000000" w:themeColor="text1"/>
        </w:rPr>
        <w:t>̂</w:t>
      </w:r>
      <w:proofErr w:type="spellStart"/>
      <w:r w:rsidR="00CA01BD" w:rsidRPr="00CA01BD">
        <w:rPr>
          <w:rFonts w:ascii="Arial Unicode MS" w:eastAsia="Arial Unicode MS" w:hAnsi="Arial Unicode MS" w:cs="Arial Unicode MS"/>
          <w:color w:val="000000" w:themeColor="text1"/>
          <w:vertAlign w:val="subscript"/>
        </w:rPr>
        <w:t>i</w:t>
      </w:r>
      <w:proofErr w:type="spellEnd"/>
      <w:r w:rsidR="00CA01BD" w:rsidRPr="00CA01BD">
        <w:rPr>
          <w:rFonts w:ascii="Arial Unicode MS" w:eastAsia="Arial Unicode MS" w:hAnsi="Arial Unicode MS" w:cs="Arial Unicode MS"/>
          <w:color w:val="000000" w:themeColor="text1"/>
        </w:rPr>
        <w:t>*</w:t>
      </w:r>
      <w:r w:rsidR="00CA01BD">
        <w:rPr>
          <w:rFonts w:ascii="Arial Unicode MS" w:eastAsia="Arial Unicode MS" w:hAnsi="Arial Unicode MS" w:cs="Arial Unicode MS"/>
          <w:color w:val="000000" w:themeColor="text1"/>
          <w:sz w:val="28"/>
          <w:szCs w:val="28"/>
        </w:rPr>
        <w:t xml:space="preserve"> </w:t>
      </w:r>
      <w:r w:rsidRPr="000B1EF7">
        <w:rPr>
          <w:rFonts w:ascii="Arial" w:hAnsi="Arial" w:cs="Arial"/>
          <w:color w:val="000000" w:themeColor="text1"/>
          <w:sz w:val="22"/>
          <w:szCs w:val="22"/>
        </w:rPr>
        <w:t xml:space="preserve">is the observed proportion of cases in each </w:t>
      </w:r>
      <w:r w:rsidR="00B51B4C">
        <w:rPr>
          <w:rFonts w:ascii="Arial" w:hAnsi="Arial" w:cs="Arial"/>
          <w:color w:val="000000" w:themeColor="text1"/>
          <w:sz w:val="22"/>
          <w:szCs w:val="22"/>
        </w:rPr>
        <w:t>ZIP</w:t>
      </w:r>
      <w:r w:rsidRPr="000B1EF7">
        <w:rPr>
          <w:rFonts w:ascii="Arial" w:hAnsi="Arial" w:cs="Arial"/>
          <w:color w:val="000000" w:themeColor="text1"/>
          <w:sz w:val="22"/>
          <w:szCs w:val="22"/>
        </w:rPr>
        <w:t xml:space="preserve"> code </w:t>
      </w:r>
      <w:proofErr w:type="spellStart"/>
      <w:r w:rsidRPr="000B1EF7">
        <w:rPr>
          <w:rFonts w:ascii="Arial" w:hAnsi="Arial" w:cs="Arial"/>
          <w:color w:val="000000" w:themeColor="text1"/>
          <w:sz w:val="22"/>
          <w:szCs w:val="22"/>
        </w:rPr>
        <w:t>i</w:t>
      </w:r>
      <w:proofErr w:type="spellEnd"/>
      <w:r w:rsidRPr="000B1EF7">
        <w:rPr>
          <w:rFonts w:ascii="Arial" w:hAnsi="Arial" w:cs="Arial"/>
          <w:color w:val="000000" w:themeColor="text1"/>
          <w:sz w:val="22"/>
          <w:szCs w:val="22"/>
        </w:rPr>
        <w:t xml:space="preserve">, SP and SE are specificity </w:t>
      </w:r>
      <w:r w:rsidR="004121DA">
        <w:rPr>
          <w:rFonts w:ascii="Arial" w:hAnsi="Arial" w:cs="Arial"/>
          <w:color w:val="000000" w:themeColor="text1"/>
          <w:sz w:val="22"/>
          <w:szCs w:val="22"/>
        </w:rPr>
        <w:t>an</w:t>
      </w:r>
      <w:r w:rsidRPr="000B1EF7">
        <w:rPr>
          <w:rFonts w:ascii="Arial" w:hAnsi="Arial" w:cs="Arial"/>
          <w:color w:val="000000" w:themeColor="text1"/>
          <w:sz w:val="22"/>
          <w:szCs w:val="22"/>
        </w:rPr>
        <w:t>d sensitivity taken from Taylor et al. (2009)</w:t>
      </w:r>
      <w:r w:rsidR="00701624">
        <w:rPr>
          <w:rFonts w:ascii="Arial" w:hAnsi="Arial" w:cs="Arial"/>
          <w:color w:val="000000" w:themeColor="text1"/>
          <w:sz w:val="22"/>
          <w:szCs w:val="22"/>
        </w:rPr>
        <w:fldChar w:fldCharType="begin"/>
      </w:r>
      <w:r w:rsidR="00701624">
        <w:rPr>
          <w:rFonts w:ascii="Arial" w:hAnsi="Arial" w:cs="Arial"/>
          <w:color w:val="000000" w:themeColor="text1"/>
          <w:sz w:val="22"/>
          <w:szCs w:val="22"/>
        </w:rPr>
        <w:instrText xml:space="preserve"> ADDIN EN.CITE &lt;EndNote&gt;&lt;Cite&gt;&lt;Author&gt;Taylor Jr&lt;/Author&gt;&lt;Year&gt;2009&lt;/Year&gt;&lt;RecNum&gt;52&lt;/RecNum&gt;&lt;DisplayText&gt;&lt;style face="superscript"&gt;3&lt;/style&gt;&lt;/DisplayText&gt;&lt;record&gt;&lt;rec-number&gt;52&lt;/rec-number&gt;&lt;foreign-keys&gt;&lt;key app="EN" db-id="5rr2vvdxv9p2v7ex9arxxevxastztad0efad" timestamp="1597110664"&gt;52&lt;/key&gt;&lt;/foreign-keys&gt;&lt;ref-type name="Journal Article"&gt;17&lt;/ref-type&gt;&lt;contributors&gt;&lt;authors&gt;&lt;author&gt;Taylor Jr, Donald H&lt;/author&gt;&lt;author&gt;Østbye, Truls&lt;/author&gt;&lt;author&gt;Langa, Kenneth M&lt;/author&gt;&lt;author&gt;Weir, David&lt;/author&gt;&lt;author&gt;Plassman, Brenda L&lt;/author&gt;&lt;/authors&gt;&lt;/contributors&gt;&lt;titles&gt;&lt;title&gt;The accuracy of Medicare claims as an epidemiological tool: the case of dementia revisited&lt;/title&gt;&lt;secondary-title&gt;Journal of Alzheimer&amp;apos;s Disease&lt;/secondary-title&gt;&lt;/titles&gt;&lt;periodical&gt;&lt;full-title&gt;Journal of Alzheimer&amp;apos;s Disease&lt;/full-title&gt;&lt;/periodical&gt;&lt;pages&gt;807-815&lt;/pages&gt;&lt;volume&gt;17&lt;/volume&gt;&lt;number&gt;4&lt;/number&gt;&lt;dates&gt;&lt;year&gt;2009&lt;/year&gt;&lt;/dates&gt;&lt;isbn&gt;1387-2877&lt;/isbn&gt;&lt;urls&gt;&lt;/urls&gt;&lt;/record&gt;&lt;/Cite&gt;&lt;/EndNote&gt;</w:instrText>
      </w:r>
      <w:r w:rsidR="00701624">
        <w:rPr>
          <w:rFonts w:ascii="Arial" w:hAnsi="Arial" w:cs="Arial"/>
          <w:color w:val="000000" w:themeColor="text1"/>
          <w:sz w:val="22"/>
          <w:szCs w:val="22"/>
        </w:rPr>
        <w:fldChar w:fldCharType="separate"/>
      </w:r>
      <w:r w:rsidR="00701624" w:rsidRPr="00701624">
        <w:rPr>
          <w:rFonts w:ascii="Arial" w:hAnsi="Arial" w:cs="Arial"/>
          <w:noProof/>
          <w:color w:val="000000" w:themeColor="text1"/>
          <w:sz w:val="22"/>
          <w:szCs w:val="22"/>
          <w:vertAlign w:val="superscript"/>
        </w:rPr>
        <w:t>3</w:t>
      </w:r>
      <w:r w:rsidR="00701624">
        <w:rPr>
          <w:rFonts w:ascii="Arial" w:hAnsi="Arial" w:cs="Arial"/>
          <w:color w:val="000000" w:themeColor="text1"/>
          <w:sz w:val="22"/>
          <w:szCs w:val="22"/>
        </w:rPr>
        <w:fldChar w:fldCharType="end"/>
      </w:r>
      <w:r w:rsidRPr="000B1EF7">
        <w:rPr>
          <w:rFonts w:ascii="Arial" w:hAnsi="Arial" w:cs="Arial"/>
          <w:color w:val="000000" w:themeColor="text1"/>
          <w:sz w:val="22"/>
          <w:szCs w:val="22"/>
        </w:rPr>
        <w:t xml:space="preserve">, and </w:t>
      </w:r>
      <w:r w:rsidR="00CA01BD">
        <w:rPr>
          <w:rFonts w:ascii="Arial" w:hAnsi="Arial" w:cs="Arial"/>
          <w:color w:val="000000" w:themeColor="text1"/>
          <w:sz w:val="22"/>
          <w:szCs w:val="22"/>
        </w:rPr>
        <w:t xml:space="preserve"> </w:t>
      </w:r>
      <w:r w:rsidR="00CA01BD" w:rsidRPr="00CA01BD">
        <w:rPr>
          <w:rFonts w:ascii="Arial Unicode MS" w:eastAsia="Arial Unicode MS" w:hAnsi="Arial Unicode MS" w:cs="Arial Unicode MS"/>
          <w:color w:val="000000" w:themeColor="text1"/>
        </w:rPr>
        <w:t>p</w:t>
      </w:r>
      <w:r w:rsidR="00CA01BD" w:rsidRPr="00CA01BD">
        <w:rPr>
          <w:rFonts w:ascii="Arial Unicode MS" w:eastAsia="Arial Unicode MS" w:hAnsi="Arial Unicode MS" w:cs="Arial Unicode MS" w:hint="eastAsia"/>
          <w:color w:val="000000" w:themeColor="text1"/>
        </w:rPr>
        <w:t>̂</w:t>
      </w:r>
      <w:proofErr w:type="spellStart"/>
      <w:r w:rsidR="00CA01BD" w:rsidRPr="00CA01BD">
        <w:rPr>
          <w:rFonts w:ascii="Arial Unicode MS" w:eastAsia="Arial Unicode MS" w:hAnsi="Arial Unicode MS" w:cs="Arial Unicode MS"/>
          <w:color w:val="000000" w:themeColor="text1"/>
          <w:vertAlign w:val="subscript"/>
        </w:rPr>
        <w:t>i</w:t>
      </w:r>
      <w:proofErr w:type="spellEnd"/>
      <w:r w:rsidRPr="000B1EF7">
        <w:rPr>
          <w:rFonts w:ascii="Arial" w:hAnsi="Arial" w:cs="Arial"/>
          <w:color w:val="000000" w:themeColor="text1"/>
          <w:sz w:val="22"/>
          <w:szCs w:val="22"/>
        </w:rPr>
        <w:t xml:space="preserve"> is the corrected proportion of cases in each </w:t>
      </w:r>
      <w:r w:rsidR="001A7D35">
        <w:rPr>
          <w:rFonts w:ascii="Arial" w:hAnsi="Arial" w:cs="Arial"/>
          <w:color w:val="000000" w:themeColor="text1"/>
          <w:sz w:val="22"/>
          <w:szCs w:val="22"/>
        </w:rPr>
        <w:t>ZIP</w:t>
      </w:r>
      <w:r w:rsidRPr="000B1EF7">
        <w:rPr>
          <w:rFonts w:ascii="Arial" w:hAnsi="Arial" w:cs="Arial"/>
          <w:color w:val="000000" w:themeColor="text1"/>
          <w:sz w:val="22"/>
          <w:szCs w:val="22"/>
        </w:rPr>
        <w:t xml:space="preserve"> code </w:t>
      </w:r>
      <w:proofErr w:type="spellStart"/>
      <w:r w:rsidRPr="000B1EF7">
        <w:rPr>
          <w:rFonts w:ascii="Arial" w:hAnsi="Arial" w:cs="Arial"/>
          <w:color w:val="000000" w:themeColor="text1"/>
          <w:sz w:val="22"/>
          <w:szCs w:val="22"/>
        </w:rPr>
        <w:t>i</w:t>
      </w:r>
      <w:proofErr w:type="spellEnd"/>
      <w:r w:rsidRPr="000B1EF7">
        <w:rPr>
          <w:rFonts w:ascii="Arial" w:hAnsi="Arial" w:cs="Arial"/>
          <w:color w:val="000000" w:themeColor="text1"/>
          <w:sz w:val="22"/>
          <w:szCs w:val="22"/>
        </w:rPr>
        <w:t xml:space="preserve">. </w:t>
      </w:r>
      <w:r w:rsidR="00BA046B" w:rsidRPr="000B1EF7">
        <w:rPr>
          <w:rFonts w:ascii="Arial" w:hAnsi="Arial" w:cs="Arial"/>
          <w:color w:val="000000" w:themeColor="text1"/>
          <w:sz w:val="22"/>
          <w:szCs w:val="22"/>
        </w:rPr>
        <w:t xml:space="preserve">As the formula above yields a negative number of corrected cases when the proportion of observed cases is less than </w:t>
      </w:r>
      <w:r w:rsidR="00F51BE8">
        <w:rPr>
          <w:rFonts w:ascii="Arial" w:hAnsi="Arial" w:cs="Arial"/>
          <w:color w:val="000000" w:themeColor="text1"/>
          <w:sz w:val="22"/>
          <w:szCs w:val="22"/>
        </w:rPr>
        <w:t>1-</w:t>
      </w:r>
      <w:r w:rsidR="00BA046B" w:rsidRPr="000B1EF7">
        <w:rPr>
          <w:rFonts w:ascii="Arial" w:hAnsi="Arial" w:cs="Arial"/>
          <w:color w:val="000000" w:themeColor="text1"/>
          <w:sz w:val="22"/>
          <w:szCs w:val="22"/>
        </w:rPr>
        <w:t xml:space="preserve">SP, </w:t>
      </w:r>
      <w:r w:rsidR="00B31AC8">
        <w:rPr>
          <w:rFonts w:ascii="Arial" w:hAnsi="Arial" w:cs="Arial"/>
          <w:color w:val="000000" w:themeColor="text1"/>
          <w:sz w:val="22"/>
          <w:szCs w:val="22"/>
        </w:rPr>
        <w:t xml:space="preserve">we </w:t>
      </w:r>
      <w:r w:rsidR="00B31AC8" w:rsidRPr="000B1EF7">
        <w:rPr>
          <w:rFonts w:ascii="Arial" w:hAnsi="Arial" w:cs="Arial"/>
          <w:color w:val="000000" w:themeColor="text1"/>
          <w:sz w:val="22"/>
          <w:szCs w:val="22"/>
        </w:rPr>
        <w:t>restricted this correction for dementia</w:t>
      </w:r>
      <w:r w:rsidR="00B31AC8">
        <w:rPr>
          <w:rFonts w:ascii="Arial" w:hAnsi="Arial" w:cs="Arial"/>
          <w:color w:val="000000" w:themeColor="text1"/>
          <w:sz w:val="22"/>
          <w:szCs w:val="22"/>
        </w:rPr>
        <w:t xml:space="preserve"> or AD</w:t>
      </w:r>
      <w:r w:rsidR="00B31AC8" w:rsidRPr="000B1EF7">
        <w:rPr>
          <w:rFonts w:ascii="Arial" w:hAnsi="Arial" w:cs="Arial"/>
          <w:color w:val="000000" w:themeColor="text1"/>
          <w:sz w:val="22"/>
          <w:szCs w:val="22"/>
        </w:rPr>
        <w:t xml:space="preserve"> to </w:t>
      </w:r>
      <w:r w:rsidR="00B31AC8">
        <w:rPr>
          <w:rFonts w:ascii="Arial" w:hAnsi="Arial" w:cs="Arial"/>
          <w:color w:val="000000" w:themeColor="text1"/>
          <w:sz w:val="22"/>
          <w:szCs w:val="22"/>
        </w:rPr>
        <w:t>ZIP</w:t>
      </w:r>
      <w:r w:rsidR="00B31AC8" w:rsidRPr="000B1EF7">
        <w:rPr>
          <w:rFonts w:ascii="Arial" w:hAnsi="Arial" w:cs="Arial"/>
          <w:color w:val="000000" w:themeColor="text1"/>
          <w:sz w:val="22"/>
          <w:szCs w:val="22"/>
        </w:rPr>
        <w:t xml:space="preserve"> codes where the observed proportion was greater than </w:t>
      </w:r>
      <w:r w:rsidR="00B31AC8">
        <w:rPr>
          <w:rFonts w:ascii="Arial" w:hAnsi="Arial" w:cs="Arial"/>
          <w:color w:val="000000" w:themeColor="text1"/>
          <w:sz w:val="22"/>
          <w:szCs w:val="22"/>
        </w:rPr>
        <w:t>1-</w:t>
      </w:r>
      <w:r w:rsidR="00B31AC8" w:rsidRPr="000B1EF7">
        <w:rPr>
          <w:rFonts w:ascii="Arial" w:hAnsi="Arial" w:cs="Arial"/>
          <w:color w:val="000000" w:themeColor="text1"/>
          <w:sz w:val="22"/>
          <w:szCs w:val="22"/>
        </w:rPr>
        <w:t>SP</w:t>
      </w:r>
      <w:r w:rsidR="00B31AC8">
        <w:rPr>
          <w:rFonts w:ascii="Arial" w:hAnsi="Arial" w:cs="Arial"/>
          <w:color w:val="000000" w:themeColor="text1"/>
          <w:sz w:val="22"/>
          <w:szCs w:val="22"/>
        </w:rPr>
        <w:t xml:space="preserve"> (11</w:t>
      </w:r>
      <w:r w:rsidR="00B31AC8" w:rsidRPr="000B1EF7">
        <w:rPr>
          <w:rFonts w:ascii="Arial" w:hAnsi="Arial" w:cs="Arial"/>
          <w:color w:val="000000" w:themeColor="text1"/>
          <w:sz w:val="22"/>
          <w:szCs w:val="22"/>
        </w:rPr>
        <w:t xml:space="preserve">% for dementia, </w:t>
      </w:r>
      <w:r w:rsidR="00B31AC8">
        <w:rPr>
          <w:rFonts w:ascii="Arial" w:hAnsi="Arial" w:cs="Arial"/>
          <w:color w:val="000000" w:themeColor="text1"/>
          <w:sz w:val="22"/>
          <w:szCs w:val="22"/>
        </w:rPr>
        <w:t>5</w:t>
      </w:r>
      <w:r w:rsidR="00B31AC8" w:rsidRPr="000B1EF7">
        <w:rPr>
          <w:rFonts w:ascii="Arial" w:hAnsi="Arial" w:cs="Arial"/>
          <w:color w:val="000000" w:themeColor="text1"/>
          <w:sz w:val="22"/>
          <w:szCs w:val="22"/>
        </w:rPr>
        <w:t>% for AD)</w:t>
      </w:r>
      <w:r w:rsidR="00B31AC8">
        <w:rPr>
          <w:rFonts w:ascii="Arial" w:hAnsi="Arial" w:cs="Arial"/>
          <w:color w:val="000000" w:themeColor="text1"/>
          <w:sz w:val="22"/>
          <w:szCs w:val="22"/>
        </w:rPr>
        <w:t>; f</w:t>
      </w:r>
      <w:r w:rsidR="00B31AC8" w:rsidRPr="000B1EF7">
        <w:rPr>
          <w:rFonts w:ascii="Arial" w:hAnsi="Arial" w:cs="Arial"/>
          <w:color w:val="000000" w:themeColor="text1"/>
          <w:sz w:val="22"/>
          <w:szCs w:val="22"/>
        </w:rPr>
        <w:t xml:space="preserve">or strata </w:t>
      </w:r>
      <w:r w:rsidR="00B31AC8">
        <w:rPr>
          <w:rFonts w:ascii="Arial" w:hAnsi="Arial" w:cs="Arial"/>
          <w:color w:val="000000" w:themeColor="text1"/>
          <w:sz w:val="22"/>
          <w:szCs w:val="22"/>
        </w:rPr>
        <w:t xml:space="preserve">with an </w:t>
      </w:r>
      <w:r w:rsidR="00B31AC8" w:rsidRPr="000B1EF7">
        <w:rPr>
          <w:rFonts w:ascii="Arial" w:hAnsi="Arial" w:cs="Arial"/>
          <w:color w:val="000000" w:themeColor="text1"/>
          <w:sz w:val="22"/>
          <w:szCs w:val="22"/>
        </w:rPr>
        <w:t xml:space="preserve">observed proportion less than </w:t>
      </w:r>
      <w:r w:rsidR="00B31AC8">
        <w:rPr>
          <w:rFonts w:ascii="Arial" w:hAnsi="Arial" w:cs="Arial"/>
          <w:color w:val="000000" w:themeColor="text1"/>
          <w:sz w:val="22"/>
          <w:szCs w:val="22"/>
        </w:rPr>
        <w:t>1-</w:t>
      </w:r>
      <w:r w:rsidR="00B31AC8" w:rsidRPr="000B1EF7">
        <w:rPr>
          <w:rFonts w:ascii="Arial" w:hAnsi="Arial" w:cs="Arial"/>
          <w:color w:val="000000" w:themeColor="text1"/>
          <w:sz w:val="22"/>
          <w:szCs w:val="22"/>
        </w:rPr>
        <w:t xml:space="preserve">SP, </w:t>
      </w:r>
      <w:r w:rsidR="00B31AC8">
        <w:rPr>
          <w:rFonts w:ascii="Arial" w:hAnsi="Arial" w:cs="Arial"/>
          <w:color w:val="000000" w:themeColor="text1"/>
          <w:sz w:val="22"/>
          <w:szCs w:val="22"/>
        </w:rPr>
        <w:t xml:space="preserve">the corrected case count was set to 0.  </w:t>
      </w:r>
      <w:r w:rsidR="00B31AC8" w:rsidRPr="000B1EF7">
        <w:rPr>
          <w:rFonts w:ascii="Arial" w:hAnsi="Arial" w:cs="Arial"/>
          <w:color w:val="000000" w:themeColor="text1"/>
          <w:sz w:val="22"/>
          <w:szCs w:val="22"/>
        </w:rPr>
        <w:t>Under these conditions, Table S5 gives the corrected values of the exposure coefficients for both dementia and AD</w:t>
      </w:r>
      <w:r w:rsidR="00B31AC8">
        <w:rPr>
          <w:rFonts w:ascii="Arial" w:hAnsi="Arial" w:cs="Arial"/>
          <w:color w:val="000000" w:themeColor="text1"/>
          <w:sz w:val="22"/>
          <w:szCs w:val="22"/>
        </w:rPr>
        <w:t xml:space="preserve">, Corrected HR values from the original Cox model were obtained by </w:t>
      </w:r>
      <w:r w:rsidR="00B31AC8">
        <w:rPr>
          <w:rFonts w:ascii="Arial" w:hAnsi="Arial" w:cs="Arial"/>
          <w:color w:val="000000" w:themeColor="text1"/>
          <w:sz w:val="22"/>
          <w:szCs w:val="22"/>
        </w:rPr>
        <w:lastRenderedPageBreak/>
        <w:t xml:space="preserve">taking the ratio of the corrected vs uncorrected exposure coefficients from the Poisson model described above (from models 3 and 2 in Table s5), and then multiplying the exposure coefficient from the original Cox model by that ratio, and obtaining the HR for an IQR increase in PM2.5 using that corrected Cox model coefficient.  </w:t>
      </w:r>
    </w:p>
    <w:p w14:paraId="4BDD449B" w14:textId="134AE96C" w:rsidR="00886A20" w:rsidRDefault="00886A20" w:rsidP="0076223E">
      <w:pPr>
        <w:rPr>
          <w:rFonts w:ascii="Arial" w:hAnsi="Arial" w:cs="Arial"/>
        </w:rPr>
      </w:pPr>
    </w:p>
    <w:p w14:paraId="2C9031DC" w14:textId="77777777" w:rsidR="00027DCD" w:rsidRDefault="00027DCD" w:rsidP="0076223E">
      <w:pPr>
        <w:rPr>
          <w:rFonts w:ascii="Arial" w:hAnsi="Arial" w:cs="Arial"/>
        </w:rPr>
      </w:pPr>
    </w:p>
    <w:p w14:paraId="1B309E57" w14:textId="33373D75" w:rsidR="001A7D35" w:rsidRDefault="001A7D35" w:rsidP="0076223E">
      <w:pPr>
        <w:rPr>
          <w:rFonts w:ascii="Arial" w:hAnsi="Arial" w:cs="Arial"/>
        </w:rPr>
      </w:pPr>
    </w:p>
    <w:p w14:paraId="1980A2B6" w14:textId="77777777" w:rsidR="00600810" w:rsidRPr="0042361C" w:rsidRDefault="00600810" w:rsidP="00600810">
      <w:pPr>
        <w:rPr>
          <w:rFonts w:ascii="Arial" w:eastAsiaTheme="minorEastAsia" w:hAnsi="Arial" w:cs="Arial"/>
          <w:color w:val="000000" w:themeColor="text1"/>
          <w:sz w:val="20"/>
          <w:szCs w:val="20"/>
          <w:shd w:val="clear" w:color="auto" w:fill="FFFFFF"/>
        </w:rPr>
      </w:pPr>
      <w:r w:rsidRPr="00893F84">
        <w:rPr>
          <w:rFonts w:ascii="Arial" w:hAnsi="Arial" w:cs="Arial"/>
          <w:b/>
          <w:bCs/>
          <w:sz w:val="22"/>
          <w:szCs w:val="22"/>
        </w:rPr>
        <w:t>Table S4</w:t>
      </w:r>
      <w:r w:rsidRPr="00490B43">
        <w:rPr>
          <w:rFonts w:ascii="Arial" w:hAnsi="Arial" w:cs="Arial"/>
          <w:sz w:val="22"/>
          <w:szCs w:val="22"/>
        </w:rPr>
        <w:t>.</w:t>
      </w:r>
      <w:r w:rsidRPr="006A3BEE">
        <w:rPr>
          <w:rFonts w:ascii="Arial" w:hAnsi="Arial" w:cs="Arial"/>
          <w:sz w:val="22"/>
          <w:szCs w:val="22"/>
        </w:rPr>
        <w:t xml:space="preserve"> </w:t>
      </w:r>
      <w:r>
        <w:rPr>
          <w:rFonts w:ascii="Arial" w:hAnsi="Arial" w:cs="Arial"/>
          <w:sz w:val="22"/>
          <w:szCs w:val="22"/>
        </w:rPr>
        <w:t>Rate</w:t>
      </w:r>
      <w:r w:rsidRPr="006A3BEE">
        <w:rPr>
          <w:rFonts w:ascii="Arial" w:hAnsi="Arial" w:cs="Arial"/>
          <w:sz w:val="22"/>
          <w:szCs w:val="22"/>
        </w:rPr>
        <w:t xml:space="preserve"> ratio of dementia or Alzheimer’s Disease (AD) per IQR increase in air pollutants</w:t>
      </w:r>
      <w:r>
        <w:rPr>
          <w:rFonts w:ascii="Arial" w:hAnsi="Arial" w:cs="Arial"/>
          <w:sz w:val="22"/>
          <w:szCs w:val="22"/>
        </w:rPr>
        <w:t>, derived from the linear rate models</w:t>
      </w:r>
      <w:r w:rsidRPr="006A3BEE">
        <w:rPr>
          <w:rFonts w:ascii="Arial" w:hAnsi="Arial" w:cs="Arial"/>
          <w:sz w:val="22"/>
          <w:szCs w:val="22"/>
        </w:rPr>
        <w:t>.</w:t>
      </w:r>
      <w:r w:rsidRPr="0094073E">
        <w:rPr>
          <w:rFonts w:ascii="Arial" w:hAnsi="Arial" w:cs="Arial"/>
          <w:sz w:val="22"/>
          <w:szCs w:val="22"/>
        </w:rPr>
        <w:t xml:space="preserve"> </w:t>
      </w:r>
    </w:p>
    <w:p w14:paraId="76EEE14D" w14:textId="77777777" w:rsidR="00600810" w:rsidRDefault="00600810" w:rsidP="00600810">
      <w:pPr>
        <w:rPr>
          <w:rFonts w:ascii="Arial" w:eastAsiaTheme="minorEastAsia" w:hAnsi="Arial" w:cs="Arial"/>
        </w:rPr>
      </w:pPr>
    </w:p>
    <w:tbl>
      <w:tblPr>
        <w:tblStyle w:val="TableGrid"/>
        <w:tblW w:w="0" w:type="auto"/>
        <w:tblLook w:val="04A0" w:firstRow="1" w:lastRow="0" w:firstColumn="1" w:lastColumn="0" w:noHBand="0" w:noVBand="1"/>
      </w:tblPr>
      <w:tblGrid>
        <w:gridCol w:w="2337"/>
        <w:gridCol w:w="2337"/>
        <w:gridCol w:w="2338"/>
      </w:tblGrid>
      <w:tr w:rsidR="00600810" w14:paraId="7AB19435" w14:textId="77777777" w:rsidTr="00D3547D">
        <w:tc>
          <w:tcPr>
            <w:tcW w:w="2337" w:type="dxa"/>
            <w:tcBorders>
              <w:top w:val="single" w:sz="4" w:space="0" w:color="auto"/>
              <w:left w:val="single" w:sz="4" w:space="0" w:color="auto"/>
              <w:bottom w:val="single" w:sz="4" w:space="0" w:color="auto"/>
              <w:right w:val="single" w:sz="4" w:space="0" w:color="auto"/>
            </w:tcBorders>
          </w:tcPr>
          <w:p w14:paraId="45464839" w14:textId="77777777" w:rsidR="00600810" w:rsidRDefault="00600810" w:rsidP="00D3547D">
            <w:pPr>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hideMark/>
          </w:tcPr>
          <w:p w14:paraId="344D9949" w14:textId="77777777" w:rsidR="00600810" w:rsidRDefault="00600810" w:rsidP="00D3547D">
            <w:pPr>
              <w:rPr>
                <w:rFonts w:ascii="Arial" w:hAnsi="Arial" w:cs="Arial"/>
                <w:b/>
                <w:bCs/>
                <w:sz w:val="22"/>
                <w:szCs w:val="22"/>
              </w:rPr>
            </w:pPr>
            <w:r>
              <w:rPr>
                <w:rFonts w:ascii="Arial" w:hAnsi="Arial" w:cs="Arial"/>
                <w:b/>
                <w:bCs/>
                <w:sz w:val="22"/>
                <w:szCs w:val="22"/>
              </w:rPr>
              <w:t>Cox model</w:t>
            </w:r>
          </w:p>
        </w:tc>
        <w:tc>
          <w:tcPr>
            <w:tcW w:w="2338" w:type="dxa"/>
            <w:tcBorders>
              <w:top w:val="single" w:sz="4" w:space="0" w:color="auto"/>
              <w:left w:val="single" w:sz="4" w:space="0" w:color="auto"/>
              <w:bottom w:val="single" w:sz="4" w:space="0" w:color="auto"/>
              <w:right w:val="single" w:sz="4" w:space="0" w:color="auto"/>
            </w:tcBorders>
            <w:hideMark/>
          </w:tcPr>
          <w:p w14:paraId="1FFE528C" w14:textId="77777777" w:rsidR="00600810" w:rsidRDefault="00600810" w:rsidP="00D3547D">
            <w:pPr>
              <w:rPr>
                <w:rFonts w:ascii="Arial" w:hAnsi="Arial" w:cs="Arial"/>
                <w:b/>
                <w:bCs/>
                <w:sz w:val="22"/>
                <w:szCs w:val="22"/>
              </w:rPr>
            </w:pPr>
            <w:r>
              <w:rPr>
                <w:rFonts w:ascii="Arial" w:hAnsi="Arial" w:cs="Arial"/>
                <w:b/>
                <w:bCs/>
                <w:sz w:val="22"/>
                <w:szCs w:val="22"/>
              </w:rPr>
              <w:t>Linear rate model</w:t>
            </w:r>
          </w:p>
        </w:tc>
      </w:tr>
      <w:tr w:rsidR="00600810" w14:paraId="657F65DF" w14:textId="77777777" w:rsidTr="00D3547D">
        <w:tc>
          <w:tcPr>
            <w:tcW w:w="7012" w:type="dxa"/>
            <w:gridSpan w:val="3"/>
            <w:tcBorders>
              <w:top w:val="single" w:sz="4" w:space="0" w:color="auto"/>
              <w:left w:val="single" w:sz="4" w:space="0" w:color="auto"/>
              <w:bottom w:val="single" w:sz="4" w:space="0" w:color="auto"/>
              <w:right w:val="single" w:sz="4" w:space="0" w:color="auto"/>
            </w:tcBorders>
            <w:hideMark/>
          </w:tcPr>
          <w:p w14:paraId="098F9CCF" w14:textId="77777777" w:rsidR="00600810" w:rsidRDefault="00600810" w:rsidP="00D3547D">
            <w:pPr>
              <w:rPr>
                <w:rFonts w:ascii="Arial" w:hAnsi="Arial" w:cs="Arial"/>
                <w:b/>
                <w:bCs/>
                <w:sz w:val="22"/>
                <w:szCs w:val="22"/>
              </w:rPr>
            </w:pPr>
            <w:r>
              <w:rPr>
                <w:rFonts w:ascii="Arial" w:hAnsi="Arial" w:cs="Arial"/>
                <w:b/>
                <w:bCs/>
                <w:sz w:val="22"/>
                <w:szCs w:val="22"/>
              </w:rPr>
              <w:t>Dementia</w:t>
            </w:r>
          </w:p>
        </w:tc>
      </w:tr>
      <w:tr w:rsidR="00600810" w14:paraId="4D0490D7"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63741073" w14:textId="77777777" w:rsidR="00600810" w:rsidRDefault="00600810" w:rsidP="00D3547D">
            <w:pPr>
              <w:rPr>
                <w:rFonts w:ascii="Arial" w:hAnsi="Arial" w:cs="Arial"/>
                <w:sz w:val="22"/>
                <w:szCs w:val="22"/>
              </w:rPr>
            </w:pPr>
            <w:r>
              <w:rPr>
                <w:rFonts w:ascii="Arial" w:hAnsi="Arial" w:cs="Arial"/>
                <w:sz w:val="22"/>
                <w:szCs w:val="22"/>
              </w:rPr>
              <w:t xml:space="preserve">   PM</w:t>
            </w:r>
            <w:r>
              <w:rPr>
                <w:rFonts w:ascii="Arial" w:hAnsi="Arial" w:cs="Arial"/>
                <w:sz w:val="22"/>
                <w:szCs w:val="22"/>
                <w:vertAlign w:val="subscript"/>
              </w:rPr>
              <w:t>2.5</w:t>
            </w:r>
          </w:p>
        </w:tc>
        <w:tc>
          <w:tcPr>
            <w:tcW w:w="2337" w:type="dxa"/>
            <w:tcBorders>
              <w:top w:val="single" w:sz="4" w:space="0" w:color="auto"/>
              <w:left w:val="single" w:sz="4" w:space="0" w:color="auto"/>
              <w:bottom w:val="single" w:sz="4" w:space="0" w:color="auto"/>
              <w:right w:val="single" w:sz="4" w:space="0" w:color="auto"/>
            </w:tcBorders>
            <w:hideMark/>
          </w:tcPr>
          <w:p w14:paraId="76A7EFF4"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1.060</w:t>
            </w:r>
            <w:r>
              <w:rPr>
                <w:rFonts w:ascii="Arial" w:hAnsi="Arial" w:cs="Arial"/>
                <w:color w:val="000000"/>
                <w:sz w:val="20"/>
                <w:szCs w:val="20"/>
                <w:bdr w:val="none" w:sz="0" w:space="0" w:color="auto" w:frame="1"/>
              </w:rPr>
              <w:t xml:space="preserve"> (1.054, 1.066)</w:t>
            </w:r>
          </w:p>
        </w:tc>
        <w:tc>
          <w:tcPr>
            <w:tcW w:w="2338" w:type="dxa"/>
            <w:tcBorders>
              <w:top w:val="single" w:sz="4" w:space="0" w:color="auto"/>
              <w:left w:val="single" w:sz="4" w:space="0" w:color="auto"/>
              <w:bottom w:val="single" w:sz="4" w:space="0" w:color="auto"/>
              <w:right w:val="single" w:sz="4" w:space="0" w:color="auto"/>
            </w:tcBorders>
          </w:tcPr>
          <w:p w14:paraId="23AD5E3A"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1.067</w:t>
            </w:r>
            <w:r>
              <w:rPr>
                <w:rFonts w:ascii="Arial" w:hAnsi="Arial" w:cs="Arial"/>
                <w:color w:val="000000"/>
                <w:sz w:val="20"/>
                <w:szCs w:val="20"/>
                <w:bdr w:val="none" w:sz="0" w:space="0" w:color="auto" w:frame="1"/>
              </w:rPr>
              <w:t xml:space="preserve"> (1.062, 1.071)</w:t>
            </w:r>
          </w:p>
        </w:tc>
      </w:tr>
      <w:tr w:rsidR="00600810" w14:paraId="390E69FE"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433563AB" w14:textId="77777777" w:rsidR="00600810" w:rsidRDefault="00600810" w:rsidP="00D3547D">
            <w:pPr>
              <w:rPr>
                <w:rFonts w:ascii="Arial" w:hAnsi="Arial" w:cs="Arial"/>
                <w:sz w:val="22"/>
                <w:szCs w:val="22"/>
              </w:rPr>
            </w:pPr>
            <w:r>
              <w:rPr>
                <w:rFonts w:ascii="Arial" w:hAnsi="Arial" w:cs="Arial"/>
                <w:sz w:val="22"/>
                <w:szCs w:val="22"/>
              </w:rPr>
              <w:t xml:space="preserve">   NO</w:t>
            </w:r>
            <w:r>
              <w:rPr>
                <w:rFonts w:ascii="Arial" w:hAnsi="Arial" w:cs="Arial"/>
                <w:sz w:val="22"/>
                <w:szCs w:val="22"/>
                <w:vertAlign w:val="subscript"/>
              </w:rPr>
              <w:t>2</w:t>
            </w:r>
          </w:p>
        </w:tc>
        <w:tc>
          <w:tcPr>
            <w:tcW w:w="2337" w:type="dxa"/>
            <w:tcBorders>
              <w:top w:val="single" w:sz="4" w:space="0" w:color="auto"/>
              <w:left w:val="single" w:sz="4" w:space="0" w:color="auto"/>
              <w:bottom w:val="single" w:sz="4" w:space="0" w:color="auto"/>
              <w:right w:val="single" w:sz="4" w:space="0" w:color="auto"/>
            </w:tcBorders>
            <w:hideMark/>
          </w:tcPr>
          <w:p w14:paraId="723D6F9C"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1.019</w:t>
            </w:r>
            <w:r>
              <w:rPr>
                <w:rFonts w:ascii="Arial" w:hAnsi="Arial" w:cs="Arial"/>
                <w:color w:val="000000"/>
                <w:sz w:val="20"/>
                <w:szCs w:val="20"/>
                <w:bdr w:val="none" w:sz="0" w:space="0" w:color="auto" w:frame="1"/>
              </w:rPr>
              <w:t xml:space="preserve"> (1.012, 1.026)</w:t>
            </w:r>
          </w:p>
        </w:tc>
        <w:tc>
          <w:tcPr>
            <w:tcW w:w="2338" w:type="dxa"/>
            <w:tcBorders>
              <w:top w:val="single" w:sz="4" w:space="0" w:color="auto"/>
              <w:left w:val="single" w:sz="4" w:space="0" w:color="auto"/>
              <w:bottom w:val="single" w:sz="4" w:space="0" w:color="auto"/>
              <w:right w:val="single" w:sz="4" w:space="0" w:color="auto"/>
            </w:tcBorders>
          </w:tcPr>
          <w:p w14:paraId="39EFA15E"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1.064</w:t>
            </w:r>
            <w:r>
              <w:rPr>
                <w:rFonts w:ascii="Arial" w:hAnsi="Arial" w:cs="Arial"/>
                <w:color w:val="000000"/>
                <w:sz w:val="20"/>
                <w:szCs w:val="20"/>
                <w:bdr w:val="none" w:sz="0" w:space="0" w:color="auto" w:frame="1"/>
              </w:rPr>
              <w:t xml:space="preserve"> (1.058, 1.069)</w:t>
            </w:r>
          </w:p>
        </w:tc>
      </w:tr>
      <w:tr w:rsidR="00600810" w14:paraId="4FF64D5C"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7904FCC0" w14:textId="77777777" w:rsidR="00600810" w:rsidRDefault="00600810" w:rsidP="00D3547D">
            <w:pPr>
              <w:rPr>
                <w:rFonts w:ascii="Arial" w:hAnsi="Arial" w:cs="Arial"/>
                <w:sz w:val="22"/>
                <w:szCs w:val="22"/>
              </w:rPr>
            </w:pPr>
            <w:r>
              <w:rPr>
                <w:rFonts w:ascii="Arial" w:hAnsi="Arial" w:cs="Arial"/>
                <w:sz w:val="22"/>
                <w:szCs w:val="22"/>
              </w:rPr>
              <w:t xml:space="preserve">   O</w:t>
            </w:r>
            <w:r>
              <w:rPr>
                <w:rFonts w:ascii="Arial" w:hAnsi="Arial" w:cs="Arial"/>
                <w:sz w:val="22"/>
                <w:szCs w:val="22"/>
                <w:vertAlign w:val="subscript"/>
              </w:rPr>
              <w:t>3</w:t>
            </w:r>
          </w:p>
        </w:tc>
        <w:tc>
          <w:tcPr>
            <w:tcW w:w="2337" w:type="dxa"/>
            <w:tcBorders>
              <w:top w:val="single" w:sz="4" w:space="0" w:color="auto"/>
              <w:left w:val="single" w:sz="4" w:space="0" w:color="auto"/>
              <w:bottom w:val="single" w:sz="4" w:space="0" w:color="auto"/>
              <w:right w:val="single" w:sz="4" w:space="0" w:color="auto"/>
            </w:tcBorders>
            <w:hideMark/>
          </w:tcPr>
          <w:p w14:paraId="4F615CE4"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0.990</w:t>
            </w:r>
            <w:r>
              <w:rPr>
                <w:rFonts w:ascii="Arial" w:hAnsi="Arial" w:cs="Arial"/>
                <w:color w:val="000000"/>
                <w:sz w:val="20"/>
                <w:szCs w:val="20"/>
                <w:bdr w:val="none" w:sz="0" w:space="0" w:color="auto" w:frame="1"/>
              </w:rPr>
              <w:t xml:space="preserve"> (0.987, 0.993)</w:t>
            </w:r>
          </w:p>
        </w:tc>
        <w:tc>
          <w:tcPr>
            <w:tcW w:w="2338" w:type="dxa"/>
            <w:tcBorders>
              <w:top w:val="single" w:sz="4" w:space="0" w:color="auto"/>
              <w:left w:val="single" w:sz="4" w:space="0" w:color="auto"/>
              <w:bottom w:val="single" w:sz="4" w:space="0" w:color="auto"/>
              <w:right w:val="single" w:sz="4" w:space="0" w:color="auto"/>
            </w:tcBorders>
          </w:tcPr>
          <w:p w14:paraId="65357C81"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0.990</w:t>
            </w:r>
            <w:r>
              <w:rPr>
                <w:rFonts w:ascii="Arial" w:hAnsi="Arial" w:cs="Arial"/>
                <w:color w:val="000000"/>
                <w:sz w:val="20"/>
                <w:szCs w:val="20"/>
                <w:bdr w:val="none" w:sz="0" w:space="0" w:color="auto" w:frame="1"/>
              </w:rPr>
              <w:t xml:space="preserve"> (0.987, 0.993)</w:t>
            </w:r>
          </w:p>
        </w:tc>
      </w:tr>
      <w:tr w:rsidR="00600810" w14:paraId="7A4886F9" w14:textId="77777777" w:rsidTr="00D3547D">
        <w:tc>
          <w:tcPr>
            <w:tcW w:w="7012" w:type="dxa"/>
            <w:gridSpan w:val="3"/>
            <w:tcBorders>
              <w:top w:val="single" w:sz="4" w:space="0" w:color="auto"/>
              <w:left w:val="single" w:sz="4" w:space="0" w:color="auto"/>
              <w:bottom w:val="single" w:sz="4" w:space="0" w:color="auto"/>
              <w:right w:val="single" w:sz="4" w:space="0" w:color="auto"/>
            </w:tcBorders>
            <w:hideMark/>
          </w:tcPr>
          <w:p w14:paraId="37029CDC" w14:textId="77777777" w:rsidR="00600810" w:rsidRDefault="00600810" w:rsidP="00D3547D">
            <w:pPr>
              <w:rPr>
                <w:rFonts w:ascii="Arial" w:hAnsi="Arial" w:cs="Arial"/>
                <w:b/>
                <w:bCs/>
                <w:sz w:val="22"/>
                <w:szCs w:val="22"/>
              </w:rPr>
            </w:pPr>
            <w:r>
              <w:rPr>
                <w:rFonts w:ascii="Arial" w:hAnsi="Arial" w:cs="Arial"/>
                <w:b/>
                <w:bCs/>
                <w:sz w:val="22"/>
                <w:szCs w:val="22"/>
              </w:rPr>
              <w:t>AD</w:t>
            </w:r>
          </w:p>
        </w:tc>
      </w:tr>
      <w:tr w:rsidR="00600810" w14:paraId="1F8A542D"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4B6F039B" w14:textId="77777777" w:rsidR="00600810" w:rsidRDefault="00600810" w:rsidP="00D3547D">
            <w:pPr>
              <w:rPr>
                <w:rFonts w:ascii="Arial" w:hAnsi="Arial" w:cs="Arial"/>
                <w:sz w:val="22"/>
                <w:szCs w:val="22"/>
              </w:rPr>
            </w:pPr>
            <w:r>
              <w:rPr>
                <w:rFonts w:ascii="Arial" w:hAnsi="Arial" w:cs="Arial"/>
                <w:sz w:val="22"/>
                <w:szCs w:val="22"/>
              </w:rPr>
              <w:t xml:space="preserve">   PM</w:t>
            </w:r>
            <w:r>
              <w:rPr>
                <w:rFonts w:ascii="Arial" w:hAnsi="Arial" w:cs="Arial"/>
                <w:sz w:val="22"/>
                <w:szCs w:val="22"/>
                <w:vertAlign w:val="subscript"/>
              </w:rPr>
              <w:t>2.5</w:t>
            </w:r>
          </w:p>
        </w:tc>
        <w:tc>
          <w:tcPr>
            <w:tcW w:w="2337" w:type="dxa"/>
            <w:tcBorders>
              <w:top w:val="single" w:sz="4" w:space="0" w:color="auto"/>
              <w:left w:val="single" w:sz="4" w:space="0" w:color="auto"/>
              <w:bottom w:val="single" w:sz="4" w:space="0" w:color="auto"/>
              <w:right w:val="single" w:sz="4" w:space="0" w:color="auto"/>
            </w:tcBorders>
            <w:hideMark/>
          </w:tcPr>
          <w:p w14:paraId="7CEA229A"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1.078</w:t>
            </w:r>
            <w:r>
              <w:rPr>
                <w:rFonts w:ascii="Arial" w:hAnsi="Arial" w:cs="Arial"/>
                <w:color w:val="000000"/>
                <w:sz w:val="20"/>
                <w:szCs w:val="20"/>
                <w:bdr w:val="none" w:sz="0" w:space="0" w:color="auto" w:frame="1"/>
              </w:rPr>
              <w:t xml:space="preserve"> (1.070, 1.086)</w:t>
            </w:r>
          </w:p>
        </w:tc>
        <w:tc>
          <w:tcPr>
            <w:tcW w:w="2338" w:type="dxa"/>
            <w:tcBorders>
              <w:top w:val="single" w:sz="4" w:space="0" w:color="auto"/>
              <w:left w:val="single" w:sz="4" w:space="0" w:color="auto"/>
              <w:bottom w:val="single" w:sz="4" w:space="0" w:color="auto"/>
              <w:right w:val="single" w:sz="4" w:space="0" w:color="auto"/>
            </w:tcBorders>
          </w:tcPr>
          <w:p w14:paraId="3D3E7138"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1.105</w:t>
            </w:r>
            <w:r>
              <w:rPr>
                <w:rFonts w:ascii="Arial" w:hAnsi="Arial" w:cs="Arial"/>
                <w:color w:val="000000"/>
                <w:sz w:val="20"/>
                <w:szCs w:val="20"/>
                <w:bdr w:val="none" w:sz="0" w:space="0" w:color="auto" w:frame="1"/>
              </w:rPr>
              <w:t xml:space="preserve"> (1.098, 1.113)</w:t>
            </w:r>
          </w:p>
        </w:tc>
      </w:tr>
      <w:tr w:rsidR="00600810" w14:paraId="05408D5A"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18CC0C3B" w14:textId="77777777" w:rsidR="00600810" w:rsidRDefault="00600810" w:rsidP="00D3547D">
            <w:pPr>
              <w:rPr>
                <w:rFonts w:ascii="Arial" w:hAnsi="Arial" w:cs="Arial"/>
                <w:sz w:val="22"/>
                <w:szCs w:val="22"/>
              </w:rPr>
            </w:pPr>
            <w:r>
              <w:rPr>
                <w:rFonts w:ascii="Arial" w:hAnsi="Arial" w:cs="Arial"/>
                <w:sz w:val="22"/>
                <w:szCs w:val="22"/>
              </w:rPr>
              <w:t xml:space="preserve">   NO</w:t>
            </w:r>
            <w:r>
              <w:rPr>
                <w:rFonts w:ascii="Arial" w:hAnsi="Arial" w:cs="Arial"/>
                <w:sz w:val="22"/>
                <w:szCs w:val="22"/>
                <w:vertAlign w:val="subscript"/>
              </w:rPr>
              <w:t>2</w:t>
            </w:r>
          </w:p>
        </w:tc>
        <w:tc>
          <w:tcPr>
            <w:tcW w:w="2337" w:type="dxa"/>
            <w:tcBorders>
              <w:top w:val="single" w:sz="4" w:space="0" w:color="auto"/>
              <w:left w:val="single" w:sz="4" w:space="0" w:color="auto"/>
              <w:bottom w:val="single" w:sz="4" w:space="0" w:color="auto"/>
              <w:right w:val="single" w:sz="4" w:space="0" w:color="auto"/>
            </w:tcBorders>
            <w:hideMark/>
          </w:tcPr>
          <w:p w14:paraId="66FDEAA7"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1.031</w:t>
            </w:r>
            <w:r>
              <w:rPr>
                <w:rFonts w:ascii="Arial" w:hAnsi="Arial" w:cs="Arial"/>
                <w:color w:val="000000"/>
                <w:sz w:val="20"/>
                <w:szCs w:val="20"/>
                <w:bdr w:val="none" w:sz="0" w:space="0" w:color="auto" w:frame="1"/>
              </w:rPr>
              <w:t xml:space="preserve"> (1.023, 1.039)</w:t>
            </w:r>
          </w:p>
        </w:tc>
        <w:tc>
          <w:tcPr>
            <w:tcW w:w="2338" w:type="dxa"/>
            <w:tcBorders>
              <w:top w:val="single" w:sz="4" w:space="0" w:color="auto"/>
              <w:left w:val="single" w:sz="4" w:space="0" w:color="auto"/>
              <w:bottom w:val="single" w:sz="4" w:space="0" w:color="auto"/>
              <w:right w:val="single" w:sz="4" w:space="0" w:color="auto"/>
            </w:tcBorders>
          </w:tcPr>
          <w:p w14:paraId="362003DA"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1.071</w:t>
            </w:r>
            <w:r>
              <w:rPr>
                <w:rFonts w:ascii="Arial" w:hAnsi="Arial" w:cs="Arial"/>
                <w:color w:val="000000"/>
                <w:sz w:val="20"/>
                <w:szCs w:val="20"/>
                <w:bdr w:val="none" w:sz="0" w:space="0" w:color="auto" w:frame="1"/>
              </w:rPr>
              <w:t xml:space="preserve"> (1.063, 1.080)</w:t>
            </w:r>
          </w:p>
        </w:tc>
      </w:tr>
      <w:tr w:rsidR="00600810" w14:paraId="33566CB9" w14:textId="77777777" w:rsidTr="00D3547D">
        <w:tc>
          <w:tcPr>
            <w:tcW w:w="2337" w:type="dxa"/>
            <w:tcBorders>
              <w:top w:val="single" w:sz="4" w:space="0" w:color="auto"/>
              <w:left w:val="single" w:sz="4" w:space="0" w:color="auto"/>
              <w:bottom w:val="single" w:sz="4" w:space="0" w:color="auto"/>
              <w:right w:val="single" w:sz="4" w:space="0" w:color="auto"/>
            </w:tcBorders>
            <w:hideMark/>
          </w:tcPr>
          <w:p w14:paraId="187B704B" w14:textId="77777777" w:rsidR="00600810" w:rsidRDefault="00600810" w:rsidP="00D3547D">
            <w:pPr>
              <w:rPr>
                <w:rFonts w:ascii="Arial" w:hAnsi="Arial" w:cs="Arial"/>
                <w:sz w:val="22"/>
                <w:szCs w:val="22"/>
              </w:rPr>
            </w:pPr>
            <w:r>
              <w:rPr>
                <w:rFonts w:ascii="Arial" w:hAnsi="Arial" w:cs="Arial"/>
                <w:sz w:val="22"/>
                <w:szCs w:val="22"/>
              </w:rPr>
              <w:t xml:space="preserve">   O</w:t>
            </w:r>
            <w:r>
              <w:rPr>
                <w:rFonts w:ascii="Arial" w:hAnsi="Arial" w:cs="Arial"/>
                <w:sz w:val="22"/>
                <w:szCs w:val="22"/>
                <w:vertAlign w:val="subscript"/>
              </w:rPr>
              <w:t>3</w:t>
            </w:r>
          </w:p>
        </w:tc>
        <w:tc>
          <w:tcPr>
            <w:tcW w:w="2337" w:type="dxa"/>
            <w:tcBorders>
              <w:top w:val="single" w:sz="4" w:space="0" w:color="auto"/>
              <w:left w:val="single" w:sz="4" w:space="0" w:color="auto"/>
              <w:bottom w:val="single" w:sz="4" w:space="0" w:color="auto"/>
              <w:right w:val="single" w:sz="4" w:space="0" w:color="auto"/>
            </w:tcBorders>
            <w:hideMark/>
          </w:tcPr>
          <w:p w14:paraId="528FA25F"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0.982</w:t>
            </w:r>
            <w:r>
              <w:rPr>
                <w:rFonts w:ascii="Arial" w:hAnsi="Arial" w:cs="Arial"/>
                <w:color w:val="000000"/>
                <w:sz w:val="20"/>
                <w:szCs w:val="20"/>
                <w:bdr w:val="none" w:sz="0" w:space="0" w:color="auto" w:frame="1"/>
              </w:rPr>
              <w:t xml:space="preserve"> (0.977, 0.986)</w:t>
            </w:r>
          </w:p>
        </w:tc>
        <w:tc>
          <w:tcPr>
            <w:tcW w:w="2338" w:type="dxa"/>
            <w:tcBorders>
              <w:top w:val="single" w:sz="4" w:space="0" w:color="auto"/>
              <w:left w:val="single" w:sz="4" w:space="0" w:color="auto"/>
              <w:bottom w:val="single" w:sz="4" w:space="0" w:color="auto"/>
              <w:right w:val="single" w:sz="4" w:space="0" w:color="auto"/>
            </w:tcBorders>
          </w:tcPr>
          <w:p w14:paraId="6B54E808" w14:textId="77777777" w:rsidR="00600810" w:rsidRDefault="00600810"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42361C">
              <w:rPr>
                <w:rFonts w:ascii="Arial" w:hAnsi="Arial" w:cs="Arial"/>
                <w:b/>
                <w:color w:val="000000"/>
                <w:sz w:val="20"/>
                <w:szCs w:val="20"/>
                <w:bdr w:val="none" w:sz="0" w:space="0" w:color="auto" w:frame="1"/>
              </w:rPr>
              <w:t>0.978</w:t>
            </w:r>
            <w:r>
              <w:rPr>
                <w:rFonts w:ascii="Arial" w:hAnsi="Arial" w:cs="Arial"/>
                <w:color w:val="000000"/>
                <w:sz w:val="20"/>
                <w:szCs w:val="20"/>
                <w:bdr w:val="none" w:sz="0" w:space="0" w:color="auto" w:frame="1"/>
              </w:rPr>
              <w:t xml:space="preserve"> (0.974, 0.983)</w:t>
            </w:r>
          </w:p>
        </w:tc>
      </w:tr>
    </w:tbl>
    <w:p w14:paraId="1595CBC1" w14:textId="77777777" w:rsidR="00600810" w:rsidRPr="00C9298C" w:rsidRDefault="00600810" w:rsidP="00600810">
      <w:pPr>
        <w:rPr>
          <w:rFonts w:ascii="Arial" w:hAnsi="Arial" w:cs="Arial"/>
          <w:sz w:val="20"/>
          <w:szCs w:val="20"/>
        </w:rPr>
      </w:pPr>
      <w:r w:rsidRPr="00C9298C">
        <w:rPr>
          <w:rFonts w:ascii="Arial" w:hAnsi="Arial" w:cs="Arial"/>
          <w:sz w:val="20"/>
          <w:szCs w:val="20"/>
        </w:rPr>
        <w:t xml:space="preserve">Note: </w:t>
      </w:r>
      <w:r>
        <w:rPr>
          <w:rFonts w:ascii="Arial" w:hAnsi="Arial" w:cs="Arial"/>
          <w:sz w:val="20"/>
          <w:szCs w:val="20"/>
        </w:rPr>
        <w:t xml:space="preserve">The baseline </w:t>
      </w:r>
      <w:r w:rsidRPr="00A7549A">
        <w:rPr>
          <w:rFonts w:ascii="Arial" w:hAnsi="Arial" w:cs="Arial"/>
          <w:sz w:val="20"/>
          <w:szCs w:val="20"/>
        </w:rPr>
        <w:t xml:space="preserve">incidence rate </w:t>
      </w:r>
      <w:r>
        <w:rPr>
          <w:rFonts w:ascii="Arial" w:hAnsi="Arial" w:cs="Arial"/>
          <w:sz w:val="20"/>
          <w:szCs w:val="20"/>
        </w:rPr>
        <w:t xml:space="preserve">of dementia or AD was calculated based on the number of events and total person years in </w:t>
      </w:r>
      <w:r w:rsidRPr="00A7549A">
        <w:rPr>
          <w:rFonts w:ascii="Arial" w:hAnsi="Arial" w:cs="Arial"/>
          <w:sz w:val="20"/>
          <w:szCs w:val="20"/>
        </w:rPr>
        <w:t>Table 1</w:t>
      </w:r>
      <w:r>
        <w:rPr>
          <w:rFonts w:ascii="Arial" w:hAnsi="Arial" w:cs="Arial"/>
          <w:sz w:val="20"/>
          <w:szCs w:val="20"/>
        </w:rPr>
        <w:t xml:space="preserve">. </w:t>
      </w:r>
    </w:p>
    <w:p w14:paraId="5ECE642F" w14:textId="2EE65A7C" w:rsidR="00264CFF" w:rsidRPr="006A3BEE" w:rsidRDefault="00264CFF" w:rsidP="0076223E">
      <w:pPr>
        <w:rPr>
          <w:rFonts w:ascii="Arial" w:eastAsiaTheme="minorEastAsia" w:hAnsi="Arial" w:cs="Arial"/>
        </w:rPr>
      </w:pPr>
    </w:p>
    <w:p w14:paraId="05BECB70" w14:textId="12CFCCCB" w:rsidR="00027DCD" w:rsidRDefault="00027DCD">
      <w:pPr>
        <w:rPr>
          <w:rFonts w:ascii="Arial" w:hAnsi="Arial" w:cs="Arial"/>
          <w:sz w:val="22"/>
          <w:szCs w:val="22"/>
        </w:rPr>
      </w:pPr>
      <w:r>
        <w:rPr>
          <w:rFonts w:ascii="Arial" w:hAnsi="Arial" w:cs="Arial"/>
          <w:sz w:val="22"/>
          <w:szCs w:val="22"/>
        </w:rPr>
        <w:br w:type="page"/>
      </w:r>
    </w:p>
    <w:p w14:paraId="48F04E41" w14:textId="77777777" w:rsidR="001A7D35" w:rsidRDefault="001A7D35" w:rsidP="0076223E">
      <w:pPr>
        <w:rPr>
          <w:rFonts w:ascii="Arial" w:hAnsi="Arial" w:cs="Arial"/>
          <w:sz w:val="22"/>
          <w:szCs w:val="22"/>
        </w:rPr>
      </w:pPr>
    </w:p>
    <w:p w14:paraId="0E9DDD8A" w14:textId="179B2D96" w:rsidR="00682292" w:rsidRDefault="00682292" w:rsidP="00682292">
      <w:pPr>
        <w:rPr>
          <w:rFonts w:ascii="Arial" w:hAnsi="Arial" w:cs="Arial"/>
          <w:sz w:val="22"/>
          <w:szCs w:val="22"/>
        </w:rPr>
      </w:pPr>
      <w:r w:rsidRPr="00E5577C">
        <w:rPr>
          <w:rFonts w:ascii="Arial" w:hAnsi="Arial" w:cs="Arial"/>
          <w:b/>
          <w:bCs/>
          <w:sz w:val="22"/>
          <w:szCs w:val="22"/>
        </w:rPr>
        <w:t>Table S5</w:t>
      </w:r>
      <w:r w:rsidRPr="0022686D">
        <w:rPr>
          <w:rFonts w:ascii="Arial" w:hAnsi="Arial" w:cs="Arial"/>
          <w:sz w:val="22"/>
          <w:szCs w:val="22"/>
        </w:rPr>
        <w:t>.</w:t>
      </w:r>
      <w:r w:rsidRPr="006A3BEE">
        <w:rPr>
          <w:rFonts w:ascii="Arial" w:hAnsi="Arial" w:cs="Arial"/>
        </w:rPr>
        <w:t xml:space="preserve"> </w:t>
      </w:r>
      <w:r w:rsidRPr="006A3BEE">
        <w:rPr>
          <w:rFonts w:ascii="Arial" w:hAnsi="Arial" w:cs="Arial"/>
          <w:sz w:val="22"/>
          <w:szCs w:val="22"/>
        </w:rPr>
        <w:t>Hazard ratio of dementia or Alzheimer’s Disease (AD) per IQR increase in each pollutant, accounting for potential outcome misclassification</w:t>
      </w:r>
      <w:r>
        <w:rPr>
          <w:rFonts w:ascii="Arial" w:hAnsi="Arial" w:cs="Arial"/>
          <w:sz w:val="22"/>
          <w:szCs w:val="22"/>
        </w:rPr>
        <w:t xml:space="preserve"> via adjusting data for assumed sensitivity and specificity of classification (from Taylor et al. 2009</w:t>
      </w:r>
      <w:r>
        <w:rPr>
          <w:rFonts w:ascii="Arial" w:hAnsi="Arial" w:cs="Arial"/>
          <w:sz w:val="22"/>
          <w:szCs w:val="22"/>
        </w:rPr>
        <w:fldChar w:fldCharType="begin"/>
      </w:r>
      <w:r>
        <w:rPr>
          <w:rFonts w:ascii="Arial" w:hAnsi="Arial" w:cs="Arial"/>
          <w:sz w:val="22"/>
          <w:szCs w:val="22"/>
        </w:rPr>
        <w:instrText xml:space="preserve"> ADDIN EN.CITE &lt;EndNote&gt;&lt;Cite&gt;&lt;Author&gt;Taylor Jr&lt;/Author&gt;&lt;Year&gt;2009&lt;/Year&gt;&lt;RecNum&gt;52&lt;/RecNum&gt;&lt;DisplayText&gt;&lt;style face="superscript"&gt;3&lt;/style&gt;&lt;/DisplayText&gt;&lt;record&gt;&lt;rec-number&gt;52&lt;/rec-number&gt;&lt;foreign-keys&gt;&lt;key app="EN" db-id="5rr2vvdxv9p2v7ex9arxxevxastztad0efad" timestamp="1597110664"&gt;52&lt;/key&gt;&lt;/foreign-keys&gt;&lt;ref-type name="Journal Article"&gt;17&lt;/ref-type&gt;&lt;contributors&gt;&lt;authors&gt;&lt;author&gt;Taylor Jr, Donald H&lt;/author&gt;&lt;author&gt;Østbye, Truls&lt;/author&gt;&lt;author&gt;Langa, Kenneth M&lt;/author&gt;&lt;author&gt;Weir, David&lt;/author&gt;&lt;author&gt;Plassman, Brenda L&lt;/author&gt;&lt;/authors&gt;&lt;/contributors&gt;&lt;titles&gt;&lt;title&gt;The accuracy of Medicare claims as an epidemiological tool: the case of dementia revisited&lt;/title&gt;&lt;secondary-title&gt;Journal of Alzheimer&amp;apos;s Disease&lt;/secondary-title&gt;&lt;/titles&gt;&lt;periodical&gt;&lt;full-title&gt;Journal of Alzheimer&amp;apos;s Disease&lt;/full-title&gt;&lt;/periodical&gt;&lt;pages&gt;807-815&lt;/pages&gt;&lt;volume&gt;17&lt;/volume&gt;&lt;number&gt;4&lt;/number&gt;&lt;dates&gt;&lt;year&gt;2009&lt;/year&gt;&lt;/dates&gt;&lt;isbn&gt;1387-2877&lt;/isbn&gt;&lt;urls&gt;&lt;/urls&gt;&lt;/record&gt;&lt;/Cite&gt;&lt;/EndNote&gt;</w:instrText>
      </w:r>
      <w:r>
        <w:rPr>
          <w:rFonts w:ascii="Arial" w:hAnsi="Arial" w:cs="Arial"/>
          <w:sz w:val="22"/>
          <w:szCs w:val="22"/>
        </w:rPr>
        <w:fldChar w:fldCharType="separate"/>
      </w:r>
      <w:r w:rsidRPr="00B22CF4">
        <w:rPr>
          <w:rFonts w:ascii="Arial" w:hAnsi="Arial" w:cs="Arial"/>
          <w:noProof/>
          <w:sz w:val="22"/>
          <w:szCs w:val="22"/>
          <w:vertAlign w:val="superscript"/>
        </w:rPr>
        <w:t>3</w:t>
      </w:r>
      <w:r>
        <w:rPr>
          <w:rFonts w:ascii="Arial" w:hAnsi="Arial" w:cs="Arial"/>
          <w:sz w:val="22"/>
          <w:szCs w:val="22"/>
        </w:rPr>
        <w:fldChar w:fldCharType="end"/>
      </w:r>
      <w:r>
        <w:rPr>
          <w:rFonts w:ascii="Arial" w:hAnsi="Arial" w:cs="Arial"/>
          <w:sz w:val="22"/>
          <w:szCs w:val="22"/>
        </w:rPr>
        <w:t>)</w:t>
      </w:r>
      <w:r w:rsidRPr="006A3BEE">
        <w:rPr>
          <w:rFonts w:ascii="Arial" w:hAnsi="Arial" w:cs="Arial"/>
          <w:sz w:val="22"/>
          <w:szCs w:val="22"/>
        </w:rPr>
        <w:t>.</w:t>
      </w:r>
    </w:p>
    <w:p w14:paraId="5948BE8A" w14:textId="77777777" w:rsidR="00682292" w:rsidRDefault="00682292" w:rsidP="00682292">
      <w:pPr>
        <w:rPr>
          <w:rFonts w:ascii="Arial" w:hAnsi="Arial" w:cs="Arial"/>
          <w:sz w:val="22"/>
          <w:szCs w:val="22"/>
        </w:rPr>
      </w:pPr>
    </w:p>
    <w:tbl>
      <w:tblPr>
        <w:tblStyle w:val="TableGrid"/>
        <w:tblW w:w="0" w:type="auto"/>
        <w:tblLook w:val="04A0" w:firstRow="1" w:lastRow="0" w:firstColumn="1" w:lastColumn="0" w:noHBand="0" w:noVBand="1"/>
      </w:tblPr>
      <w:tblGrid>
        <w:gridCol w:w="1075"/>
        <w:gridCol w:w="2070"/>
        <w:gridCol w:w="2070"/>
        <w:gridCol w:w="2070"/>
        <w:gridCol w:w="2065"/>
      </w:tblGrid>
      <w:tr w:rsidR="00682292" w14:paraId="54A2B263" w14:textId="77777777" w:rsidTr="00D3547D">
        <w:tc>
          <w:tcPr>
            <w:tcW w:w="1075" w:type="dxa"/>
            <w:tcBorders>
              <w:top w:val="single" w:sz="4" w:space="0" w:color="auto"/>
              <w:left w:val="single" w:sz="4" w:space="0" w:color="auto"/>
              <w:bottom w:val="single" w:sz="4" w:space="0" w:color="auto"/>
              <w:right w:val="single" w:sz="4" w:space="0" w:color="auto"/>
            </w:tcBorders>
          </w:tcPr>
          <w:p w14:paraId="56C291F1" w14:textId="77777777" w:rsidR="00682292" w:rsidRPr="00C0482D" w:rsidRDefault="00682292" w:rsidP="00D3547D">
            <w:pP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14:paraId="0165B447" w14:textId="77777777" w:rsidR="00682292" w:rsidRDefault="00682292" w:rsidP="00D3547D">
            <w:pPr>
              <w:rPr>
                <w:rFonts w:ascii="Arial" w:hAnsi="Arial" w:cs="Arial"/>
                <w:b/>
                <w:bCs/>
                <w:sz w:val="20"/>
                <w:szCs w:val="20"/>
              </w:rPr>
            </w:pPr>
            <w:r w:rsidRPr="00C0482D">
              <w:rPr>
                <w:rFonts w:ascii="Arial" w:hAnsi="Arial" w:cs="Arial"/>
                <w:b/>
                <w:bCs/>
                <w:sz w:val="20"/>
                <w:szCs w:val="20"/>
              </w:rPr>
              <w:t>Original Cox model</w:t>
            </w:r>
          </w:p>
          <w:p w14:paraId="35C1C695" w14:textId="77777777" w:rsidR="00682292" w:rsidRPr="00C0482D" w:rsidRDefault="00682292" w:rsidP="00D3547D">
            <w:pPr>
              <w:rPr>
                <w:rFonts w:ascii="Arial" w:hAnsi="Arial" w:cs="Arial"/>
                <w:b/>
                <w:bCs/>
                <w:sz w:val="20"/>
                <w:szCs w:val="20"/>
              </w:rPr>
            </w:pPr>
            <w:r>
              <w:rPr>
                <w:rFonts w:ascii="Arial" w:hAnsi="Arial" w:cs="Arial"/>
                <w:b/>
                <w:bCs/>
                <w:sz w:val="20"/>
                <w:szCs w:val="20"/>
              </w:rPr>
              <w:t>(model 1)</w:t>
            </w:r>
          </w:p>
        </w:tc>
        <w:tc>
          <w:tcPr>
            <w:tcW w:w="2070" w:type="dxa"/>
            <w:tcBorders>
              <w:top w:val="single" w:sz="4" w:space="0" w:color="auto"/>
              <w:left w:val="single" w:sz="4" w:space="0" w:color="auto"/>
              <w:bottom w:val="single" w:sz="4" w:space="0" w:color="auto"/>
              <w:right w:val="single" w:sz="4" w:space="0" w:color="auto"/>
            </w:tcBorders>
            <w:hideMark/>
          </w:tcPr>
          <w:p w14:paraId="65EC2436" w14:textId="77777777" w:rsidR="00682292" w:rsidRDefault="00682292" w:rsidP="00D3547D">
            <w:pPr>
              <w:rPr>
                <w:rFonts w:ascii="Arial" w:hAnsi="Arial" w:cs="Arial"/>
                <w:b/>
                <w:bCs/>
                <w:sz w:val="20"/>
                <w:szCs w:val="20"/>
              </w:rPr>
            </w:pPr>
            <w:r w:rsidRPr="00C0482D">
              <w:rPr>
                <w:rFonts w:ascii="Arial" w:hAnsi="Arial" w:cs="Arial"/>
                <w:b/>
                <w:bCs/>
                <w:sz w:val="20"/>
                <w:szCs w:val="20"/>
              </w:rPr>
              <w:t>Poisson model with number of people instead of person-time*</w:t>
            </w:r>
          </w:p>
          <w:p w14:paraId="2F360801" w14:textId="77777777" w:rsidR="00682292" w:rsidRPr="00C0482D" w:rsidRDefault="00682292" w:rsidP="00D3547D">
            <w:pPr>
              <w:rPr>
                <w:rFonts w:ascii="Arial" w:hAnsi="Arial" w:cs="Arial"/>
                <w:b/>
                <w:bCs/>
                <w:sz w:val="20"/>
                <w:szCs w:val="20"/>
              </w:rPr>
            </w:pPr>
            <w:r>
              <w:rPr>
                <w:rFonts w:ascii="Arial" w:hAnsi="Arial" w:cs="Arial"/>
                <w:b/>
                <w:bCs/>
                <w:sz w:val="20"/>
                <w:szCs w:val="20"/>
              </w:rPr>
              <w:t xml:space="preserve">(model </w:t>
            </w:r>
            <w:proofErr w:type="gramStart"/>
            <w:r>
              <w:rPr>
                <w:rFonts w:ascii="Arial" w:hAnsi="Arial" w:cs="Arial"/>
                <w:b/>
                <w:bCs/>
                <w:sz w:val="20"/>
                <w:szCs w:val="20"/>
              </w:rPr>
              <w:t>2)*</w:t>
            </w:r>
            <w:proofErr w:type="gramEnd"/>
          </w:p>
        </w:tc>
        <w:tc>
          <w:tcPr>
            <w:tcW w:w="2070" w:type="dxa"/>
            <w:tcBorders>
              <w:top w:val="single" w:sz="4" w:space="0" w:color="auto"/>
              <w:left w:val="single" w:sz="4" w:space="0" w:color="auto"/>
              <w:bottom w:val="single" w:sz="4" w:space="0" w:color="auto"/>
              <w:right w:val="single" w:sz="4" w:space="0" w:color="auto"/>
            </w:tcBorders>
            <w:hideMark/>
          </w:tcPr>
          <w:p w14:paraId="46DDE6C7" w14:textId="77777777" w:rsidR="00682292" w:rsidRDefault="00682292" w:rsidP="00D3547D">
            <w:pPr>
              <w:rPr>
                <w:rFonts w:ascii="Arial" w:hAnsi="Arial" w:cs="Arial"/>
                <w:b/>
                <w:bCs/>
                <w:sz w:val="20"/>
                <w:szCs w:val="20"/>
              </w:rPr>
            </w:pPr>
            <w:r w:rsidRPr="00C0482D">
              <w:rPr>
                <w:rFonts w:ascii="Arial" w:hAnsi="Arial" w:cs="Arial"/>
                <w:b/>
                <w:bCs/>
                <w:sz w:val="20"/>
                <w:szCs w:val="20"/>
              </w:rPr>
              <w:t>Corrected hazard ratio from Poisson model with number of people instead of person-time</w:t>
            </w:r>
          </w:p>
          <w:p w14:paraId="49EB4705" w14:textId="77777777" w:rsidR="00682292" w:rsidRDefault="00682292" w:rsidP="00D3547D">
            <w:pPr>
              <w:rPr>
                <w:rFonts w:ascii="Arial" w:hAnsi="Arial" w:cs="Arial"/>
                <w:b/>
                <w:bCs/>
                <w:sz w:val="20"/>
                <w:szCs w:val="20"/>
              </w:rPr>
            </w:pPr>
            <w:r>
              <w:rPr>
                <w:rFonts w:ascii="Arial" w:hAnsi="Arial" w:cs="Arial"/>
                <w:b/>
                <w:bCs/>
                <w:sz w:val="20"/>
                <w:szCs w:val="20"/>
              </w:rPr>
              <w:t xml:space="preserve">(model </w:t>
            </w:r>
            <w:proofErr w:type="gramStart"/>
            <w:r>
              <w:rPr>
                <w:rFonts w:ascii="Arial" w:hAnsi="Arial" w:cs="Arial"/>
                <w:b/>
                <w:bCs/>
                <w:sz w:val="20"/>
                <w:szCs w:val="20"/>
              </w:rPr>
              <w:t>3)*</w:t>
            </w:r>
            <w:proofErr w:type="gramEnd"/>
            <w:r>
              <w:rPr>
                <w:rFonts w:ascii="Arial" w:hAnsi="Arial" w:cs="Arial"/>
                <w:b/>
                <w:bCs/>
                <w:sz w:val="20"/>
                <w:szCs w:val="20"/>
              </w:rPr>
              <w:t>*</w:t>
            </w:r>
          </w:p>
          <w:p w14:paraId="621065C7" w14:textId="77777777" w:rsidR="00682292" w:rsidRPr="00353114" w:rsidRDefault="00682292" w:rsidP="00D3547D">
            <w:pPr>
              <w:rPr>
                <w:rFonts w:ascii="SimSun" w:eastAsia="SimSun" w:hAnsi="SimSun" w:cs="SimSun"/>
                <w:b/>
                <w:bCs/>
                <w:sz w:val="20"/>
                <w:szCs w:val="20"/>
                <w:vertAlign w:val="superscript"/>
              </w:rPr>
            </w:pPr>
          </w:p>
        </w:tc>
        <w:tc>
          <w:tcPr>
            <w:tcW w:w="2065" w:type="dxa"/>
            <w:tcBorders>
              <w:top w:val="single" w:sz="4" w:space="0" w:color="auto"/>
              <w:left w:val="single" w:sz="4" w:space="0" w:color="auto"/>
              <w:bottom w:val="single" w:sz="4" w:space="0" w:color="auto"/>
              <w:right w:val="single" w:sz="4" w:space="0" w:color="auto"/>
            </w:tcBorders>
          </w:tcPr>
          <w:p w14:paraId="2A1D70C4" w14:textId="77777777" w:rsidR="00682292" w:rsidRDefault="00682292" w:rsidP="00D3547D">
            <w:pPr>
              <w:rPr>
                <w:rFonts w:ascii="Arial" w:hAnsi="Arial" w:cs="Arial"/>
                <w:b/>
                <w:bCs/>
                <w:sz w:val="20"/>
                <w:szCs w:val="20"/>
              </w:rPr>
            </w:pPr>
            <w:r w:rsidRPr="00C0482D">
              <w:rPr>
                <w:rFonts w:ascii="Arial" w:hAnsi="Arial" w:cs="Arial"/>
                <w:b/>
                <w:bCs/>
                <w:sz w:val="20"/>
                <w:szCs w:val="20"/>
              </w:rPr>
              <w:t>Corrected hazard ratio from</w:t>
            </w:r>
            <w:r>
              <w:rPr>
                <w:rFonts w:ascii="Arial" w:hAnsi="Arial" w:cs="Arial"/>
                <w:b/>
                <w:bCs/>
                <w:sz w:val="20"/>
                <w:szCs w:val="20"/>
              </w:rPr>
              <w:t xml:space="preserve"> original Cox model</w:t>
            </w:r>
            <w:r w:rsidRPr="00C0482D">
              <w:rPr>
                <w:rFonts w:ascii="Arial" w:hAnsi="Arial" w:cs="Arial"/>
                <w:b/>
                <w:bCs/>
                <w:sz w:val="20"/>
                <w:szCs w:val="20"/>
              </w:rPr>
              <w:t xml:space="preserve"> </w:t>
            </w:r>
          </w:p>
          <w:p w14:paraId="467BD124" w14:textId="77777777" w:rsidR="00682292" w:rsidRDefault="00682292" w:rsidP="00D3547D">
            <w:pPr>
              <w:rPr>
                <w:rFonts w:ascii="Arial" w:hAnsi="Arial" w:cs="Arial"/>
                <w:b/>
                <w:bCs/>
                <w:sz w:val="20"/>
                <w:szCs w:val="20"/>
              </w:rPr>
            </w:pPr>
            <w:r>
              <w:rPr>
                <w:rFonts w:ascii="Arial" w:hAnsi="Arial" w:cs="Arial"/>
                <w:b/>
                <w:bCs/>
                <w:sz w:val="20"/>
                <w:szCs w:val="20"/>
              </w:rPr>
              <w:t xml:space="preserve">(model </w:t>
            </w:r>
            <w:proofErr w:type="gramStart"/>
            <w:r>
              <w:rPr>
                <w:rFonts w:ascii="Arial" w:hAnsi="Arial" w:cs="Arial"/>
                <w:b/>
                <w:bCs/>
                <w:sz w:val="20"/>
                <w:szCs w:val="20"/>
              </w:rPr>
              <w:t>4)*</w:t>
            </w:r>
            <w:proofErr w:type="gramEnd"/>
            <w:r>
              <w:rPr>
                <w:rFonts w:ascii="Arial" w:hAnsi="Arial" w:cs="Arial"/>
                <w:b/>
                <w:bCs/>
                <w:sz w:val="20"/>
                <w:szCs w:val="20"/>
              </w:rPr>
              <w:t>**</w:t>
            </w:r>
          </w:p>
          <w:p w14:paraId="171325ED" w14:textId="77777777" w:rsidR="00682292" w:rsidRPr="00353114" w:rsidRDefault="00682292" w:rsidP="00D3547D">
            <w:pPr>
              <w:rPr>
                <w:rFonts w:ascii="Arial" w:hAnsi="Arial" w:cs="Arial"/>
                <w:b/>
                <w:bCs/>
                <w:sz w:val="20"/>
                <w:szCs w:val="20"/>
                <w:vertAlign w:val="superscript"/>
              </w:rPr>
            </w:pPr>
          </w:p>
        </w:tc>
      </w:tr>
      <w:tr w:rsidR="00682292" w14:paraId="1643690A" w14:textId="77777777" w:rsidTr="00D3547D">
        <w:tc>
          <w:tcPr>
            <w:tcW w:w="7285" w:type="dxa"/>
            <w:gridSpan w:val="4"/>
            <w:tcBorders>
              <w:top w:val="single" w:sz="4" w:space="0" w:color="auto"/>
              <w:left w:val="single" w:sz="4" w:space="0" w:color="auto"/>
              <w:bottom w:val="single" w:sz="4" w:space="0" w:color="auto"/>
              <w:right w:val="single" w:sz="4" w:space="0" w:color="auto"/>
            </w:tcBorders>
            <w:hideMark/>
          </w:tcPr>
          <w:p w14:paraId="00A27023" w14:textId="77777777" w:rsidR="00682292" w:rsidRPr="00C0482D" w:rsidRDefault="00682292" w:rsidP="00D3547D">
            <w:pPr>
              <w:rPr>
                <w:rFonts w:ascii="Arial" w:hAnsi="Arial" w:cs="Arial"/>
                <w:b/>
                <w:bCs/>
                <w:sz w:val="20"/>
                <w:szCs w:val="20"/>
              </w:rPr>
            </w:pPr>
            <w:r w:rsidRPr="00C0482D">
              <w:rPr>
                <w:rFonts w:ascii="Arial" w:hAnsi="Arial" w:cs="Arial"/>
                <w:b/>
                <w:bCs/>
                <w:sz w:val="20"/>
                <w:szCs w:val="20"/>
              </w:rPr>
              <w:t>Dementia</w:t>
            </w:r>
          </w:p>
        </w:tc>
        <w:tc>
          <w:tcPr>
            <w:tcW w:w="2065" w:type="dxa"/>
            <w:tcBorders>
              <w:top w:val="single" w:sz="4" w:space="0" w:color="auto"/>
              <w:left w:val="single" w:sz="4" w:space="0" w:color="auto"/>
              <w:bottom w:val="single" w:sz="4" w:space="0" w:color="auto"/>
              <w:right w:val="single" w:sz="4" w:space="0" w:color="auto"/>
            </w:tcBorders>
          </w:tcPr>
          <w:p w14:paraId="72B49EF7" w14:textId="77777777" w:rsidR="00682292" w:rsidRPr="00C0482D" w:rsidRDefault="00682292" w:rsidP="00D3547D">
            <w:pPr>
              <w:rPr>
                <w:rFonts w:ascii="Arial" w:hAnsi="Arial" w:cs="Arial"/>
                <w:b/>
                <w:bCs/>
                <w:sz w:val="20"/>
                <w:szCs w:val="20"/>
              </w:rPr>
            </w:pPr>
          </w:p>
        </w:tc>
      </w:tr>
      <w:tr w:rsidR="00682292" w14:paraId="2C97113B"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332154AA"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PM</w:t>
            </w:r>
            <w:r w:rsidRPr="00C0482D">
              <w:rPr>
                <w:rFonts w:ascii="Arial" w:hAnsi="Arial" w:cs="Arial"/>
                <w:sz w:val="20"/>
                <w:szCs w:val="20"/>
                <w:vertAlign w:val="subscript"/>
              </w:rPr>
              <w:t>2.5</w:t>
            </w:r>
          </w:p>
        </w:tc>
        <w:tc>
          <w:tcPr>
            <w:tcW w:w="2070" w:type="dxa"/>
            <w:tcBorders>
              <w:top w:val="single" w:sz="4" w:space="0" w:color="auto"/>
              <w:left w:val="single" w:sz="4" w:space="0" w:color="auto"/>
              <w:bottom w:val="single" w:sz="4" w:space="0" w:color="auto"/>
              <w:right w:val="single" w:sz="4" w:space="0" w:color="auto"/>
            </w:tcBorders>
            <w:hideMark/>
          </w:tcPr>
          <w:p w14:paraId="20B9C1CC"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1.060</w:t>
            </w:r>
            <w:r w:rsidRPr="00C0482D">
              <w:rPr>
                <w:rFonts w:ascii="Arial" w:hAnsi="Arial" w:cs="Arial"/>
                <w:color w:val="000000"/>
                <w:sz w:val="20"/>
                <w:szCs w:val="20"/>
                <w:bdr w:val="none" w:sz="0" w:space="0" w:color="auto" w:frame="1"/>
              </w:rPr>
              <w:t xml:space="preserve"> (1.054, 1.066)</w:t>
            </w:r>
          </w:p>
        </w:tc>
        <w:tc>
          <w:tcPr>
            <w:tcW w:w="2070" w:type="dxa"/>
            <w:tcBorders>
              <w:top w:val="single" w:sz="4" w:space="0" w:color="auto"/>
              <w:left w:val="single" w:sz="4" w:space="0" w:color="auto"/>
              <w:bottom w:val="single" w:sz="4" w:space="0" w:color="auto"/>
              <w:right w:val="single" w:sz="4" w:space="0" w:color="auto"/>
            </w:tcBorders>
            <w:hideMark/>
          </w:tcPr>
          <w:p w14:paraId="114C5FE4"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1.063 (1.0</w:t>
            </w:r>
            <w:r>
              <w:rPr>
                <w:rFonts w:ascii="Arial" w:hAnsi="Arial" w:cs="Arial"/>
                <w:color w:val="000000"/>
                <w:sz w:val="20"/>
                <w:szCs w:val="20"/>
                <w:bdr w:val="none" w:sz="0" w:space="0" w:color="auto" w:frame="1"/>
              </w:rPr>
              <w:t>60</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66</w:t>
            </w:r>
            <w:r w:rsidRPr="00C0482D">
              <w:rPr>
                <w:rFonts w:ascii="Arial" w:hAnsi="Arial" w:cs="Arial"/>
                <w:color w:val="000000"/>
                <w:sz w:val="20"/>
                <w:szCs w:val="20"/>
                <w:bdr w:val="none" w:sz="0" w:space="0" w:color="auto" w:frame="1"/>
              </w:rPr>
              <w:t>)</w:t>
            </w:r>
          </w:p>
        </w:tc>
        <w:tc>
          <w:tcPr>
            <w:tcW w:w="2070" w:type="dxa"/>
            <w:tcBorders>
              <w:top w:val="single" w:sz="4" w:space="0" w:color="auto"/>
              <w:left w:val="single" w:sz="4" w:space="0" w:color="auto"/>
              <w:bottom w:val="single" w:sz="4" w:space="0" w:color="auto"/>
              <w:right w:val="single" w:sz="4" w:space="0" w:color="auto"/>
            </w:tcBorders>
          </w:tcPr>
          <w:p w14:paraId="3A076AD2"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1.08</w:t>
            </w:r>
            <w:r>
              <w:rPr>
                <w:rFonts w:ascii="Arial" w:hAnsi="Arial" w:cs="Arial"/>
                <w:color w:val="000000"/>
                <w:sz w:val="20"/>
                <w:szCs w:val="20"/>
                <w:bdr w:val="none" w:sz="0" w:space="0" w:color="auto" w:frame="1"/>
              </w:rPr>
              <w:t>4</w:t>
            </w:r>
            <w:r w:rsidRPr="00C0482D">
              <w:rPr>
                <w:rFonts w:ascii="Arial" w:hAnsi="Arial" w:cs="Arial"/>
                <w:color w:val="000000"/>
                <w:sz w:val="20"/>
                <w:szCs w:val="20"/>
                <w:bdr w:val="none" w:sz="0" w:space="0" w:color="auto" w:frame="1"/>
              </w:rPr>
              <w:t xml:space="preserve"> (1.0</w:t>
            </w:r>
            <w:r>
              <w:rPr>
                <w:rFonts w:ascii="Arial" w:hAnsi="Arial" w:cs="Arial"/>
                <w:color w:val="000000"/>
                <w:sz w:val="20"/>
                <w:szCs w:val="20"/>
                <w:bdr w:val="none" w:sz="0" w:space="0" w:color="auto" w:frame="1"/>
              </w:rPr>
              <w:t>77</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90</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4999CE95"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1.081</w:t>
            </w:r>
            <w:r>
              <w:rPr>
                <w:rFonts w:ascii="Arial" w:hAnsi="Arial" w:cs="Arial"/>
                <w:color w:val="000000"/>
                <w:sz w:val="20"/>
                <w:szCs w:val="20"/>
                <w:bdr w:val="none" w:sz="0" w:space="0" w:color="auto" w:frame="1"/>
              </w:rPr>
              <w:t xml:space="preserve"> </w:t>
            </w:r>
            <w:r w:rsidRPr="00C0482D">
              <w:rPr>
                <w:rFonts w:ascii="Arial" w:hAnsi="Arial" w:cs="Arial"/>
                <w:color w:val="000000"/>
                <w:sz w:val="20"/>
                <w:szCs w:val="20"/>
                <w:bdr w:val="none" w:sz="0" w:space="0" w:color="auto" w:frame="1"/>
              </w:rPr>
              <w:t>(1.0</w:t>
            </w:r>
            <w:r>
              <w:rPr>
                <w:rFonts w:ascii="Arial" w:hAnsi="Arial" w:cs="Arial"/>
                <w:color w:val="000000"/>
                <w:sz w:val="20"/>
                <w:szCs w:val="20"/>
                <w:bdr w:val="none" w:sz="0" w:space="0" w:color="auto" w:frame="1"/>
              </w:rPr>
              <w:t>74</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86</w:t>
            </w:r>
            <w:r w:rsidRPr="00C0482D">
              <w:rPr>
                <w:rFonts w:ascii="Arial" w:hAnsi="Arial" w:cs="Arial"/>
                <w:color w:val="000000"/>
                <w:sz w:val="20"/>
                <w:szCs w:val="20"/>
                <w:bdr w:val="none" w:sz="0" w:space="0" w:color="auto" w:frame="1"/>
              </w:rPr>
              <w:t>)</w:t>
            </w:r>
          </w:p>
        </w:tc>
      </w:tr>
      <w:tr w:rsidR="00682292" w14:paraId="02FCC6CF"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3A7CDBE0"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NO</w:t>
            </w:r>
            <w:r w:rsidRPr="00C0482D">
              <w:rPr>
                <w:rFonts w:ascii="Arial" w:hAnsi="Arial" w:cs="Arial"/>
                <w:sz w:val="20"/>
                <w:szCs w:val="20"/>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630BF93D"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1.019</w:t>
            </w:r>
            <w:r w:rsidRPr="00C0482D">
              <w:rPr>
                <w:rFonts w:ascii="Arial" w:hAnsi="Arial" w:cs="Arial"/>
                <w:color w:val="000000"/>
                <w:sz w:val="20"/>
                <w:szCs w:val="20"/>
                <w:bdr w:val="none" w:sz="0" w:space="0" w:color="auto" w:frame="1"/>
              </w:rPr>
              <w:t xml:space="preserve"> (1.012, 1.026)</w:t>
            </w:r>
          </w:p>
        </w:tc>
        <w:tc>
          <w:tcPr>
            <w:tcW w:w="2070" w:type="dxa"/>
            <w:tcBorders>
              <w:top w:val="single" w:sz="4" w:space="0" w:color="auto"/>
              <w:left w:val="single" w:sz="4" w:space="0" w:color="auto"/>
              <w:bottom w:val="single" w:sz="4" w:space="0" w:color="auto"/>
              <w:right w:val="single" w:sz="4" w:space="0" w:color="auto"/>
            </w:tcBorders>
            <w:hideMark/>
          </w:tcPr>
          <w:p w14:paraId="5D658355"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1.0</w:t>
            </w:r>
            <w:r>
              <w:rPr>
                <w:rFonts w:ascii="Arial" w:hAnsi="Arial" w:cs="Arial"/>
                <w:color w:val="000000"/>
                <w:sz w:val="20"/>
                <w:szCs w:val="20"/>
                <w:bdr w:val="none" w:sz="0" w:space="0" w:color="auto" w:frame="1"/>
              </w:rPr>
              <w:t>30</w:t>
            </w:r>
            <w:r w:rsidRPr="00C0482D">
              <w:rPr>
                <w:rFonts w:ascii="Arial" w:hAnsi="Arial" w:cs="Arial"/>
                <w:color w:val="000000"/>
                <w:sz w:val="20"/>
                <w:szCs w:val="20"/>
                <w:bdr w:val="none" w:sz="0" w:space="0" w:color="auto" w:frame="1"/>
              </w:rPr>
              <w:t xml:space="preserve"> (1.0</w:t>
            </w:r>
            <w:r>
              <w:rPr>
                <w:rFonts w:ascii="Arial" w:hAnsi="Arial" w:cs="Arial"/>
                <w:color w:val="000000"/>
                <w:sz w:val="20"/>
                <w:szCs w:val="20"/>
                <w:bdr w:val="none" w:sz="0" w:space="0" w:color="auto" w:frame="1"/>
              </w:rPr>
              <w:t>27</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33</w:t>
            </w:r>
            <w:r w:rsidRPr="00C0482D">
              <w:rPr>
                <w:rFonts w:ascii="Arial" w:hAnsi="Arial" w:cs="Arial"/>
                <w:color w:val="000000"/>
                <w:sz w:val="20"/>
                <w:szCs w:val="20"/>
                <w:bdr w:val="none" w:sz="0" w:space="0" w:color="auto" w:frame="1"/>
              </w:rPr>
              <w:t>)</w:t>
            </w:r>
          </w:p>
        </w:tc>
        <w:tc>
          <w:tcPr>
            <w:tcW w:w="2070" w:type="dxa"/>
            <w:tcBorders>
              <w:top w:val="single" w:sz="4" w:space="0" w:color="auto"/>
              <w:left w:val="single" w:sz="4" w:space="0" w:color="auto"/>
              <w:bottom w:val="single" w:sz="4" w:space="0" w:color="auto"/>
              <w:right w:val="single" w:sz="4" w:space="0" w:color="auto"/>
            </w:tcBorders>
          </w:tcPr>
          <w:p w14:paraId="1A6C3C7B"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1.0</w:t>
            </w:r>
            <w:r>
              <w:rPr>
                <w:rFonts w:ascii="Arial" w:hAnsi="Arial" w:cs="Arial"/>
                <w:color w:val="000000"/>
                <w:sz w:val="20"/>
                <w:szCs w:val="20"/>
                <w:bdr w:val="none" w:sz="0" w:space="0" w:color="auto" w:frame="1"/>
              </w:rPr>
              <w:t>41</w:t>
            </w:r>
            <w:r w:rsidRPr="00C0482D">
              <w:rPr>
                <w:rFonts w:ascii="Arial" w:hAnsi="Arial" w:cs="Arial"/>
                <w:color w:val="000000"/>
                <w:sz w:val="20"/>
                <w:szCs w:val="20"/>
                <w:bdr w:val="none" w:sz="0" w:space="0" w:color="auto" w:frame="1"/>
              </w:rPr>
              <w:t xml:space="preserve"> (1.0</w:t>
            </w:r>
            <w:r>
              <w:rPr>
                <w:rFonts w:ascii="Arial" w:hAnsi="Arial" w:cs="Arial"/>
                <w:color w:val="000000"/>
                <w:sz w:val="20"/>
                <w:szCs w:val="20"/>
                <w:bdr w:val="none" w:sz="0" w:space="0" w:color="auto" w:frame="1"/>
              </w:rPr>
              <w:t>33</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48</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4559040A"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1.026</w:t>
            </w:r>
            <w:r>
              <w:rPr>
                <w:rFonts w:ascii="Arial" w:hAnsi="Arial" w:cs="Arial"/>
                <w:color w:val="000000"/>
                <w:sz w:val="20"/>
                <w:szCs w:val="20"/>
                <w:bdr w:val="none" w:sz="0" w:space="0" w:color="auto" w:frame="1"/>
              </w:rPr>
              <w:t xml:space="preserve"> </w:t>
            </w:r>
            <w:r w:rsidRPr="00C0482D">
              <w:rPr>
                <w:rFonts w:ascii="Arial" w:hAnsi="Arial" w:cs="Arial"/>
                <w:color w:val="000000"/>
                <w:sz w:val="20"/>
                <w:szCs w:val="20"/>
                <w:bdr w:val="none" w:sz="0" w:space="0" w:color="auto" w:frame="1"/>
              </w:rPr>
              <w:t>(1.0</w:t>
            </w:r>
            <w:r>
              <w:rPr>
                <w:rFonts w:ascii="Arial" w:hAnsi="Arial" w:cs="Arial"/>
                <w:color w:val="000000"/>
                <w:sz w:val="20"/>
                <w:szCs w:val="20"/>
                <w:bdr w:val="none" w:sz="0" w:space="0" w:color="auto" w:frame="1"/>
              </w:rPr>
              <w:t>21</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30</w:t>
            </w:r>
            <w:r w:rsidRPr="00C0482D">
              <w:rPr>
                <w:rFonts w:ascii="Arial" w:hAnsi="Arial" w:cs="Arial"/>
                <w:color w:val="000000"/>
                <w:sz w:val="20"/>
                <w:szCs w:val="20"/>
                <w:bdr w:val="none" w:sz="0" w:space="0" w:color="auto" w:frame="1"/>
              </w:rPr>
              <w:t>)</w:t>
            </w:r>
          </w:p>
        </w:tc>
      </w:tr>
      <w:tr w:rsidR="00682292" w14:paraId="339FC991"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36639824"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O</w:t>
            </w:r>
            <w:r w:rsidRPr="00C0482D">
              <w:rPr>
                <w:rFonts w:ascii="Arial" w:hAnsi="Arial" w:cs="Arial"/>
                <w:sz w:val="20"/>
                <w:szCs w:val="20"/>
                <w:vertAlign w:val="subscript"/>
              </w:rPr>
              <w:t>3</w:t>
            </w:r>
          </w:p>
        </w:tc>
        <w:tc>
          <w:tcPr>
            <w:tcW w:w="2070" w:type="dxa"/>
            <w:tcBorders>
              <w:top w:val="single" w:sz="4" w:space="0" w:color="auto"/>
              <w:left w:val="single" w:sz="4" w:space="0" w:color="auto"/>
              <w:bottom w:val="single" w:sz="4" w:space="0" w:color="auto"/>
              <w:right w:val="single" w:sz="4" w:space="0" w:color="auto"/>
            </w:tcBorders>
            <w:hideMark/>
          </w:tcPr>
          <w:p w14:paraId="25D0659D"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0.990</w:t>
            </w:r>
            <w:r w:rsidRPr="00C0482D">
              <w:rPr>
                <w:rFonts w:ascii="Arial" w:hAnsi="Arial" w:cs="Arial"/>
                <w:color w:val="000000"/>
                <w:sz w:val="20"/>
                <w:szCs w:val="20"/>
                <w:bdr w:val="none" w:sz="0" w:space="0" w:color="auto" w:frame="1"/>
              </w:rPr>
              <w:t xml:space="preserve"> (0.987, 0.993)</w:t>
            </w:r>
          </w:p>
        </w:tc>
        <w:tc>
          <w:tcPr>
            <w:tcW w:w="2070" w:type="dxa"/>
            <w:tcBorders>
              <w:top w:val="single" w:sz="4" w:space="0" w:color="auto"/>
              <w:left w:val="single" w:sz="4" w:space="0" w:color="auto"/>
              <w:bottom w:val="single" w:sz="4" w:space="0" w:color="auto"/>
              <w:right w:val="single" w:sz="4" w:space="0" w:color="auto"/>
            </w:tcBorders>
            <w:hideMark/>
          </w:tcPr>
          <w:p w14:paraId="46D6FBEC"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0.97</w:t>
            </w:r>
            <w:r>
              <w:rPr>
                <w:rFonts w:ascii="Arial" w:hAnsi="Arial" w:cs="Arial"/>
                <w:color w:val="000000"/>
                <w:sz w:val="20"/>
                <w:szCs w:val="20"/>
                <w:bdr w:val="none" w:sz="0" w:space="0" w:color="auto" w:frame="1"/>
              </w:rPr>
              <w:t>9</w:t>
            </w:r>
            <w:r w:rsidRPr="00C0482D">
              <w:rPr>
                <w:rFonts w:ascii="Arial" w:hAnsi="Arial" w:cs="Arial"/>
                <w:color w:val="000000"/>
                <w:sz w:val="20"/>
                <w:szCs w:val="20"/>
                <w:bdr w:val="none" w:sz="0" w:space="0" w:color="auto" w:frame="1"/>
              </w:rPr>
              <w:t xml:space="preserve"> (0.97</w:t>
            </w:r>
            <w:r>
              <w:rPr>
                <w:rFonts w:ascii="Arial" w:hAnsi="Arial" w:cs="Arial"/>
                <w:color w:val="000000"/>
                <w:sz w:val="20"/>
                <w:szCs w:val="20"/>
                <w:bdr w:val="none" w:sz="0" w:space="0" w:color="auto" w:frame="1"/>
              </w:rPr>
              <w:t>7</w:t>
            </w:r>
            <w:r w:rsidRPr="00C0482D">
              <w:rPr>
                <w:rFonts w:ascii="Arial" w:hAnsi="Arial" w:cs="Arial"/>
                <w:color w:val="000000"/>
                <w:sz w:val="20"/>
                <w:szCs w:val="20"/>
                <w:bdr w:val="none" w:sz="0" w:space="0" w:color="auto" w:frame="1"/>
              </w:rPr>
              <w:t>, 0.980)</w:t>
            </w:r>
          </w:p>
        </w:tc>
        <w:tc>
          <w:tcPr>
            <w:tcW w:w="2070" w:type="dxa"/>
            <w:tcBorders>
              <w:top w:val="single" w:sz="4" w:space="0" w:color="auto"/>
              <w:left w:val="single" w:sz="4" w:space="0" w:color="auto"/>
              <w:bottom w:val="single" w:sz="4" w:space="0" w:color="auto"/>
              <w:right w:val="single" w:sz="4" w:space="0" w:color="auto"/>
            </w:tcBorders>
          </w:tcPr>
          <w:p w14:paraId="408B55F1"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0.9</w:t>
            </w:r>
            <w:r>
              <w:rPr>
                <w:rFonts w:ascii="Arial" w:hAnsi="Arial" w:cs="Arial"/>
                <w:color w:val="000000"/>
                <w:sz w:val="20"/>
                <w:szCs w:val="20"/>
                <w:bdr w:val="none" w:sz="0" w:space="0" w:color="auto" w:frame="1"/>
              </w:rPr>
              <w:t>68</w:t>
            </w:r>
            <w:r w:rsidRPr="00C0482D">
              <w:rPr>
                <w:rFonts w:ascii="Arial" w:hAnsi="Arial" w:cs="Arial"/>
                <w:color w:val="000000"/>
                <w:sz w:val="20"/>
                <w:szCs w:val="20"/>
                <w:bdr w:val="none" w:sz="0" w:space="0" w:color="auto" w:frame="1"/>
              </w:rPr>
              <w:t xml:space="preserve"> (0.9</w:t>
            </w:r>
            <w:r>
              <w:rPr>
                <w:rFonts w:ascii="Arial" w:hAnsi="Arial" w:cs="Arial"/>
                <w:color w:val="000000"/>
                <w:sz w:val="20"/>
                <w:szCs w:val="20"/>
                <w:bdr w:val="none" w:sz="0" w:space="0" w:color="auto" w:frame="1"/>
              </w:rPr>
              <w:t>65</w:t>
            </w:r>
            <w:r w:rsidRPr="00C0482D">
              <w:rPr>
                <w:rFonts w:ascii="Arial" w:hAnsi="Arial" w:cs="Arial"/>
                <w:color w:val="000000"/>
                <w:sz w:val="20"/>
                <w:szCs w:val="20"/>
                <w:bdr w:val="none" w:sz="0" w:space="0" w:color="auto" w:frame="1"/>
              </w:rPr>
              <w:t>, 0.9</w:t>
            </w:r>
            <w:r>
              <w:rPr>
                <w:rFonts w:ascii="Arial" w:hAnsi="Arial" w:cs="Arial"/>
                <w:color w:val="000000"/>
                <w:sz w:val="20"/>
                <w:szCs w:val="20"/>
                <w:bdr w:val="none" w:sz="0" w:space="0" w:color="auto" w:frame="1"/>
              </w:rPr>
              <w:t>72</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3C6CC3C9"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0.985</w:t>
            </w:r>
            <w:r w:rsidRPr="00C0482D">
              <w:rPr>
                <w:rFonts w:ascii="Arial" w:hAnsi="Arial" w:cs="Arial"/>
                <w:color w:val="000000"/>
                <w:sz w:val="20"/>
                <w:szCs w:val="20"/>
                <w:bdr w:val="none" w:sz="0" w:space="0" w:color="auto" w:frame="1"/>
              </w:rPr>
              <w:t xml:space="preserve"> (0.9</w:t>
            </w:r>
            <w:r>
              <w:rPr>
                <w:rFonts w:ascii="Arial" w:hAnsi="Arial" w:cs="Arial"/>
                <w:color w:val="000000"/>
                <w:sz w:val="20"/>
                <w:szCs w:val="20"/>
                <w:bdr w:val="none" w:sz="0" w:space="0" w:color="auto" w:frame="1"/>
              </w:rPr>
              <w:t>83</w:t>
            </w:r>
            <w:r w:rsidRPr="00C0482D">
              <w:rPr>
                <w:rFonts w:ascii="Arial" w:hAnsi="Arial" w:cs="Arial"/>
                <w:color w:val="000000"/>
                <w:sz w:val="20"/>
                <w:szCs w:val="20"/>
                <w:bdr w:val="none" w:sz="0" w:space="0" w:color="auto" w:frame="1"/>
              </w:rPr>
              <w:t>, 0.9</w:t>
            </w:r>
            <w:r>
              <w:rPr>
                <w:rFonts w:ascii="Arial" w:hAnsi="Arial" w:cs="Arial"/>
                <w:color w:val="000000"/>
                <w:sz w:val="20"/>
                <w:szCs w:val="20"/>
                <w:bdr w:val="none" w:sz="0" w:space="0" w:color="auto" w:frame="1"/>
              </w:rPr>
              <w:t>87</w:t>
            </w:r>
            <w:r w:rsidRPr="00C0482D">
              <w:rPr>
                <w:rFonts w:ascii="Arial" w:hAnsi="Arial" w:cs="Arial"/>
                <w:color w:val="000000"/>
                <w:sz w:val="20"/>
                <w:szCs w:val="20"/>
                <w:bdr w:val="none" w:sz="0" w:space="0" w:color="auto" w:frame="1"/>
              </w:rPr>
              <w:t>)</w:t>
            </w:r>
          </w:p>
        </w:tc>
      </w:tr>
      <w:tr w:rsidR="00682292" w14:paraId="3FF9D9DD" w14:textId="77777777" w:rsidTr="00D3547D">
        <w:tc>
          <w:tcPr>
            <w:tcW w:w="7285" w:type="dxa"/>
            <w:gridSpan w:val="4"/>
            <w:tcBorders>
              <w:top w:val="single" w:sz="4" w:space="0" w:color="auto"/>
              <w:left w:val="single" w:sz="4" w:space="0" w:color="auto"/>
              <w:bottom w:val="single" w:sz="4" w:space="0" w:color="auto"/>
              <w:right w:val="single" w:sz="4" w:space="0" w:color="auto"/>
            </w:tcBorders>
            <w:hideMark/>
          </w:tcPr>
          <w:p w14:paraId="14048776" w14:textId="77777777" w:rsidR="00682292" w:rsidRPr="00C0482D" w:rsidRDefault="00682292" w:rsidP="00D3547D">
            <w:pPr>
              <w:rPr>
                <w:rFonts w:ascii="Arial" w:hAnsi="Arial" w:cs="Arial"/>
                <w:b/>
                <w:bCs/>
                <w:sz w:val="20"/>
                <w:szCs w:val="20"/>
              </w:rPr>
            </w:pPr>
            <w:r w:rsidRPr="00C0482D">
              <w:rPr>
                <w:rFonts w:ascii="Arial" w:hAnsi="Arial" w:cs="Arial"/>
                <w:b/>
                <w:bCs/>
                <w:sz w:val="20"/>
                <w:szCs w:val="20"/>
              </w:rPr>
              <w:t>AD</w:t>
            </w:r>
          </w:p>
        </w:tc>
        <w:tc>
          <w:tcPr>
            <w:tcW w:w="2065" w:type="dxa"/>
            <w:tcBorders>
              <w:top w:val="single" w:sz="4" w:space="0" w:color="auto"/>
              <w:left w:val="single" w:sz="4" w:space="0" w:color="auto"/>
              <w:bottom w:val="single" w:sz="4" w:space="0" w:color="auto"/>
              <w:right w:val="single" w:sz="4" w:space="0" w:color="auto"/>
            </w:tcBorders>
          </w:tcPr>
          <w:p w14:paraId="0CCD6DCC" w14:textId="77777777" w:rsidR="00682292" w:rsidRPr="00C0482D" w:rsidRDefault="00682292" w:rsidP="00D3547D">
            <w:pPr>
              <w:rPr>
                <w:rFonts w:ascii="Arial" w:hAnsi="Arial" w:cs="Arial"/>
                <w:b/>
                <w:bCs/>
                <w:sz w:val="20"/>
                <w:szCs w:val="20"/>
              </w:rPr>
            </w:pPr>
          </w:p>
        </w:tc>
      </w:tr>
      <w:tr w:rsidR="00682292" w14:paraId="5884BB62"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6F27DA4F"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PM</w:t>
            </w:r>
            <w:r w:rsidRPr="00C0482D">
              <w:rPr>
                <w:rFonts w:ascii="Arial" w:hAnsi="Arial" w:cs="Arial"/>
                <w:sz w:val="20"/>
                <w:szCs w:val="20"/>
                <w:vertAlign w:val="subscript"/>
              </w:rPr>
              <w:t>2.5</w:t>
            </w:r>
          </w:p>
        </w:tc>
        <w:tc>
          <w:tcPr>
            <w:tcW w:w="2070" w:type="dxa"/>
            <w:tcBorders>
              <w:top w:val="single" w:sz="4" w:space="0" w:color="auto"/>
              <w:left w:val="single" w:sz="4" w:space="0" w:color="auto"/>
              <w:bottom w:val="single" w:sz="4" w:space="0" w:color="auto"/>
              <w:right w:val="single" w:sz="4" w:space="0" w:color="auto"/>
            </w:tcBorders>
            <w:hideMark/>
          </w:tcPr>
          <w:p w14:paraId="66EEFF89"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6200F1">
              <w:rPr>
                <w:rFonts w:ascii="Arial" w:hAnsi="Arial" w:cs="Arial"/>
                <w:b/>
                <w:color w:val="000000"/>
                <w:sz w:val="20"/>
                <w:szCs w:val="20"/>
                <w:bdr w:val="none" w:sz="0" w:space="0" w:color="auto" w:frame="1"/>
              </w:rPr>
              <w:t>1.078</w:t>
            </w:r>
            <w:r w:rsidRPr="00C0482D">
              <w:rPr>
                <w:rFonts w:ascii="Arial" w:hAnsi="Arial" w:cs="Arial"/>
                <w:color w:val="000000"/>
                <w:sz w:val="20"/>
                <w:szCs w:val="20"/>
                <w:bdr w:val="none" w:sz="0" w:space="0" w:color="auto" w:frame="1"/>
              </w:rPr>
              <w:t xml:space="preserve"> (1.070, 1.086)</w:t>
            </w:r>
          </w:p>
        </w:tc>
        <w:tc>
          <w:tcPr>
            <w:tcW w:w="2070" w:type="dxa"/>
            <w:tcBorders>
              <w:top w:val="single" w:sz="4" w:space="0" w:color="auto"/>
              <w:left w:val="single" w:sz="4" w:space="0" w:color="auto"/>
              <w:bottom w:val="single" w:sz="4" w:space="0" w:color="auto"/>
              <w:right w:val="single" w:sz="4" w:space="0" w:color="auto"/>
            </w:tcBorders>
            <w:hideMark/>
          </w:tcPr>
          <w:p w14:paraId="79CE07E7"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1.1</w:t>
            </w:r>
            <w:r>
              <w:rPr>
                <w:rFonts w:ascii="Arial" w:hAnsi="Arial" w:cs="Arial"/>
                <w:color w:val="000000"/>
                <w:sz w:val="20"/>
                <w:szCs w:val="20"/>
                <w:bdr w:val="none" w:sz="0" w:space="0" w:color="auto" w:frame="1"/>
              </w:rPr>
              <w:t>02</w:t>
            </w:r>
            <w:r w:rsidRPr="00C0482D">
              <w:rPr>
                <w:rFonts w:ascii="Arial" w:hAnsi="Arial" w:cs="Arial"/>
                <w:color w:val="000000"/>
                <w:sz w:val="20"/>
                <w:szCs w:val="20"/>
                <w:bdr w:val="none" w:sz="0" w:space="0" w:color="auto" w:frame="1"/>
              </w:rPr>
              <w:t xml:space="preserve"> (1.</w:t>
            </w:r>
            <w:r>
              <w:rPr>
                <w:rFonts w:ascii="Arial" w:hAnsi="Arial" w:cs="Arial"/>
                <w:color w:val="000000"/>
                <w:sz w:val="20"/>
                <w:szCs w:val="20"/>
                <w:bdr w:val="none" w:sz="0" w:space="0" w:color="auto" w:frame="1"/>
              </w:rPr>
              <w:t>097</w:t>
            </w:r>
            <w:r w:rsidRPr="00C0482D">
              <w:rPr>
                <w:rFonts w:ascii="Arial" w:hAnsi="Arial" w:cs="Arial"/>
                <w:color w:val="000000"/>
                <w:sz w:val="20"/>
                <w:szCs w:val="20"/>
                <w:bdr w:val="none" w:sz="0" w:space="0" w:color="auto" w:frame="1"/>
              </w:rPr>
              <w:t>, 1.1</w:t>
            </w:r>
            <w:r>
              <w:rPr>
                <w:rFonts w:ascii="Arial" w:hAnsi="Arial" w:cs="Arial"/>
                <w:color w:val="000000"/>
                <w:sz w:val="20"/>
                <w:szCs w:val="20"/>
                <w:bdr w:val="none" w:sz="0" w:space="0" w:color="auto" w:frame="1"/>
              </w:rPr>
              <w:t>07</w:t>
            </w:r>
            <w:r w:rsidRPr="00C0482D">
              <w:rPr>
                <w:rFonts w:ascii="Arial" w:hAnsi="Arial" w:cs="Arial"/>
                <w:color w:val="000000"/>
                <w:sz w:val="20"/>
                <w:szCs w:val="20"/>
                <w:bdr w:val="none" w:sz="0" w:space="0" w:color="auto" w:frame="1"/>
              </w:rPr>
              <w:t>)</w:t>
            </w:r>
          </w:p>
        </w:tc>
        <w:tc>
          <w:tcPr>
            <w:tcW w:w="2070" w:type="dxa"/>
            <w:tcBorders>
              <w:top w:val="single" w:sz="4" w:space="0" w:color="auto"/>
              <w:left w:val="single" w:sz="4" w:space="0" w:color="auto"/>
              <w:bottom w:val="single" w:sz="4" w:space="0" w:color="auto"/>
              <w:right w:val="single" w:sz="4" w:space="0" w:color="auto"/>
            </w:tcBorders>
          </w:tcPr>
          <w:p w14:paraId="701220A7"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w:t>
            </w:r>
            <w:r>
              <w:rPr>
                <w:rFonts w:ascii="Arial" w:hAnsi="Arial" w:cs="Arial"/>
                <w:color w:val="000000"/>
                <w:sz w:val="20"/>
                <w:szCs w:val="20"/>
                <w:bdr w:val="none" w:sz="0" w:space="0" w:color="auto" w:frame="1"/>
              </w:rPr>
              <w:t>303</w:t>
            </w:r>
            <w:r w:rsidRPr="00C0482D">
              <w:rPr>
                <w:rFonts w:ascii="Arial" w:hAnsi="Arial" w:cs="Arial"/>
                <w:color w:val="000000"/>
                <w:sz w:val="20"/>
                <w:szCs w:val="20"/>
                <w:bdr w:val="none" w:sz="0" w:space="0" w:color="auto" w:frame="1"/>
              </w:rPr>
              <w:t xml:space="preserve"> (1.</w:t>
            </w:r>
            <w:r>
              <w:rPr>
                <w:rFonts w:ascii="Arial" w:hAnsi="Arial" w:cs="Arial"/>
                <w:color w:val="000000"/>
                <w:sz w:val="20"/>
                <w:szCs w:val="20"/>
                <w:bdr w:val="none" w:sz="0" w:space="0" w:color="auto" w:frame="1"/>
              </w:rPr>
              <w:t>273</w:t>
            </w:r>
            <w:r w:rsidRPr="00C0482D">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1.344</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027B8AB4"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1.226</w:t>
            </w:r>
            <w:r w:rsidRPr="00C0482D">
              <w:rPr>
                <w:rFonts w:ascii="Arial" w:hAnsi="Arial" w:cs="Arial"/>
                <w:color w:val="000000"/>
                <w:sz w:val="20"/>
                <w:szCs w:val="20"/>
                <w:bdr w:val="none" w:sz="0" w:space="0" w:color="auto" w:frame="1"/>
              </w:rPr>
              <w:t xml:space="preserve"> (1.</w:t>
            </w:r>
            <w:r>
              <w:rPr>
                <w:rFonts w:ascii="Arial" w:hAnsi="Arial" w:cs="Arial"/>
                <w:color w:val="000000"/>
                <w:sz w:val="20"/>
                <w:szCs w:val="20"/>
                <w:bdr w:val="none" w:sz="0" w:space="0" w:color="auto" w:frame="1"/>
              </w:rPr>
              <w:t>204</w:t>
            </w:r>
            <w:r w:rsidRPr="00C0482D">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1.256</w:t>
            </w:r>
            <w:r w:rsidRPr="00C0482D">
              <w:rPr>
                <w:rFonts w:ascii="Arial" w:hAnsi="Arial" w:cs="Arial"/>
                <w:color w:val="000000"/>
                <w:sz w:val="20"/>
                <w:szCs w:val="20"/>
                <w:bdr w:val="none" w:sz="0" w:space="0" w:color="auto" w:frame="1"/>
              </w:rPr>
              <w:t>)</w:t>
            </w:r>
          </w:p>
        </w:tc>
      </w:tr>
      <w:tr w:rsidR="00682292" w14:paraId="0C04BA20"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77158DF2"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NO</w:t>
            </w:r>
            <w:r w:rsidRPr="00C0482D">
              <w:rPr>
                <w:rFonts w:ascii="Arial" w:hAnsi="Arial" w:cs="Arial"/>
                <w:sz w:val="20"/>
                <w:szCs w:val="20"/>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10F36A9D"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6200F1">
              <w:rPr>
                <w:rFonts w:ascii="Arial" w:hAnsi="Arial" w:cs="Arial"/>
                <w:b/>
                <w:color w:val="000000"/>
                <w:sz w:val="20"/>
                <w:szCs w:val="20"/>
                <w:bdr w:val="none" w:sz="0" w:space="0" w:color="auto" w:frame="1"/>
              </w:rPr>
              <w:t>1.031</w:t>
            </w:r>
            <w:r w:rsidRPr="00C0482D">
              <w:rPr>
                <w:rFonts w:ascii="Arial" w:hAnsi="Arial" w:cs="Arial"/>
                <w:color w:val="000000"/>
                <w:sz w:val="20"/>
                <w:szCs w:val="20"/>
                <w:bdr w:val="none" w:sz="0" w:space="0" w:color="auto" w:frame="1"/>
              </w:rPr>
              <w:t xml:space="preserve"> (1.023, 1.039)</w:t>
            </w:r>
          </w:p>
        </w:tc>
        <w:tc>
          <w:tcPr>
            <w:tcW w:w="2070" w:type="dxa"/>
            <w:tcBorders>
              <w:top w:val="single" w:sz="4" w:space="0" w:color="auto"/>
              <w:left w:val="single" w:sz="4" w:space="0" w:color="auto"/>
              <w:bottom w:val="single" w:sz="4" w:space="0" w:color="auto"/>
              <w:right w:val="single" w:sz="4" w:space="0" w:color="auto"/>
            </w:tcBorders>
            <w:hideMark/>
          </w:tcPr>
          <w:p w14:paraId="654DB983"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1.0</w:t>
            </w:r>
            <w:r>
              <w:rPr>
                <w:rFonts w:ascii="Arial" w:hAnsi="Arial" w:cs="Arial"/>
                <w:color w:val="000000"/>
                <w:sz w:val="20"/>
                <w:szCs w:val="20"/>
                <w:bdr w:val="none" w:sz="0" w:space="0" w:color="auto" w:frame="1"/>
              </w:rPr>
              <w:t>55</w:t>
            </w:r>
            <w:r w:rsidRPr="00C0482D">
              <w:rPr>
                <w:rFonts w:ascii="Arial" w:hAnsi="Arial" w:cs="Arial"/>
                <w:color w:val="000000"/>
                <w:sz w:val="20"/>
                <w:szCs w:val="20"/>
                <w:bdr w:val="none" w:sz="0" w:space="0" w:color="auto" w:frame="1"/>
              </w:rPr>
              <w:t xml:space="preserve"> (1.0</w:t>
            </w:r>
            <w:r>
              <w:rPr>
                <w:rFonts w:ascii="Arial" w:hAnsi="Arial" w:cs="Arial"/>
                <w:color w:val="000000"/>
                <w:sz w:val="20"/>
                <w:szCs w:val="20"/>
                <w:bdr w:val="none" w:sz="0" w:space="0" w:color="auto" w:frame="1"/>
              </w:rPr>
              <w:t>50</w:t>
            </w:r>
            <w:r w:rsidRPr="00C0482D">
              <w:rPr>
                <w:rFonts w:ascii="Arial" w:hAnsi="Arial" w:cs="Arial"/>
                <w:color w:val="000000"/>
                <w:sz w:val="20"/>
                <w:szCs w:val="20"/>
                <w:bdr w:val="none" w:sz="0" w:space="0" w:color="auto" w:frame="1"/>
              </w:rPr>
              <w:t>, 1.0</w:t>
            </w:r>
            <w:r>
              <w:rPr>
                <w:rFonts w:ascii="Arial" w:hAnsi="Arial" w:cs="Arial"/>
                <w:color w:val="000000"/>
                <w:sz w:val="20"/>
                <w:szCs w:val="20"/>
                <w:bdr w:val="none" w:sz="0" w:space="0" w:color="auto" w:frame="1"/>
              </w:rPr>
              <w:t>60</w:t>
            </w:r>
            <w:r w:rsidRPr="00C0482D">
              <w:rPr>
                <w:rFonts w:ascii="Arial" w:hAnsi="Arial" w:cs="Arial"/>
                <w:color w:val="000000"/>
                <w:sz w:val="20"/>
                <w:szCs w:val="20"/>
                <w:bdr w:val="none" w:sz="0" w:space="0" w:color="auto" w:frame="1"/>
              </w:rPr>
              <w:t>)</w:t>
            </w:r>
          </w:p>
        </w:tc>
        <w:tc>
          <w:tcPr>
            <w:tcW w:w="2070" w:type="dxa"/>
            <w:tcBorders>
              <w:top w:val="single" w:sz="4" w:space="0" w:color="auto"/>
              <w:left w:val="single" w:sz="4" w:space="0" w:color="auto"/>
              <w:bottom w:val="single" w:sz="4" w:space="0" w:color="auto"/>
              <w:right w:val="single" w:sz="4" w:space="0" w:color="auto"/>
            </w:tcBorders>
          </w:tcPr>
          <w:p w14:paraId="71D2C46F"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1.</w:t>
            </w:r>
            <w:r>
              <w:rPr>
                <w:rFonts w:ascii="Arial" w:hAnsi="Arial" w:cs="Arial"/>
                <w:color w:val="000000"/>
                <w:sz w:val="20"/>
                <w:szCs w:val="20"/>
                <w:bdr w:val="none" w:sz="0" w:space="0" w:color="auto" w:frame="1"/>
              </w:rPr>
              <w:t>176</w:t>
            </w:r>
            <w:r w:rsidRPr="00C0482D">
              <w:rPr>
                <w:rFonts w:ascii="Arial" w:hAnsi="Arial" w:cs="Arial"/>
                <w:color w:val="000000"/>
                <w:sz w:val="20"/>
                <w:szCs w:val="20"/>
                <w:bdr w:val="none" w:sz="0" w:space="0" w:color="auto" w:frame="1"/>
              </w:rPr>
              <w:t xml:space="preserve"> (1.</w:t>
            </w:r>
            <w:r>
              <w:rPr>
                <w:rFonts w:ascii="Arial" w:hAnsi="Arial" w:cs="Arial"/>
                <w:color w:val="000000"/>
                <w:sz w:val="20"/>
                <w:szCs w:val="20"/>
                <w:bdr w:val="none" w:sz="0" w:space="0" w:color="auto" w:frame="1"/>
              </w:rPr>
              <w:t>137</w:t>
            </w:r>
            <w:r w:rsidRPr="00C0482D">
              <w:rPr>
                <w:rFonts w:ascii="Arial" w:hAnsi="Arial" w:cs="Arial"/>
                <w:color w:val="000000"/>
                <w:sz w:val="20"/>
                <w:szCs w:val="20"/>
                <w:bdr w:val="none" w:sz="0" w:space="0" w:color="auto" w:frame="1"/>
              </w:rPr>
              <w:t>, 1.</w:t>
            </w:r>
            <w:r>
              <w:rPr>
                <w:rFonts w:ascii="Arial" w:hAnsi="Arial" w:cs="Arial"/>
                <w:color w:val="000000"/>
                <w:sz w:val="20"/>
                <w:szCs w:val="20"/>
                <w:bdr w:val="none" w:sz="0" w:space="0" w:color="auto" w:frame="1"/>
              </w:rPr>
              <w:t>209</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3DC6BB1A"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1.097</w:t>
            </w:r>
            <w:r w:rsidRPr="00C0482D">
              <w:rPr>
                <w:rFonts w:ascii="Arial" w:hAnsi="Arial" w:cs="Arial"/>
                <w:color w:val="000000"/>
                <w:sz w:val="20"/>
                <w:szCs w:val="20"/>
                <w:bdr w:val="none" w:sz="0" w:space="0" w:color="auto" w:frame="1"/>
              </w:rPr>
              <w:t xml:space="preserve"> (1.</w:t>
            </w:r>
            <w:r>
              <w:rPr>
                <w:rFonts w:ascii="Arial" w:hAnsi="Arial" w:cs="Arial"/>
                <w:color w:val="000000"/>
                <w:sz w:val="20"/>
                <w:szCs w:val="20"/>
                <w:bdr w:val="none" w:sz="0" w:space="0" w:color="auto" w:frame="1"/>
              </w:rPr>
              <w:t>076</w:t>
            </w:r>
            <w:r w:rsidRPr="00C0482D">
              <w:rPr>
                <w:rFonts w:ascii="Arial" w:hAnsi="Arial" w:cs="Arial"/>
                <w:color w:val="000000"/>
                <w:sz w:val="20"/>
                <w:szCs w:val="20"/>
                <w:bdr w:val="none" w:sz="0" w:space="0" w:color="auto" w:frame="1"/>
              </w:rPr>
              <w:t>, 1.</w:t>
            </w:r>
            <w:r>
              <w:rPr>
                <w:rFonts w:ascii="Arial" w:hAnsi="Arial" w:cs="Arial"/>
                <w:color w:val="000000"/>
                <w:sz w:val="20"/>
                <w:szCs w:val="20"/>
                <w:bdr w:val="none" w:sz="0" w:space="0" w:color="auto" w:frame="1"/>
              </w:rPr>
              <w:t>114</w:t>
            </w:r>
            <w:r w:rsidRPr="00C0482D">
              <w:rPr>
                <w:rFonts w:ascii="Arial" w:hAnsi="Arial" w:cs="Arial"/>
                <w:color w:val="000000"/>
                <w:sz w:val="20"/>
                <w:szCs w:val="20"/>
                <w:bdr w:val="none" w:sz="0" w:space="0" w:color="auto" w:frame="1"/>
              </w:rPr>
              <w:t>)</w:t>
            </w:r>
          </w:p>
        </w:tc>
      </w:tr>
      <w:tr w:rsidR="00682292" w14:paraId="549EF5C7" w14:textId="77777777" w:rsidTr="00D3547D">
        <w:tc>
          <w:tcPr>
            <w:tcW w:w="1075" w:type="dxa"/>
            <w:tcBorders>
              <w:top w:val="single" w:sz="4" w:space="0" w:color="auto"/>
              <w:left w:val="single" w:sz="4" w:space="0" w:color="auto"/>
              <w:bottom w:val="single" w:sz="4" w:space="0" w:color="auto"/>
              <w:right w:val="single" w:sz="4" w:space="0" w:color="auto"/>
            </w:tcBorders>
            <w:hideMark/>
          </w:tcPr>
          <w:p w14:paraId="2C6523C2" w14:textId="77777777" w:rsidR="00682292" w:rsidRPr="00C0482D" w:rsidRDefault="00682292" w:rsidP="00D3547D">
            <w:pPr>
              <w:rPr>
                <w:rFonts w:ascii="Arial" w:hAnsi="Arial" w:cs="Arial"/>
                <w:sz w:val="20"/>
                <w:szCs w:val="20"/>
              </w:rPr>
            </w:pPr>
            <w:r w:rsidRPr="00C0482D">
              <w:rPr>
                <w:rFonts w:ascii="Arial" w:hAnsi="Arial" w:cs="Arial"/>
                <w:sz w:val="20"/>
                <w:szCs w:val="20"/>
              </w:rPr>
              <w:t xml:space="preserve">   O</w:t>
            </w:r>
            <w:r w:rsidRPr="00C0482D">
              <w:rPr>
                <w:rFonts w:ascii="Arial" w:hAnsi="Arial" w:cs="Arial"/>
                <w:sz w:val="20"/>
                <w:szCs w:val="20"/>
                <w:vertAlign w:val="subscript"/>
              </w:rPr>
              <w:t>3</w:t>
            </w:r>
          </w:p>
        </w:tc>
        <w:tc>
          <w:tcPr>
            <w:tcW w:w="2070" w:type="dxa"/>
            <w:tcBorders>
              <w:top w:val="single" w:sz="4" w:space="0" w:color="auto"/>
              <w:left w:val="single" w:sz="4" w:space="0" w:color="auto"/>
              <w:bottom w:val="single" w:sz="4" w:space="0" w:color="auto"/>
              <w:right w:val="single" w:sz="4" w:space="0" w:color="auto"/>
            </w:tcBorders>
            <w:hideMark/>
          </w:tcPr>
          <w:p w14:paraId="3F19A3EA"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6200F1">
              <w:rPr>
                <w:rFonts w:ascii="Arial" w:hAnsi="Arial" w:cs="Arial"/>
                <w:b/>
                <w:color w:val="000000"/>
                <w:sz w:val="20"/>
                <w:szCs w:val="20"/>
                <w:bdr w:val="none" w:sz="0" w:space="0" w:color="auto" w:frame="1"/>
              </w:rPr>
              <w:t>0.982</w:t>
            </w:r>
            <w:r w:rsidRPr="00C0482D">
              <w:rPr>
                <w:rFonts w:ascii="Arial" w:hAnsi="Arial" w:cs="Arial"/>
                <w:color w:val="000000"/>
                <w:sz w:val="20"/>
                <w:szCs w:val="20"/>
                <w:bdr w:val="none" w:sz="0" w:space="0" w:color="auto" w:frame="1"/>
              </w:rPr>
              <w:t xml:space="preserve"> (0.977, 0.986)</w:t>
            </w:r>
          </w:p>
        </w:tc>
        <w:tc>
          <w:tcPr>
            <w:tcW w:w="2070" w:type="dxa"/>
            <w:tcBorders>
              <w:top w:val="single" w:sz="4" w:space="0" w:color="auto"/>
              <w:left w:val="single" w:sz="4" w:space="0" w:color="auto"/>
              <w:bottom w:val="single" w:sz="4" w:space="0" w:color="auto"/>
              <w:right w:val="single" w:sz="4" w:space="0" w:color="auto"/>
            </w:tcBorders>
            <w:hideMark/>
          </w:tcPr>
          <w:p w14:paraId="55B22B10" w14:textId="77777777" w:rsidR="00682292" w:rsidRPr="00C0482D" w:rsidRDefault="00682292" w:rsidP="00D35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0.9</w:t>
            </w:r>
            <w:r>
              <w:rPr>
                <w:rFonts w:ascii="Arial" w:hAnsi="Arial" w:cs="Arial"/>
                <w:color w:val="000000"/>
                <w:sz w:val="20"/>
                <w:szCs w:val="20"/>
                <w:bdr w:val="none" w:sz="0" w:space="0" w:color="auto" w:frame="1"/>
              </w:rPr>
              <w:t>63</w:t>
            </w:r>
            <w:r w:rsidRPr="00C0482D">
              <w:rPr>
                <w:rFonts w:ascii="Arial" w:hAnsi="Arial" w:cs="Arial"/>
                <w:color w:val="000000"/>
                <w:sz w:val="20"/>
                <w:szCs w:val="20"/>
                <w:bdr w:val="none" w:sz="0" w:space="0" w:color="auto" w:frame="1"/>
              </w:rPr>
              <w:t xml:space="preserve"> (0.9</w:t>
            </w:r>
            <w:r>
              <w:rPr>
                <w:rFonts w:ascii="Arial" w:hAnsi="Arial" w:cs="Arial"/>
                <w:color w:val="000000"/>
                <w:sz w:val="20"/>
                <w:szCs w:val="20"/>
                <w:bdr w:val="none" w:sz="0" w:space="0" w:color="auto" w:frame="1"/>
              </w:rPr>
              <w:t>60</w:t>
            </w:r>
            <w:r w:rsidRPr="00C0482D">
              <w:rPr>
                <w:rFonts w:ascii="Arial" w:hAnsi="Arial" w:cs="Arial"/>
                <w:color w:val="000000"/>
                <w:sz w:val="20"/>
                <w:szCs w:val="20"/>
                <w:bdr w:val="none" w:sz="0" w:space="0" w:color="auto" w:frame="1"/>
              </w:rPr>
              <w:t>, 0.96</w:t>
            </w:r>
            <w:r>
              <w:rPr>
                <w:rFonts w:ascii="Arial" w:hAnsi="Arial" w:cs="Arial"/>
                <w:color w:val="000000"/>
                <w:sz w:val="20"/>
                <w:szCs w:val="20"/>
                <w:bdr w:val="none" w:sz="0" w:space="0" w:color="auto" w:frame="1"/>
              </w:rPr>
              <w:t>6</w:t>
            </w:r>
            <w:r w:rsidRPr="00C0482D">
              <w:rPr>
                <w:rFonts w:ascii="Arial" w:hAnsi="Arial" w:cs="Arial"/>
                <w:color w:val="000000"/>
                <w:sz w:val="20"/>
                <w:szCs w:val="20"/>
                <w:bdr w:val="none" w:sz="0" w:space="0" w:color="auto" w:frame="1"/>
              </w:rPr>
              <w:t>)</w:t>
            </w:r>
          </w:p>
        </w:tc>
        <w:tc>
          <w:tcPr>
            <w:tcW w:w="2070" w:type="dxa"/>
            <w:tcBorders>
              <w:top w:val="single" w:sz="4" w:space="0" w:color="auto"/>
              <w:left w:val="single" w:sz="4" w:space="0" w:color="auto"/>
              <w:bottom w:val="single" w:sz="4" w:space="0" w:color="auto"/>
              <w:right w:val="single" w:sz="4" w:space="0" w:color="auto"/>
            </w:tcBorders>
          </w:tcPr>
          <w:p w14:paraId="2F2AE399" w14:textId="77777777" w:rsidR="00682292" w:rsidRPr="00C0482D" w:rsidRDefault="00682292" w:rsidP="00D3547D">
            <w:pPr>
              <w:rPr>
                <w:rFonts w:ascii="Arial" w:hAnsi="Arial" w:cs="Arial"/>
                <w:color w:val="000000"/>
                <w:sz w:val="20"/>
                <w:szCs w:val="20"/>
                <w:bdr w:val="none" w:sz="0" w:space="0" w:color="auto" w:frame="1"/>
              </w:rPr>
            </w:pPr>
            <w:r w:rsidRPr="00C0482D">
              <w:rPr>
                <w:rFonts w:ascii="Arial" w:hAnsi="Arial" w:cs="Arial"/>
                <w:color w:val="000000"/>
                <w:sz w:val="20"/>
                <w:szCs w:val="20"/>
                <w:bdr w:val="none" w:sz="0" w:space="0" w:color="auto" w:frame="1"/>
              </w:rPr>
              <w:t>0.9</w:t>
            </w:r>
            <w:r>
              <w:rPr>
                <w:rFonts w:ascii="Arial" w:hAnsi="Arial" w:cs="Arial"/>
                <w:color w:val="000000"/>
                <w:sz w:val="20"/>
                <w:szCs w:val="20"/>
                <w:bdr w:val="none" w:sz="0" w:space="0" w:color="auto" w:frame="1"/>
              </w:rPr>
              <w:t>01</w:t>
            </w:r>
            <w:r w:rsidRPr="00C0482D">
              <w:rPr>
                <w:rFonts w:ascii="Arial" w:hAnsi="Arial" w:cs="Arial"/>
                <w:color w:val="000000"/>
                <w:sz w:val="20"/>
                <w:szCs w:val="20"/>
                <w:bdr w:val="none" w:sz="0" w:space="0" w:color="auto" w:frame="1"/>
              </w:rPr>
              <w:t xml:space="preserve"> (0.</w:t>
            </w:r>
            <w:r>
              <w:rPr>
                <w:rFonts w:ascii="Arial" w:hAnsi="Arial" w:cs="Arial"/>
                <w:color w:val="000000"/>
                <w:sz w:val="20"/>
                <w:szCs w:val="20"/>
                <w:bdr w:val="none" w:sz="0" w:space="0" w:color="auto" w:frame="1"/>
              </w:rPr>
              <w:t>891</w:t>
            </w:r>
            <w:r w:rsidRPr="00C0482D">
              <w:rPr>
                <w:rFonts w:ascii="Arial" w:hAnsi="Arial" w:cs="Arial"/>
                <w:color w:val="000000"/>
                <w:sz w:val="20"/>
                <w:szCs w:val="20"/>
                <w:bdr w:val="none" w:sz="0" w:space="0" w:color="auto" w:frame="1"/>
              </w:rPr>
              <w:t>, 0.9</w:t>
            </w:r>
            <w:r>
              <w:rPr>
                <w:rFonts w:ascii="Arial" w:hAnsi="Arial" w:cs="Arial"/>
                <w:color w:val="000000"/>
                <w:sz w:val="20"/>
                <w:szCs w:val="20"/>
                <w:bdr w:val="none" w:sz="0" w:space="0" w:color="auto" w:frame="1"/>
              </w:rPr>
              <w:t>12</w:t>
            </w:r>
            <w:r w:rsidRPr="00C0482D">
              <w:rPr>
                <w:rFonts w:ascii="Arial" w:hAnsi="Arial" w:cs="Arial"/>
                <w:color w:val="000000"/>
                <w:sz w:val="20"/>
                <w:szCs w:val="20"/>
                <w:bdr w:val="none" w:sz="0" w:space="0" w:color="auto" w:frame="1"/>
              </w:rPr>
              <w:t>)</w:t>
            </w:r>
          </w:p>
        </w:tc>
        <w:tc>
          <w:tcPr>
            <w:tcW w:w="2065" w:type="dxa"/>
            <w:tcBorders>
              <w:top w:val="single" w:sz="4" w:space="0" w:color="auto"/>
              <w:left w:val="single" w:sz="4" w:space="0" w:color="auto"/>
              <w:bottom w:val="single" w:sz="4" w:space="0" w:color="auto"/>
              <w:right w:val="single" w:sz="4" w:space="0" w:color="auto"/>
            </w:tcBorders>
          </w:tcPr>
          <w:p w14:paraId="1B6A35CF" w14:textId="77777777" w:rsidR="00682292" w:rsidRPr="00C0482D" w:rsidRDefault="00682292" w:rsidP="00D3547D">
            <w:pPr>
              <w:rPr>
                <w:rFonts w:ascii="Arial" w:hAnsi="Arial" w:cs="Arial"/>
                <w:color w:val="000000"/>
                <w:sz w:val="20"/>
                <w:szCs w:val="20"/>
                <w:bdr w:val="none" w:sz="0" w:space="0" w:color="auto" w:frame="1"/>
              </w:rPr>
            </w:pPr>
            <w:r w:rsidRPr="00505A2C">
              <w:rPr>
                <w:rFonts w:ascii="Arial" w:hAnsi="Arial" w:cs="Arial"/>
                <w:b/>
                <w:color w:val="000000"/>
                <w:sz w:val="20"/>
                <w:szCs w:val="20"/>
                <w:bdr w:val="none" w:sz="0" w:space="0" w:color="auto" w:frame="1"/>
              </w:rPr>
              <w:t>0.950</w:t>
            </w:r>
            <w:r w:rsidRPr="00C0482D">
              <w:rPr>
                <w:rFonts w:ascii="Arial" w:hAnsi="Arial" w:cs="Arial"/>
                <w:color w:val="000000"/>
                <w:sz w:val="20"/>
                <w:szCs w:val="20"/>
                <w:bdr w:val="none" w:sz="0" w:space="0" w:color="auto" w:frame="1"/>
              </w:rPr>
              <w:t xml:space="preserve"> (0.</w:t>
            </w:r>
            <w:r>
              <w:rPr>
                <w:rFonts w:ascii="Arial" w:hAnsi="Arial" w:cs="Arial"/>
                <w:color w:val="000000"/>
                <w:sz w:val="20"/>
                <w:szCs w:val="20"/>
                <w:bdr w:val="none" w:sz="0" w:space="0" w:color="auto" w:frame="1"/>
              </w:rPr>
              <w:t>944</w:t>
            </w:r>
            <w:r w:rsidRPr="00C0482D">
              <w:rPr>
                <w:rFonts w:ascii="Arial" w:hAnsi="Arial" w:cs="Arial"/>
                <w:color w:val="000000"/>
                <w:sz w:val="20"/>
                <w:szCs w:val="20"/>
                <w:bdr w:val="none" w:sz="0" w:space="0" w:color="auto" w:frame="1"/>
              </w:rPr>
              <w:t>, 0.9</w:t>
            </w:r>
            <w:r>
              <w:rPr>
                <w:rFonts w:ascii="Arial" w:hAnsi="Arial" w:cs="Arial"/>
                <w:color w:val="000000"/>
                <w:sz w:val="20"/>
                <w:szCs w:val="20"/>
                <w:bdr w:val="none" w:sz="0" w:space="0" w:color="auto" w:frame="1"/>
              </w:rPr>
              <w:t>56</w:t>
            </w:r>
            <w:r w:rsidRPr="00C0482D">
              <w:rPr>
                <w:rFonts w:ascii="Arial" w:hAnsi="Arial" w:cs="Arial"/>
                <w:color w:val="000000"/>
                <w:sz w:val="20"/>
                <w:szCs w:val="20"/>
                <w:bdr w:val="none" w:sz="0" w:space="0" w:color="auto" w:frame="1"/>
              </w:rPr>
              <w:t>)</w:t>
            </w:r>
          </w:p>
        </w:tc>
      </w:tr>
    </w:tbl>
    <w:p w14:paraId="7147BA3E" w14:textId="77777777" w:rsidR="00682292" w:rsidRPr="006A3BEE" w:rsidRDefault="00682292" w:rsidP="00682292">
      <w:pPr>
        <w:rPr>
          <w:rFonts w:ascii="Arial" w:hAnsi="Arial" w:cs="Arial"/>
          <w:sz w:val="22"/>
          <w:szCs w:val="22"/>
        </w:rPr>
      </w:pPr>
    </w:p>
    <w:p w14:paraId="67C0CC64" w14:textId="0DD81398" w:rsidR="00682292" w:rsidRDefault="00682292" w:rsidP="00682292">
      <w:pPr>
        <w:rPr>
          <w:rFonts w:ascii="Arial" w:hAnsi="Arial" w:cs="Arial"/>
          <w:sz w:val="22"/>
          <w:szCs w:val="22"/>
        </w:rPr>
      </w:pPr>
      <w:r>
        <w:rPr>
          <w:rFonts w:ascii="Arial" w:hAnsi="Arial" w:cs="Arial"/>
          <w:sz w:val="22"/>
          <w:szCs w:val="22"/>
        </w:rPr>
        <w:t xml:space="preserve">*model with stratification </w:t>
      </w:r>
      <w:r w:rsidRPr="00350562">
        <w:rPr>
          <w:rFonts w:ascii="Arial" w:hAnsi="Arial" w:cs="Arial"/>
          <w:sz w:val="22"/>
          <w:szCs w:val="22"/>
        </w:rPr>
        <w:t>by age and race</w:t>
      </w:r>
      <w:r>
        <w:rPr>
          <w:rFonts w:ascii="Arial" w:hAnsi="Arial" w:cs="Arial"/>
          <w:sz w:val="22"/>
          <w:szCs w:val="22"/>
        </w:rPr>
        <w:t xml:space="preserve">, and exposure assigned to </w:t>
      </w:r>
      <w:r>
        <w:rPr>
          <w:rFonts w:ascii="Arial" w:hAnsi="Arial" w:cs="Arial"/>
          <w:color w:val="000000" w:themeColor="text1"/>
          <w:sz w:val="22"/>
          <w:szCs w:val="22"/>
        </w:rPr>
        <w:t>ZIP</w:t>
      </w:r>
      <w:r>
        <w:rPr>
          <w:rFonts w:ascii="Arial" w:hAnsi="Arial" w:cs="Arial"/>
          <w:sz w:val="22"/>
          <w:szCs w:val="22"/>
        </w:rPr>
        <w:t xml:space="preserve"> code of longest residence during follow-up period</w:t>
      </w:r>
      <w:r w:rsidRPr="00350562">
        <w:rPr>
          <w:rFonts w:ascii="Arial" w:hAnsi="Arial" w:cs="Arial"/>
          <w:sz w:val="22"/>
          <w:szCs w:val="22"/>
        </w:rPr>
        <w:t>.</w:t>
      </w:r>
      <w:r w:rsidR="00350562">
        <w:rPr>
          <w:rFonts w:ascii="Arial" w:hAnsi="Arial" w:cs="Arial"/>
          <w:sz w:val="22"/>
          <w:szCs w:val="22"/>
        </w:rPr>
        <w:t xml:space="preserve"> Confidence intervals are overly narrow for corrected hazard as they do not reflect uncertainty due to the degree of correction.</w:t>
      </w:r>
      <w:r w:rsidRPr="00350562">
        <w:rPr>
          <w:rFonts w:ascii="Arial" w:hAnsi="Arial" w:cs="Arial"/>
          <w:sz w:val="22"/>
          <w:szCs w:val="22"/>
        </w:rPr>
        <w:t xml:space="preserve"> </w:t>
      </w:r>
    </w:p>
    <w:p w14:paraId="6A6DF982" w14:textId="6437EB54" w:rsidR="00682292" w:rsidRDefault="00682292" w:rsidP="00682292">
      <w:pPr>
        <w:rPr>
          <w:rFonts w:ascii="Arial" w:hAnsi="Arial" w:cs="Arial"/>
          <w:sz w:val="22"/>
          <w:szCs w:val="22"/>
        </w:rPr>
      </w:pPr>
      <w:r>
        <w:rPr>
          <w:rFonts w:ascii="Arial" w:hAnsi="Arial" w:cs="Arial"/>
          <w:sz w:val="22"/>
          <w:szCs w:val="22"/>
        </w:rPr>
        <w:t xml:space="preserve">** same model as model </w:t>
      </w:r>
      <w:r w:rsidR="005C0617">
        <w:rPr>
          <w:rFonts w:ascii="Arial" w:hAnsi="Arial" w:cs="Arial"/>
          <w:sz w:val="22"/>
          <w:szCs w:val="22"/>
        </w:rPr>
        <w:t>2 but</w:t>
      </w:r>
      <w:r>
        <w:rPr>
          <w:rFonts w:ascii="Arial" w:hAnsi="Arial" w:cs="Arial"/>
          <w:sz w:val="22"/>
          <w:szCs w:val="22"/>
        </w:rPr>
        <w:t xml:space="preserve"> corrected for misclassification described in text above</w:t>
      </w:r>
      <w:r w:rsidR="004B100F">
        <w:rPr>
          <w:rFonts w:ascii="Arial" w:hAnsi="Arial" w:cs="Arial"/>
          <w:sz w:val="22"/>
          <w:szCs w:val="22"/>
        </w:rPr>
        <w:t>.</w:t>
      </w:r>
    </w:p>
    <w:p w14:paraId="1809E09F" w14:textId="3249ECE5" w:rsidR="00682292" w:rsidRDefault="00682292" w:rsidP="00682292">
      <w:pPr>
        <w:rPr>
          <w:rFonts w:ascii="Arial" w:hAnsi="Arial" w:cs="Arial"/>
          <w:sz w:val="22"/>
          <w:szCs w:val="22"/>
        </w:rPr>
      </w:pPr>
      <w:r>
        <w:rPr>
          <w:rFonts w:ascii="Arial" w:hAnsi="Arial" w:cs="Arial"/>
          <w:sz w:val="22"/>
          <w:szCs w:val="22"/>
        </w:rPr>
        <w:t>**</w:t>
      </w:r>
      <w:r w:rsidR="00DA677A">
        <w:rPr>
          <w:rFonts w:ascii="Arial" w:hAnsi="Arial" w:cs="Arial"/>
          <w:sz w:val="22"/>
          <w:szCs w:val="22"/>
        </w:rPr>
        <w:t>*</w:t>
      </w:r>
      <w:r>
        <w:rPr>
          <w:rFonts w:ascii="Arial" w:hAnsi="Arial" w:cs="Arial"/>
          <w:sz w:val="22"/>
          <w:szCs w:val="22"/>
        </w:rPr>
        <w:t xml:space="preserve"> Original coefficient from Cox model, corrected by multiplying the ratio of the exposure coefficients for model 3/model 2 by the original Cox model exposure coefficient, then multiplying that corrected coefficient by the IQR and exponentiating to get the corrected HR. 95% CIs for models 3 and 4 were calculated from 50 </w:t>
      </w:r>
      <w:r w:rsidRPr="00D45150">
        <w:rPr>
          <w:rFonts w:ascii="Arial" w:hAnsi="Arial" w:cs="Arial"/>
          <w:sz w:val="22"/>
          <w:szCs w:val="22"/>
        </w:rPr>
        <w:t>bootstrap samples</w:t>
      </w:r>
      <w:r>
        <w:rPr>
          <w:rFonts w:ascii="Arial" w:hAnsi="Arial" w:cs="Arial"/>
          <w:sz w:val="22"/>
          <w:szCs w:val="22"/>
        </w:rPr>
        <w:t xml:space="preserve"> having the same data size with the modeled dataset.</w:t>
      </w:r>
    </w:p>
    <w:p w14:paraId="364F270E" w14:textId="77777777" w:rsidR="003367E7" w:rsidRDefault="003367E7" w:rsidP="003367E7">
      <w:pPr>
        <w:rPr>
          <w:rFonts w:ascii="Arial" w:hAnsi="Arial" w:cs="Arial"/>
        </w:rPr>
      </w:pPr>
    </w:p>
    <w:p w14:paraId="60757C4B" w14:textId="162E3DC3" w:rsidR="002F5511" w:rsidRPr="00952DF2" w:rsidRDefault="002F5511" w:rsidP="0076223E">
      <w:pPr>
        <w:rPr>
          <w:rFonts w:ascii="Arial" w:eastAsiaTheme="minorEastAsia" w:hAnsi="Arial" w:cs="Arial"/>
          <w:sz w:val="22"/>
          <w:szCs w:val="22"/>
        </w:rPr>
      </w:pPr>
    </w:p>
    <w:p w14:paraId="070426A1" w14:textId="72B34925" w:rsidR="002F5511" w:rsidRDefault="002F5511" w:rsidP="0076223E">
      <w:pPr>
        <w:rPr>
          <w:rFonts w:ascii="Arial" w:hAnsi="Arial" w:cs="Arial"/>
          <w:sz w:val="22"/>
          <w:szCs w:val="22"/>
        </w:rPr>
      </w:pPr>
    </w:p>
    <w:p w14:paraId="6309F5D1" w14:textId="102849FD" w:rsidR="00014E02" w:rsidRDefault="00014E02" w:rsidP="0076223E">
      <w:pPr>
        <w:rPr>
          <w:rFonts w:ascii="Arial" w:hAnsi="Arial" w:cs="Arial"/>
          <w:sz w:val="22"/>
          <w:szCs w:val="22"/>
        </w:rPr>
      </w:pPr>
    </w:p>
    <w:p w14:paraId="74AB3A6F" w14:textId="67EDB81F" w:rsidR="00014E02" w:rsidRDefault="00014E02" w:rsidP="0076223E">
      <w:pPr>
        <w:rPr>
          <w:rFonts w:ascii="Arial" w:hAnsi="Arial" w:cs="Arial"/>
          <w:sz w:val="22"/>
          <w:szCs w:val="22"/>
        </w:rPr>
      </w:pPr>
    </w:p>
    <w:p w14:paraId="25BD6A96" w14:textId="6EAEB07D" w:rsidR="00014E02" w:rsidRDefault="00014E02" w:rsidP="0076223E">
      <w:pPr>
        <w:rPr>
          <w:rFonts w:ascii="Arial" w:hAnsi="Arial" w:cs="Arial"/>
          <w:sz w:val="22"/>
          <w:szCs w:val="22"/>
        </w:rPr>
      </w:pPr>
    </w:p>
    <w:p w14:paraId="05837A4B" w14:textId="77777777" w:rsidR="005F2A6C" w:rsidRPr="006A3BEE" w:rsidRDefault="005F2A6C" w:rsidP="00D300FB">
      <w:pPr>
        <w:rPr>
          <w:rFonts w:ascii="Arial" w:hAnsi="Arial" w:cs="Arial"/>
        </w:rPr>
      </w:pPr>
    </w:p>
    <w:p w14:paraId="26F2A6BB" w14:textId="24DDB8D4" w:rsidR="00DA2D7C" w:rsidRDefault="00DA2D7C">
      <w:pPr>
        <w:rPr>
          <w:rFonts w:ascii="Arial" w:hAnsi="Arial" w:cs="Arial"/>
        </w:rPr>
      </w:pPr>
      <w:r>
        <w:rPr>
          <w:rFonts w:ascii="Arial" w:hAnsi="Arial" w:cs="Arial"/>
        </w:rPr>
        <w:br w:type="page"/>
      </w:r>
    </w:p>
    <w:p w14:paraId="69086A44" w14:textId="77777777" w:rsidR="00CC59C9" w:rsidRPr="006A3BEE" w:rsidRDefault="00CC59C9" w:rsidP="0022686D">
      <w:pPr>
        <w:rPr>
          <w:rFonts w:ascii="Arial" w:hAnsi="Arial" w:cs="Arial"/>
        </w:rPr>
      </w:pPr>
    </w:p>
    <w:p w14:paraId="2D46319F" w14:textId="42776858" w:rsidR="00304FE8" w:rsidRPr="006A3BEE" w:rsidRDefault="00304FE8" w:rsidP="0022686D">
      <w:pPr>
        <w:pStyle w:val="NormalWeb"/>
        <w:spacing w:before="0" w:beforeAutospacing="0" w:after="200" w:afterAutospacing="0"/>
        <w:jc w:val="both"/>
        <w:rPr>
          <w:rFonts w:ascii="Arial" w:hAnsi="Arial" w:cs="Arial"/>
        </w:rPr>
      </w:pPr>
      <w:r w:rsidRPr="006C1AD0">
        <w:rPr>
          <w:rFonts w:ascii="Arial" w:hAnsi="Arial" w:cs="Arial"/>
          <w:b/>
          <w:bCs/>
          <w:sz w:val="22"/>
          <w:szCs w:val="22"/>
        </w:rPr>
        <w:t>Table S</w:t>
      </w:r>
      <w:r w:rsidR="000353B1" w:rsidRPr="006C1AD0">
        <w:rPr>
          <w:rFonts w:ascii="Arial" w:hAnsi="Arial" w:cs="Arial"/>
          <w:b/>
          <w:bCs/>
          <w:sz w:val="22"/>
          <w:szCs w:val="22"/>
        </w:rPr>
        <w:t>6</w:t>
      </w:r>
      <w:r w:rsidRPr="0022686D">
        <w:rPr>
          <w:rFonts w:ascii="Arial" w:hAnsi="Arial" w:cs="Arial"/>
          <w:sz w:val="22"/>
          <w:szCs w:val="22"/>
        </w:rPr>
        <w:t>.</w:t>
      </w:r>
      <w:r w:rsidRPr="006A3BEE">
        <w:rPr>
          <w:rFonts w:ascii="Arial" w:hAnsi="Arial" w:cs="Arial"/>
        </w:rPr>
        <w:t xml:space="preserve"> </w:t>
      </w:r>
      <w:r w:rsidR="00CC59C9" w:rsidRPr="006A3BEE">
        <w:rPr>
          <w:rFonts w:ascii="Arial" w:hAnsi="Arial" w:cs="Arial"/>
          <w:color w:val="000000"/>
          <w:sz w:val="22"/>
          <w:szCs w:val="22"/>
        </w:rPr>
        <w:t>Comparing the dementia and AD cohort using Medicare CCW database versus Medicare inpatient claims (2000-2016)</w:t>
      </w:r>
    </w:p>
    <w:p w14:paraId="3D4277D7" w14:textId="77777777" w:rsidR="00304FE8" w:rsidRPr="006A3BEE" w:rsidRDefault="00304FE8" w:rsidP="0076223E">
      <w:pPr>
        <w:rPr>
          <w:rFonts w:ascii="Arial" w:hAnsi="Arial" w:cs="Arial"/>
        </w:rPr>
      </w:pPr>
    </w:p>
    <w:tbl>
      <w:tblPr>
        <w:tblW w:w="674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527"/>
        <w:gridCol w:w="2058"/>
        <w:gridCol w:w="2160"/>
      </w:tblGrid>
      <w:tr w:rsidR="00304FE8" w:rsidRPr="006A3BEE" w14:paraId="023C71C0" w14:textId="77777777" w:rsidTr="00702547">
        <w:trPr>
          <w:jc w:val="center"/>
        </w:trPr>
        <w:tc>
          <w:tcPr>
            <w:tcW w:w="2527" w:type="dxa"/>
          </w:tcPr>
          <w:p w14:paraId="552FCC53" w14:textId="77777777" w:rsidR="00304FE8" w:rsidRPr="006A3BEE" w:rsidRDefault="00304FE8" w:rsidP="00702547">
            <w:pPr>
              <w:rPr>
                <w:rFonts w:ascii="Arial" w:hAnsi="Arial" w:cs="Arial"/>
                <w:color w:val="222222"/>
                <w:sz w:val="22"/>
                <w:szCs w:val="22"/>
                <w:highlight w:val="white"/>
              </w:rPr>
            </w:pPr>
          </w:p>
        </w:tc>
        <w:tc>
          <w:tcPr>
            <w:tcW w:w="2058" w:type="dxa"/>
          </w:tcPr>
          <w:p w14:paraId="25BE6F49" w14:textId="77777777" w:rsidR="00304FE8" w:rsidRPr="006A3BEE" w:rsidRDefault="00304FE8" w:rsidP="00304FE8">
            <w:pPr>
              <w:jc w:val="right"/>
              <w:rPr>
                <w:rFonts w:ascii="Arial" w:hAnsi="Arial" w:cs="Arial"/>
                <w:b/>
                <w:bCs/>
                <w:color w:val="222222"/>
                <w:sz w:val="22"/>
                <w:szCs w:val="22"/>
                <w:highlight w:val="white"/>
              </w:rPr>
            </w:pPr>
            <w:r w:rsidRPr="006A3BEE">
              <w:rPr>
                <w:rFonts w:ascii="Arial" w:hAnsi="Arial" w:cs="Arial"/>
                <w:b/>
                <w:bCs/>
                <w:color w:val="222222"/>
                <w:sz w:val="22"/>
                <w:szCs w:val="22"/>
                <w:highlight w:val="white"/>
              </w:rPr>
              <w:t>AD</w:t>
            </w:r>
          </w:p>
        </w:tc>
        <w:tc>
          <w:tcPr>
            <w:tcW w:w="2160" w:type="dxa"/>
          </w:tcPr>
          <w:p w14:paraId="15C002E9" w14:textId="77777777" w:rsidR="00304FE8" w:rsidRPr="006A3BEE" w:rsidRDefault="00304FE8" w:rsidP="00304FE8">
            <w:pPr>
              <w:jc w:val="right"/>
              <w:rPr>
                <w:rFonts w:ascii="Arial" w:hAnsi="Arial" w:cs="Arial"/>
                <w:b/>
                <w:bCs/>
                <w:color w:val="222222"/>
                <w:sz w:val="22"/>
                <w:szCs w:val="22"/>
                <w:highlight w:val="white"/>
              </w:rPr>
            </w:pPr>
            <w:r w:rsidRPr="006A3BEE">
              <w:rPr>
                <w:rFonts w:ascii="Arial" w:hAnsi="Arial" w:cs="Arial"/>
                <w:b/>
                <w:bCs/>
                <w:color w:val="222222"/>
                <w:sz w:val="22"/>
                <w:szCs w:val="22"/>
                <w:highlight w:val="white"/>
              </w:rPr>
              <w:t>Dementia</w:t>
            </w:r>
          </w:p>
        </w:tc>
      </w:tr>
      <w:tr w:rsidR="00304FE8" w:rsidRPr="006A3BEE" w14:paraId="507716D2" w14:textId="77777777" w:rsidTr="00702547">
        <w:trPr>
          <w:jc w:val="center"/>
        </w:trPr>
        <w:tc>
          <w:tcPr>
            <w:tcW w:w="6745" w:type="dxa"/>
            <w:gridSpan w:val="3"/>
          </w:tcPr>
          <w:p w14:paraId="63E482B4" w14:textId="6BE39612" w:rsidR="00304FE8" w:rsidRPr="006A3BEE" w:rsidRDefault="00304FE8" w:rsidP="00702547">
            <w:pPr>
              <w:rPr>
                <w:rFonts w:ascii="Arial" w:hAnsi="Arial" w:cs="Arial"/>
                <w:color w:val="222222"/>
                <w:sz w:val="22"/>
                <w:szCs w:val="22"/>
                <w:highlight w:val="white"/>
              </w:rPr>
            </w:pPr>
            <w:r w:rsidRPr="006A3BEE">
              <w:rPr>
                <w:rFonts w:ascii="Arial" w:hAnsi="Arial" w:cs="Arial"/>
                <w:color w:val="222222"/>
                <w:sz w:val="22"/>
                <w:szCs w:val="22"/>
                <w:highlight w:val="white"/>
              </w:rPr>
              <w:t>Current study using Medicare CCW database (2000-2016)</w:t>
            </w:r>
          </w:p>
        </w:tc>
      </w:tr>
      <w:tr w:rsidR="00304FE8" w:rsidRPr="006A3BEE" w14:paraId="49A8B659" w14:textId="77777777" w:rsidTr="00702547">
        <w:trPr>
          <w:jc w:val="center"/>
        </w:trPr>
        <w:tc>
          <w:tcPr>
            <w:tcW w:w="2527" w:type="dxa"/>
          </w:tcPr>
          <w:p w14:paraId="03B3688F" w14:textId="2A05CF76" w:rsidR="00304FE8" w:rsidRPr="006A3BEE" w:rsidRDefault="00304FE8" w:rsidP="00702547">
            <w:pPr>
              <w:rPr>
                <w:rFonts w:ascii="Arial" w:hAnsi="Arial" w:cs="Arial"/>
                <w:color w:val="222222"/>
                <w:sz w:val="22"/>
                <w:szCs w:val="22"/>
                <w:highlight w:val="white"/>
              </w:rPr>
            </w:pPr>
            <w:r w:rsidRPr="006A3BEE">
              <w:rPr>
                <w:rFonts w:ascii="Arial" w:hAnsi="Arial" w:cs="Arial"/>
                <w:color w:val="222222"/>
                <w:sz w:val="22"/>
                <w:szCs w:val="22"/>
                <w:highlight w:val="white"/>
              </w:rPr>
              <w:t xml:space="preserve">  Number of </w:t>
            </w:r>
            <w:r w:rsidR="00526C5F">
              <w:rPr>
                <w:rFonts w:ascii="Arial" w:hAnsi="Arial" w:cs="Arial"/>
                <w:color w:val="222222"/>
                <w:sz w:val="22"/>
                <w:szCs w:val="22"/>
                <w:highlight w:val="white"/>
              </w:rPr>
              <w:t>claims</w:t>
            </w:r>
          </w:p>
        </w:tc>
        <w:tc>
          <w:tcPr>
            <w:tcW w:w="2058" w:type="dxa"/>
          </w:tcPr>
          <w:p w14:paraId="14BEE981" w14:textId="15692306" w:rsidR="00304FE8" w:rsidRPr="006A3BEE" w:rsidRDefault="00AD5668" w:rsidP="00702547">
            <w:pPr>
              <w:jc w:val="right"/>
              <w:rPr>
                <w:rFonts w:ascii="Arial" w:hAnsi="Arial" w:cs="Arial"/>
                <w:color w:val="000000"/>
                <w:sz w:val="22"/>
                <w:szCs w:val="22"/>
              </w:rPr>
            </w:pPr>
            <w:r w:rsidRPr="006A3BEE">
              <w:rPr>
                <w:rFonts w:ascii="Arial" w:hAnsi="Arial" w:cs="Arial"/>
                <w:color w:val="000000"/>
                <w:sz w:val="22"/>
                <w:szCs w:val="22"/>
              </w:rPr>
              <w:t>5,646,187</w:t>
            </w:r>
          </w:p>
        </w:tc>
        <w:tc>
          <w:tcPr>
            <w:tcW w:w="2160" w:type="dxa"/>
          </w:tcPr>
          <w:p w14:paraId="7B10AC23" w14:textId="549427A0" w:rsidR="00304FE8" w:rsidRPr="006A3BEE" w:rsidRDefault="00905664" w:rsidP="00702547">
            <w:pPr>
              <w:jc w:val="right"/>
              <w:rPr>
                <w:rFonts w:ascii="Arial" w:hAnsi="Arial" w:cs="Arial"/>
                <w:color w:val="000000"/>
                <w:sz w:val="22"/>
                <w:szCs w:val="22"/>
              </w:rPr>
            </w:pPr>
            <w:r w:rsidRPr="006A3BEE">
              <w:rPr>
                <w:rFonts w:ascii="Arial" w:hAnsi="Arial" w:cs="Arial"/>
                <w:color w:val="000000"/>
                <w:sz w:val="22"/>
                <w:szCs w:val="22"/>
              </w:rPr>
              <w:t>11,121,272</w:t>
            </w:r>
          </w:p>
        </w:tc>
      </w:tr>
      <w:tr w:rsidR="00304FE8" w:rsidRPr="006A3BEE" w14:paraId="736EC473" w14:textId="77777777" w:rsidTr="00702547">
        <w:trPr>
          <w:jc w:val="center"/>
        </w:trPr>
        <w:tc>
          <w:tcPr>
            <w:tcW w:w="2527" w:type="dxa"/>
          </w:tcPr>
          <w:p w14:paraId="68684314" w14:textId="77777777" w:rsidR="00304FE8" w:rsidRPr="006A3BEE" w:rsidRDefault="00304FE8" w:rsidP="00702547">
            <w:pPr>
              <w:rPr>
                <w:rFonts w:ascii="Arial" w:hAnsi="Arial" w:cs="Arial"/>
                <w:color w:val="222222"/>
                <w:sz w:val="22"/>
                <w:szCs w:val="22"/>
                <w:highlight w:val="white"/>
              </w:rPr>
            </w:pPr>
            <w:r w:rsidRPr="006A3BEE">
              <w:rPr>
                <w:rFonts w:ascii="Arial" w:hAnsi="Arial" w:cs="Arial"/>
                <w:color w:val="222222"/>
                <w:sz w:val="22"/>
                <w:szCs w:val="22"/>
                <w:highlight w:val="white"/>
              </w:rPr>
              <w:t xml:space="preserve">  Total person-years</w:t>
            </w:r>
          </w:p>
        </w:tc>
        <w:tc>
          <w:tcPr>
            <w:tcW w:w="2058" w:type="dxa"/>
          </w:tcPr>
          <w:p w14:paraId="02E252CD" w14:textId="56520467" w:rsidR="00304FE8" w:rsidRPr="006A3BEE" w:rsidRDefault="008D131F" w:rsidP="008D131F">
            <w:pPr>
              <w:jc w:val="right"/>
              <w:rPr>
                <w:rFonts w:ascii="Arial" w:hAnsi="Arial" w:cs="Arial"/>
                <w:color w:val="000000"/>
                <w:sz w:val="22"/>
                <w:szCs w:val="22"/>
              </w:rPr>
            </w:pPr>
            <w:r w:rsidRPr="006A3BEE">
              <w:rPr>
                <w:rFonts w:ascii="Arial" w:hAnsi="Arial" w:cs="Arial"/>
                <w:color w:val="000000"/>
                <w:sz w:val="22"/>
                <w:szCs w:val="22"/>
              </w:rPr>
              <w:t>403,149,214</w:t>
            </w:r>
          </w:p>
        </w:tc>
        <w:tc>
          <w:tcPr>
            <w:tcW w:w="2160" w:type="dxa"/>
          </w:tcPr>
          <w:p w14:paraId="3F8F319A" w14:textId="2386309E" w:rsidR="00304FE8" w:rsidRPr="006A3BEE" w:rsidRDefault="005C6755" w:rsidP="005C6755">
            <w:pPr>
              <w:shd w:val="clear" w:color="auto" w:fill="FFFFFF"/>
              <w:spacing w:before="100" w:beforeAutospacing="1" w:after="100" w:afterAutospacing="1"/>
              <w:ind w:left="720"/>
              <w:rPr>
                <w:rFonts w:ascii="Arial" w:hAnsi="Arial" w:cs="Arial"/>
                <w:color w:val="000000"/>
                <w:sz w:val="22"/>
                <w:szCs w:val="22"/>
              </w:rPr>
            </w:pPr>
            <w:r w:rsidRPr="006A3BEE">
              <w:rPr>
                <w:rFonts w:ascii="Arial" w:hAnsi="Arial" w:cs="Arial"/>
                <w:color w:val="000000"/>
                <w:sz w:val="22"/>
                <w:szCs w:val="22"/>
              </w:rPr>
              <w:t>379,921,997</w:t>
            </w:r>
          </w:p>
        </w:tc>
      </w:tr>
      <w:tr w:rsidR="00304FE8" w:rsidRPr="006A3BEE" w14:paraId="28A2144D" w14:textId="77777777" w:rsidTr="00702547">
        <w:trPr>
          <w:jc w:val="center"/>
        </w:trPr>
        <w:tc>
          <w:tcPr>
            <w:tcW w:w="6745" w:type="dxa"/>
            <w:gridSpan w:val="3"/>
          </w:tcPr>
          <w:p w14:paraId="60DA0FEE" w14:textId="3B16D72C" w:rsidR="00304FE8" w:rsidRPr="006A3BEE" w:rsidRDefault="00304FE8" w:rsidP="00304FE8">
            <w:pPr>
              <w:rPr>
                <w:rFonts w:ascii="Arial" w:hAnsi="Arial" w:cs="Arial"/>
                <w:color w:val="222222"/>
                <w:sz w:val="22"/>
                <w:szCs w:val="22"/>
                <w:highlight w:val="white"/>
              </w:rPr>
            </w:pPr>
            <w:r w:rsidRPr="006A3BEE">
              <w:rPr>
                <w:rFonts w:ascii="Arial" w:hAnsi="Arial" w:cs="Arial"/>
                <w:color w:val="222222"/>
                <w:sz w:val="22"/>
                <w:szCs w:val="22"/>
                <w:highlight w:val="white"/>
              </w:rPr>
              <w:t>Previous study using Medicare inpatient claims</w:t>
            </w:r>
            <w:r w:rsidR="00B22CF4">
              <w:rPr>
                <w:rFonts w:ascii="Arial" w:hAnsi="Arial" w:cs="Arial"/>
                <w:color w:val="222222"/>
                <w:sz w:val="22"/>
                <w:szCs w:val="22"/>
                <w:highlight w:val="white"/>
              </w:rPr>
              <w:fldChar w:fldCharType="begin"/>
            </w:r>
            <w:r w:rsidR="00B22CF4">
              <w:rPr>
                <w:rFonts w:ascii="Arial" w:hAnsi="Arial" w:cs="Arial"/>
                <w:color w:val="222222"/>
                <w:sz w:val="22"/>
                <w:szCs w:val="22"/>
                <w:highlight w:val="white"/>
              </w:rPr>
              <w:instrText xml:space="preserve"> ADDIN EN.CITE &lt;EndNote&gt;&lt;Cite&gt;&lt;Author&gt;Shi&lt;/Author&gt;&lt;Year&gt;2020&lt;/Year&gt;&lt;RecNum&gt;86&lt;/RecNum&gt;&lt;DisplayText&gt;&lt;style face="superscript"&gt;5&lt;/style&gt;&lt;/DisplayText&gt;&lt;record&gt;&lt;rec-number&gt;86&lt;/rec-number&gt;&lt;foreign-keys&gt;&lt;key app="EN" db-id="5rr2vvdxv9p2v7ex9arxxevxastztad0efad" timestamp="1620129921"&gt;86&lt;/key&gt;&lt;/foreign-keys&gt;&lt;ref-type name="Journal Article"&gt;17&lt;/ref-type&gt;&lt;contributors&gt;&lt;authors&gt;&lt;author&gt;Shi, Liuhua&lt;/author&gt;&lt;author&gt;Wu, Xiao&lt;/author&gt;&lt;author&gt;Yazdi, Mahdieh Danesh&lt;/author&gt;&lt;author&gt;Braun, Danielle&lt;/author&gt;&lt;author&gt;Awad, Yara Abu&lt;/author&gt;&lt;author&gt;Wei, Yaguang&lt;/author&gt;&lt;author&gt;Liu, Pengfei&lt;/author&gt;&lt;author&gt;Di, Qian&lt;/author&gt;&lt;author&gt;Wang, Yun&lt;/author&gt;&lt;author&gt;Schwartz, Joel&lt;/author&gt;&lt;/authors&gt;&lt;/contributors&gt;&lt;titles&gt;&lt;title&gt;Long-term effects of PM2· 5 on neurological disorders in the American Medicare population: a longitudinal cohort study&lt;/title&gt;&lt;secondary-title&gt;The Lancet Planetary Health&lt;/secondary-title&gt;&lt;/titles&gt;&lt;periodical&gt;&lt;full-title&gt;The Lancet Planetary Health&lt;/full-title&gt;&lt;/periodical&gt;&lt;pages&gt;e557-e565&lt;/pages&gt;&lt;volume&gt;4&lt;/volume&gt;&lt;number&gt;12&lt;/number&gt;&lt;dates&gt;&lt;year&gt;2020&lt;/year&gt;&lt;/dates&gt;&lt;isbn&gt;2542-5196&lt;/isbn&gt;&lt;urls&gt;&lt;/urls&gt;&lt;/record&gt;&lt;/Cite&gt;&lt;/EndNote&gt;</w:instrText>
            </w:r>
            <w:r w:rsidR="00B22CF4">
              <w:rPr>
                <w:rFonts w:ascii="Arial" w:hAnsi="Arial" w:cs="Arial"/>
                <w:color w:val="222222"/>
                <w:sz w:val="22"/>
                <w:szCs w:val="22"/>
                <w:highlight w:val="white"/>
              </w:rPr>
              <w:fldChar w:fldCharType="separate"/>
            </w:r>
            <w:r w:rsidR="00B22CF4" w:rsidRPr="00B22CF4">
              <w:rPr>
                <w:rFonts w:ascii="Arial" w:hAnsi="Arial" w:cs="Arial"/>
                <w:noProof/>
                <w:color w:val="222222"/>
                <w:sz w:val="22"/>
                <w:szCs w:val="22"/>
                <w:highlight w:val="white"/>
                <w:vertAlign w:val="superscript"/>
              </w:rPr>
              <w:t>5</w:t>
            </w:r>
            <w:r w:rsidR="00B22CF4">
              <w:rPr>
                <w:rFonts w:ascii="Arial" w:hAnsi="Arial" w:cs="Arial"/>
                <w:color w:val="222222"/>
                <w:sz w:val="22"/>
                <w:szCs w:val="22"/>
                <w:highlight w:val="white"/>
              </w:rPr>
              <w:fldChar w:fldCharType="end"/>
            </w:r>
            <w:r w:rsidRPr="006A3BEE">
              <w:rPr>
                <w:rFonts w:ascii="Arial" w:hAnsi="Arial" w:cs="Arial"/>
                <w:color w:val="222222"/>
                <w:sz w:val="22"/>
                <w:szCs w:val="22"/>
                <w:highlight w:val="white"/>
              </w:rPr>
              <w:t xml:space="preserve"> (2000-2016)</w:t>
            </w:r>
          </w:p>
        </w:tc>
      </w:tr>
      <w:tr w:rsidR="003A1F10" w:rsidRPr="006A3BEE" w14:paraId="0368ECE2" w14:textId="77777777" w:rsidTr="00702547">
        <w:trPr>
          <w:jc w:val="center"/>
        </w:trPr>
        <w:tc>
          <w:tcPr>
            <w:tcW w:w="2527" w:type="dxa"/>
          </w:tcPr>
          <w:p w14:paraId="6934F646" w14:textId="7D40CC45" w:rsidR="003A1F10" w:rsidRPr="006A3BEE" w:rsidRDefault="003A1F10" w:rsidP="003A1F10">
            <w:pPr>
              <w:rPr>
                <w:rFonts w:ascii="Arial" w:hAnsi="Arial" w:cs="Arial"/>
                <w:color w:val="222222"/>
                <w:sz w:val="22"/>
                <w:szCs w:val="22"/>
                <w:highlight w:val="white"/>
              </w:rPr>
            </w:pPr>
            <w:r w:rsidRPr="006A3BEE">
              <w:rPr>
                <w:rFonts w:ascii="Arial" w:hAnsi="Arial" w:cs="Arial"/>
                <w:color w:val="222222"/>
                <w:sz w:val="22"/>
                <w:szCs w:val="22"/>
                <w:highlight w:val="white"/>
              </w:rPr>
              <w:t xml:space="preserve">  Number of admissions</w:t>
            </w:r>
          </w:p>
        </w:tc>
        <w:tc>
          <w:tcPr>
            <w:tcW w:w="2058" w:type="dxa"/>
          </w:tcPr>
          <w:p w14:paraId="2FD8D38B" w14:textId="60E09A25" w:rsidR="003A1F10" w:rsidRPr="006A3BEE" w:rsidRDefault="003A1F10" w:rsidP="003A1F10">
            <w:pPr>
              <w:jc w:val="right"/>
              <w:rPr>
                <w:rFonts w:ascii="Arial" w:hAnsi="Arial" w:cs="Arial"/>
                <w:color w:val="222222"/>
                <w:sz w:val="22"/>
                <w:szCs w:val="22"/>
                <w:highlight w:val="white"/>
              </w:rPr>
            </w:pPr>
            <w:r w:rsidRPr="006A3BEE">
              <w:rPr>
                <w:rFonts w:ascii="Arial" w:hAnsi="Arial" w:cs="Arial"/>
                <w:color w:val="000000"/>
                <w:sz w:val="22"/>
                <w:szCs w:val="22"/>
              </w:rPr>
              <w:t>2,490,431</w:t>
            </w:r>
          </w:p>
        </w:tc>
        <w:tc>
          <w:tcPr>
            <w:tcW w:w="2160" w:type="dxa"/>
          </w:tcPr>
          <w:p w14:paraId="2C38357E" w14:textId="23867328" w:rsidR="003A1F10" w:rsidRPr="006A3BEE" w:rsidRDefault="003A1F10" w:rsidP="003A1F10">
            <w:pPr>
              <w:jc w:val="right"/>
              <w:rPr>
                <w:rFonts w:ascii="Arial" w:hAnsi="Arial" w:cs="Arial"/>
                <w:color w:val="222222"/>
                <w:sz w:val="22"/>
                <w:szCs w:val="22"/>
                <w:highlight w:val="white"/>
              </w:rPr>
            </w:pPr>
            <w:r w:rsidRPr="006A3BEE">
              <w:rPr>
                <w:rFonts w:ascii="Arial" w:hAnsi="Arial" w:cs="Arial"/>
                <w:color w:val="000000"/>
                <w:sz w:val="22"/>
                <w:szCs w:val="22"/>
              </w:rPr>
              <w:t>1,233,132</w:t>
            </w:r>
          </w:p>
        </w:tc>
      </w:tr>
      <w:tr w:rsidR="003A1F10" w:rsidRPr="006A3BEE" w14:paraId="45AA579B" w14:textId="77777777" w:rsidTr="00702547">
        <w:trPr>
          <w:jc w:val="center"/>
        </w:trPr>
        <w:tc>
          <w:tcPr>
            <w:tcW w:w="2527" w:type="dxa"/>
          </w:tcPr>
          <w:p w14:paraId="6EC656CD" w14:textId="39E96EC6" w:rsidR="003A1F10" w:rsidRPr="006A3BEE" w:rsidRDefault="003A1F10" w:rsidP="003A1F10">
            <w:pPr>
              <w:rPr>
                <w:rFonts w:ascii="Arial" w:hAnsi="Arial" w:cs="Arial"/>
                <w:color w:val="222222"/>
                <w:sz w:val="22"/>
                <w:szCs w:val="22"/>
                <w:highlight w:val="white"/>
              </w:rPr>
            </w:pPr>
            <w:r w:rsidRPr="006A3BEE">
              <w:rPr>
                <w:rFonts w:ascii="Arial" w:hAnsi="Arial" w:cs="Arial"/>
                <w:color w:val="222222"/>
                <w:sz w:val="22"/>
                <w:szCs w:val="22"/>
                <w:highlight w:val="white"/>
              </w:rPr>
              <w:t xml:space="preserve">  Total person-years</w:t>
            </w:r>
          </w:p>
        </w:tc>
        <w:tc>
          <w:tcPr>
            <w:tcW w:w="2058" w:type="dxa"/>
          </w:tcPr>
          <w:p w14:paraId="49FCDC86" w14:textId="77FC922E" w:rsidR="003A1F10" w:rsidRPr="006A3BEE" w:rsidRDefault="003A1F10" w:rsidP="003A1F10">
            <w:pPr>
              <w:jc w:val="right"/>
              <w:rPr>
                <w:rFonts w:ascii="Arial" w:hAnsi="Arial" w:cs="Arial"/>
                <w:color w:val="222222"/>
                <w:sz w:val="22"/>
                <w:szCs w:val="22"/>
                <w:highlight w:val="white"/>
              </w:rPr>
            </w:pPr>
            <w:r w:rsidRPr="006A3BEE">
              <w:rPr>
                <w:rFonts w:ascii="Arial" w:hAnsi="Arial" w:cs="Arial"/>
                <w:color w:val="000000"/>
                <w:sz w:val="22"/>
                <w:szCs w:val="22"/>
              </w:rPr>
              <w:t>475,820,277</w:t>
            </w:r>
          </w:p>
        </w:tc>
        <w:tc>
          <w:tcPr>
            <w:tcW w:w="2160" w:type="dxa"/>
          </w:tcPr>
          <w:p w14:paraId="04A4E9CF" w14:textId="2F80E7F2" w:rsidR="003A1F10" w:rsidRPr="006A3BEE" w:rsidRDefault="003A1F10" w:rsidP="003A1F10">
            <w:pPr>
              <w:jc w:val="right"/>
              <w:rPr>
                <w:rFonts w:ascii="Arial" w:hAnsi="Arial" w:cs="Arial"/>
                <w:color w:val="222222"/>
                <w:sz w:val="22"/>
                <w:szCs w:val="22"/>
                <w:highlight w:val="white"/>
              </w:rPr>
            </w:pPr>
            <w:r w:rsidRPr="006A3BEE">
              <w:rPr>
                <w:rFonts w:ascii="Arial" w:hAnsi="Arial" w:cs="Arial"/>
                <w:color w:val="000000"/>
                <w:sz w:val="22"/>
                <w:szCs w:val="22"/>
              </w:rPr>
              <w:t>478,636,053</w:t>
            </w:r>
          </w:p>
        </w:tc>
      </w:tr>
    </w:tbl>
    <w:p w14:paraId="22EF662F" w14:textId="56894EF4" w:rsidR="00304FE8" w:rsidRPr="006A3BEE" w:rsidRDefault="00304FE8" w:rsidP="0076223E">
      <w:pPr>
        <w:rPr>
          <w:rFonts w:ascii="Arial" w:hAnsi="Arial" w:cs="Arial"/>
        </w:rPr>
      </w:pPr>
    </w:p>
    <w:p w14:paraId="638DAA36" w14:textId="77777777" w:rsidR="00795237" w:rsidRPr="006A3BEE" w:rsidRDefault="00795237" w:rsidP="0076223E">
      <w:pPr>
        <w:rPr>
          <w:rFonts w:ascii="Arial" w:hAnsi="Arial" w:cs="Arial"/>
        </w:rPr>
      </w:pPr>
    </w:p>
    <w:p w14:paraId="1D5BD137" w14:textId="5AB0160B" w:rsidR="00313F1F" w:rsidRDefault="00313F1F">
      <w:pPr>
        <w:rPr>
          <w:rFonts w:ascii="Arial" w:hAnsi="Arial" w:cs="Arial"/>
          <w:sz w:val="20"/>
          <w:szCs w:val="20"/>
        </w:rPr>
      </w:pPr>
      <w:r>
        <w:rPr>
          <w:rFonts w:ascii="Arial" w:hAnsi="Arial" w:cs="Arial"/>
          <w:sz w:val="20"/>
          <w:szCs w:val="20"/>
        </w:rPr>
        <w:br w:type="page"/>
      </w:r>
    </w:p>
    <w:p w14:paraId="6A9B920A" w14:textId="77777777" w:rsidR="003723E8" w:rsidRDefault="003723E8">
      <w:pPr>
        <w:rPr>
          <w:rFonts w:ascii="Arial" w:hAnsi="Arial" w:cs="Arial"/>
          <w:sz w:val="20"/>
          <w:szCs w:val="20"/>
        </w:rPr>
      </w:pPr>
    </w:p>
    <w:p w14:paraId="10BF6500" w14:textId="6B8581D7" w:rsidR="003723E8" w:rsidRDefault="00E647A2" w:rsidP="00D30970">
      <w:pPr>
        <w:jc w:val="center"/>
        <w:rPr>
          <w:rFonts w:ascii="Arial" w:hAnsi="Arial" w:cs="Arial"/>
          <w:sz w:val="20"/>
          <w:szCs w:val="20"/>
        </w:rPr>
      </w:pPr>
      <w:r>
        <w:rPr>
          <w:noProof/>
        </w:rPr>
        <w:drawing>
          <wp:inline distT="0" distB="0" distL="0" distR="0" wp14:anchorId="7BD2F5C2" wp14:editId="6BDAA010">
            <wp:extent cx="3486878" cy="3479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4572" cy="3487479"/>
                    </a:xfrm>
                    <a:prstGeom prst="rect">
                      <a:avLst/>
                    </a:prstGeom>
                  </pic:spPr>
                </pic:pic>
              </a:graphicData>
            </a:graphic>
          </wp:inline>
        </w:drawing>
      </w:r>
    </w:p>
    <w:p w14:paraId="1E98BFD7" w14:textId="77777777" w:rsidR="003723E8" w:rsidRDefault="003723E8">
      <w:pPr>
        <w:rPr>
          <w:rFonts w:ascii="Arial" w:hAnsi="Arial" w:cs="Arial"/>
          <w:sz w:val="20"/>
          <w:szCs w:val="20"/>
        </w:rPr>
      </w:pPr>
    </w:p>
    <w:p w14:paraId="10D15362" w14:textId="5C93477F" w:rsidR="003723E8" w:rsidRPr="006E0A50" w:rsidRDefault="003723E8" w:rsidP="003723E8">
      <w:pPr>
        <w:spacing w:after="200" w:line="360" w:lineRule="auto"/>
        <w:rPr>
          <w:rFonts w:ascii="Arial" w:hAnsi="Arial" w:cs="Arial"/>
          <w:b/>
          <w:color w:val="222222"/>
          <w:sz w:val="20"/>
          <w:szCs w:val="20"/>
          <w:highlight w:val="white"/>
        </w:rPr>
      </w:pPr>
      <w:r w:rsidRPr="006E0A50">
        <w:rPr>
          <w:rFonts w:ascii="Arial" w:hAnsi="Arial" w:cs="Arial"/>
          <w:b/>
          <w:color w:val="0E101A"/>
          <w:sz w:val="20"/>
          <w:szCs w:val="20"/>
        </w:rPr>
        <w:t>Fig</w:t>
      </w:r>
      <w:r w:rsidR="0042262B" w:rsidRPr="006E0A50">
        <w:rPr>
          <w:rFonts w:ascii="Arial" w:hAnsi="Arial" w:cs="Arial"/>
          <w:b/>
          <w:color w:val="0E101A"/>
          <w:sz w:val="20"/>
          <w:szCs w:val="20"/>
        </w:rPr>
        <w:t>ure S1.</w:t>
      </w:r>
      <w:r w:rsidRPr="006E0A50">
        <w:rPr>
          <w:rFonts w:ascii="Arial" w:hAnsi="Arial" w:cs="Arial"/>
          <w:color w:val="0E101A"/>
          <w:sz w:val="20"/>
          <w:szCs w:val="20"/>
        </w:rPr>
        <w:t xml:space="preserve"> </w:t>
      </w:r>
      <w:r w:rsidRPr="006E0A50">
        <w:rPr>
          <w:rFonts w:ascii="Arial" w:hAnsi="Arial" w:cs="Arial"/>
          <w:b/>
          <w:color w:val="0E101A"/>
          <w:sz w:val="20"/>
          <w:szCs w:val="20"/>
        </w:rPr>
        <w:t xml:space="preserve">Effect modifications </w:t>
      </w:r>
      <w:r w:rsidRPr="006E0A50">
        <w:rPr>
          <w:rFonts w:ascii="Arial" w:hAnsi="Arial" w:cs="Arial"/>
          <w:b/>
          <w:color w:val="222222"/>
          <w:sz w:val="20"/>
          <w:szCs w:val="20"/>
          <w:highlight w:val="white"/>
        </w:rPr>
        <w:t xml:space="preserve">by sex, race, Medicaid eligibility, age, and population density. </w:t>
      </w:r>
      <w:r w:rsidRPr="006E0A50">
        <w:rPr>
          <w:rFonts w:ascii="Arial" w:hAnsi="Arial" w:cs="Arial"/>
          <w:color w:val="222222"/>
          <w:sz w:val="20"/>
          <w:szCs w:val="20"/>
          <w:highlight w:val="white"/>
        </w:rPr>
        <w:t xml:space="preserve">Results represent the hazard ratios of dementia or </w:t>
      </w:r>
      <w:r w:rsidRPr="006E0A50">
        <w:rPr>
          <w:rFonts w:ascii="Arial" w:hAnsi="Arial" w:cs="Arial"/>
          <w:color w:val="0E101A"/>
          <w:sz w:val="20"/>
          <w:szCs w:val="20"/>
        </w:rPr>
        <w:t xml:space="preserve">Alzheimer’s disease (AD), </w:t>
      </w:r>
      <w:r w:rsidRPr="006E0A50">
        <w:rPr>
          <w:rFonts w:ascii="Arial" w:hAnsi="Arial" w:cs="Arial"/>
          <w:color w:val="222222"/>
          <w:sz w:val="20"/>
          <w:szCs w:val="20"/>
          <w:highlight w:val="white"/>
        </w:rPr>
        <w:t xml:space="preserve">from the tri-pollutant models, </w:t>
      </w:r>
      <w:r w:rsidRPr="006E0A50">
        <w:rPr>
          <w:rFonts w:ascii="Arial" w:hAnsi="Arial" w:cs="Arial"/>
          <w:color w:val="0E101A"/>
          <w:sz w:val="20"/>
          <w:szCs w:val="20"/>
        </w:rPr>
        <w:t xml:space="preserve">per IQR increase in </w:t>
      </w:r>
      <w:r w:rsidRPr="006E0A50">
        <w:rPr>
          <w:rFonts w:ascii="Arial" w:hAnsi="Arial" w:cs="Arial"/>
          <w:color w:val="222222"/>
          <w:sz w:val="20"/>
          <w:szCs w:val="20"/>
          <w:highlight w:val="white"/>
        </w:rPr>
        <w:t>5-year average warm-season ozone.</w:t>
      </w:r>
      <w:r w:rsidRPr="006E0A50">
        <w:rPr>
          <w:rFonts w:ascii="Arial" w:hAnsi="Arial" w:cs="Arial"/>
          <w:b/>
          <w:color w:val="222222"/>
          <w:sz w:val="20"/>
          <w:szCs w:val="20"/>
          <w:highlight w:val="white"/>
        </w:rPr>
        <w:t xml:space="preserve"> </w:t>
      </w:r>
      <w:r w:rsidRPr="006E0A50">
        <w:rPr>
          <w:rFonts w:ascii="Arial" w:hAnsi="Arial" w:cs="Arial"/>
          <w:color w:val="222222"/>
          <w:sz w:val="20"/>
          <w:szCs w:val="20"/>
          <w:highlight w:val="white"/>
        </w:rPr>
        <w:t xml:space="preserve">The blue dashed lines indicate the overall effect estimates for all groups. </w:t>
      </w:r>
      <w:r w:rsidRPr="006E0A50">
        <w:rPr>
          <w:rFonts w:ascii="Arial" w:hAnsi="Arial" w:cs="Arial"/>
          <w:color w:val="0E101A"/>
          <w:sz w:val="20"/>
          <w:szCs w:val="20"/>
        </w:rPr>
        <w:t>“Density Q1-Q4” denotes quartiles of population density, i.e., low population density, low-medium population density, medium-high population density, and high population density.</w:t>
      </w:r>
    </w:p>
    <w:p w14:paraId="304A8135" w14:textId="65046DC0" w:rsidR="00313F1F" w:rsidRDefault="00313F1F">
      <w:pPr>
        <w:rPr>
          <w:rFonts w:ascii="Arial" w:hAnsi="Arial" w:cs="Arial"/>
          <w:sz w:val="20"/>
          <w:szCs w:val="20"/>
        </w:rPr>
      </w:pPr>
      <w:r>
        <w:rPr>
          <w:rFonts w:ascii="Arial" w:hAnsi="Arial" w:cs="Arial"/>
          <w:sz w:val="20"/>
          <w:szCs w:val="20"/>
        </w:rPr>
        <w:br w:type="page"/>
      </w:r>
    </w:p>
    <w:p w14:paraId="3242F4FA" w14:textId="77777777" w:rsidR="00A93274" w:rsidRDefault="00A93274" w:rsidP="00A565A5">
      <w:pPr>
        <w:rPr>
          <w:rFonts w:ascii="Arial" w:hAnsi="Arial" w:cs="Arial"/>
          <w:sz w:val="20"/>
          <w:szCs w:val="20"/>
        </w:rPr>
      </w:pPr>
    </w:p>
    <w:p w14:paraId="34B39E4F" w14:textId="77777777" w:rsidR="00B31AC8" w:rsidRPr="00B31AC8" w:rsidRDefault="00A93274" w:rsidP="00B31AC8">
      <w:pPr>
        <w:pStyle w:val="EndNoteBibliographyTitle"/>
      </w:pPr>
      <w:r>
        <w:fldChar w:fldCharType="begin"/>
      </w:r>
      <w:r>
        <w:instrText xml:space="preserve"> ADDIN EN.REFLIST </w:instrText>
      </w:r>
      <w:r>
        <w:fldChar w:fldCharType="separate"/>
      </w:r>
      <w:r w:rsidR="00B31AC8" w:rsidRPr="00B31AC8">
        <w:t>References</w:t>
      </w:r>
    </w:p>
    <w:p w14:paraId="7AB00BC5" w14:textId="77777777" w:rsidR="00B31AC8" w:rsidRPr="00B31AC8" w:rsidRDefault="00B31AC8" w:rsidP="00B31AC8">
      <w:pPr>
        <w:pStyle w:val="EndNoteBibliographyTitle"/>
      </w:pPr>
    </w:p>
    <w:p w14:paraId="67679B3E" w14:textId="77777777" w:rsidR="00B31AC8" w:rsidRPr="00B31AC8" w:rsidRDefault="00B31AC8" w:rsidP="00B31AC8">
      <w:pPr>
        <w:pStyle w:val="EndNoteBibliography"/>
        <w:ind w:left="720" w:hanging="720"/>
      </w:pPr>
      <w:r w:rsidRPr="00B31AC8">
        <w:t>1</w:t>
      </w:r>
      <w:r w:rsidRPr="00B31AC8">
        <w:tab/>
        <w:t xml:space="preserve">Hutcheon, J. A., Chiolero, A. &amp; Hanley, J. A. Random measurement error and regression dilution bias. </w:t>
      </w:r>
      <w:r w:rsidRPr="00B31AC8">
        <w:rPr>
          <w:i/>
        </w:rPr>
        <w:t>Bmj</w:t>
      </w:r>
      <w:r w:rsidRPr="00B31AC8">
        <w:t xml:space="preserve"> </w:t>
      </w:r>
      <w:r w:rsidRPr="00B31AC8">
        <w:rPr>
          <w:b/>
        </w:rPr>
        <w:t>340</w:t>
      </w:r>
      <w:r w:rsidRPr="00B31AC8">
        <w:t xml:space="preserve"> (2010).</w:t>
      </w:r>
    </w:p>
    <w:p w14:paraId="106CC2DF" w14:textId="77777777" w:rsidR="00B31AC8" w:rsidRPr="00B31AC8" w:rsidRDefault="00B31AC8" w:rsidP="00B31AC8">
      <w:pPr>
        <w:pStyle w:val="EndNoteBibliography"/>
        <w:ind w:left="720" w:hanging="720"/>
      </w:pPr>
      <w:r w:rsidRPr="00B31AC8">
        <w:t>2</w:t>
      </w:r>
      <w:r w:rsidRPr="00B31AC8">
        <w:tab/>
        <w:t xml:space="preserve">Fox, M. P., Lash, T. L. &amp; Greenland, S. A method to automate probabilistic sensitivity analyses of misclassified binary variables. </w:t>
      </w:r>
      <w:r w:rsidRPr="00B31AC8">
        <w:rPr>
          <w:i/>
        </w:rPr>
        <w:t>International journal of epidemiology</w:t>
      </w:r>
      <w:r w:rsidRPr="00B31AC8">
        <w:t xml:space="preserve"> </w:t>
      </w:r>
      <w:r w:rsidRPr="00B31AC8">
        <w:rPr>
          <w:b/>
        </w:rPr>
        <w:t>34</w:t>
      </w:r>
      <w:r w:rsidRPr="00B31AC8">
        <w:t>, 1370-1376 (2005).</w:t>
      </w:r>
    </w:p>
    <w:p w14:paraId="0B5587D4" w14:textId="77777777" w:rsidR="00B31AC8" w:rsidRPr="00B31AC8" w:rsidRDefault="00B31AC8" w:rsidP="00B31AC8">
      <w:pPr>
        <w:pStyle w:val="EndNoteBibliography"/>
        <w:ind w:left="720" w:hanging="720"/>
      </w:pPr>
      <w:r w:rsidRPr="00B31AC8">
        <w:t>3</w:t>
      </w:r>
      <w:r w:rsidRPr="00B31AC8">
        <w:tab/>
        <w:t xml:space="preserve">Taylor Jr, D. H., Østbye, T., Langa, K. M., Weir, D. &amp; Plassman, B. L. The accuracy of Medicare claims as an epidemiological tool: the case of dementia revisited. </w:t>
      </w:r>
      <w:r w:rsidRPr="00B31AC8">
        <w:rPr>
          <w:i/>
        </w:rPr>
        <w:t>Journal of Alzheimer's Disease</w:t>
      </w:r>
      <w:r w:rsidRPr="00B31AC8">
        <w:t xml:space="preserve"> </w:t>
      </w:r>
      <w:r w:rsidRPr="00B31AC8">
        <w:rPr>
          <w:b/>
        </w:rPr>
        <w:t>17</w:t>
      </w:r>
      <w:r w:rsidRPr="00B31AC8">
        <w:t>, 807-815 (2009).</w:t>
      </w:r>
    </w:p>
    <w:p w14:paraId="5611DFA7" w14:textId="77777777" w:rsidR="00B31AC8" w:rsidRPr="00B31AC8" w:rsidRDefault="00B31AC8" w:rsidP="00B31AC8">
      <w:pPr>
        <w:pStyle w:val="EndNoteBibliography"/>
        <w:ind w:left="720" w:hanging="720"/>
      </w:pPr>
      <w:r w:rsidRPr="00B31AC8">
        <w:t>4</w:t>
      </w:r>
      <w:r w:rsidRPr="00B31AC8">
        <w:tab/>
        <w:t xml:space="preserve">Bross, I. Misclassification in 2 x 2 tables. </w:t>
      </w:r>
      <w:r w:rsidRPr="00B31AC8">
        <w:rPr>
          <w:i/>
        </w:rPr>
        <w:t>Biometrics</w:t>
      </w:r>
      <w:r w:rsidRPr="00B31AC8">
        <w:t xml:space="preserve"> </w:t>
      </w:r>
      <w:r w:rsidRPr="00B31AC8">
        <w:rPr>
          <w:b/>
        </w:rPr>
        <w:t>10</w:t>
      </w:r>
      <w:r w:rsidRPr="00B31AC8">
        <w:t>, 478-486 (1954).</w:t>
      </w:r>
    </w:p>
    <w:p w14:paraId="7FB235D4" w14:textId="77777777" w:rsidR="00B31AC8" w:rsidRPr="00B31AC8" w:rsidRDefault="00B31AC8" w:rsidP="00B31AC8">
      <w:pPr>
        <w:pStyle w:val="EndNoteBibliography"/>
        <w:ind w:left="720" w:hanging="720"/>
      </w:pPr>
      <w:r w:rsidRPr="00B31AC8">
        <w:t>5</w:t>
      </w:r>
      <w:r w:rsidRPr="00B31AC8">
        <w:tab/>
        <w:t>Shi, L.</w:t>
      </w:r>
      <w:r w:rsidRPr="00B31AC8">
        <w:rPr>
          <w:i/>
        </w:rPr>
        <w:t xml:space="preserve"> et al.</w:t>
      </w:r>
      <w:r w:rsidRPr="00B31AC8">
        <w:t xml:space="preserve"> Long-term effects of PM2· 5 on neurological disorders in the American Medicare population: a longitudinal cohort study. </w:t>
      </w:r>
      <w:r w:rsidRPr="00B31AC8">
        <w:rPr>
          <w:i/>
        </w:rPr>
        <w:t>The Lancet Planetary Health</w:t>
      </w:r>
      <w:r w:rsidRPr="00B31AC8">
        <w:t xml:space="preserve"> </w:t>
      </w:r>
      <w:r w:rsidRPr="00B31AC8">
        <w:rPr>
          <w:b/>
        </w:rPr>
        <w:t>4</w:t>
      </w:r>
      <w:r w:rsidRPr="00B31AC8">
        <w:t>, e557-e565 (2020).</w:t>
      </w:r>
    </w:p>
    <w:p w14:paraId="3A3A83E0" w14:textId="414E9B8D" w:rsidR="00A565A5" w:rsidRPr="00A565A5" w:rsidRDefault="00A93274" w:rsidP="00A565A5">
      <w:pPr>
        <w:rPr>
          <w:rFonts w:ascii="Arial" w:hAnsi="Arial" w:cs="Arial"/>
          <w:sz w:val="20"/>
          <w:szCs w:val="20"/>
        </w:rPr>
      </w:pPr>
      <w:r>
        <w:rPr>
          <w:rFonts w:ascii="Arial" w:hAnsi="Arial" w:cs="Arial"/>
          <w:sz w:val="20"/>
          <w:szCs w:val="20"/>
        </w:rPr>
        <w:fldChar w:fldCharType="end"/>
      </w:r>
    </w:p>
    <w:sectPr w:rsidR="00A565A5" w:rsidRPr="00A565A5" w:rsidSect="008209E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1DC6" w14:textId="77777777" w:rsidR="008F459D" w:rsidRDefault="008F459D" w:rsidP="00AE5F65">
      <w:r>
        <w:separator/>
      </w:r>
    </w:p>
  </w:endnote>
  <w:endnote w:type="continuationSeparator" w:id="0">
    <w:p w14:paraId="26F11418" w14:textId="77777777" w:rsidR="008F459D" w:rsidRDefault="008F459D" w:rsidP="00AE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828633"/>
      <w:docPartObj>
        <w:docPartGallery w:val="Page Numbers (Bottom of Page)"/>
        <w:docPartUnique/>
      </w:docPartObj>
    </w:sdtPr>
    <w:sdtEndPr>
      <w:rPr>
        <w:noProof/>
      </w:rPr>
    </w:sdtEndPr>
    <w:sdtContent>
      <w:p w14:paraId="57E05CAB" w14:textId="76503998" w:rsidR="00AE5F65" w:rsidRDefault="00AE5F65">
        <w:pPr>
          <w:pStyle w:val="Footer"/>
          <w:jc w:val="center"/>
        </w:pPr>
        <w:r>
          <w:fldChar w:fldCharType="begin"/>
        </w:r>
        <w:r>
          <w:instrText xml:space="preserve"> PAGE   \* MERGEFORMAT </w:instrText>
        </w:r>
        <w:r>
          <w:fldChar w:fldCharType="separate"/>
        </w:r>
        <w:r w:rsidR="00DA677A">
          <w:rPr>
            <w:noProof/>
          </w:rPr>
          <w:t>1</w:t>
        </w:r>
        <w:r>
          <w:rPr>
            <w:noProof/>
          </w:rPr>
          <w:fldChar w:fldCharType="end"/>
        </w:r>
      </w:p>
    </w:sdtContent>
  </w:sdt>
  <w:p w14:paraId="71F1C897" w14:textId="77777777" w:rsidR="00AE5F65" w:rsidRDefault="00AE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8091" w14:textId="77777777" w:rsidR="008F459D" w:rsidRDefault="008F459D" w:rsidP="00AE5F65">
      <w:r>
        <w:separator/>
      </w:r>
    </w:p>
  </w:footnote>
  <w:footnote w:type="continuationSeparator" w:id="0">
    <w:p w14:paraId="66B0E1D1" w14:textId="77777777" w:rsidR="008F459D" w:rsidRDefault="008F459D" w:rsidP="00AE5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ACB"/>
    <w:multiLevelType w:val="multilevel"/>
    <w:tmpl w:val="0568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421553"/>
    <w:multiLevelType w:val="multilevel"/>
    <w:tmpl w:val="7202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84D6D"/>
    <w:multiLevelType w:val="multilevel"/>
    <w:tmpl w:val="3B40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r2vvdxv9p2v7ex9arxxevxastztad0efad&quot;&gt;My EndNote Library&lt;record-ids&gt;&lt;item&gt;52&lt;/item&gt;&lt;item&gt;58&lt;/item&gt;&lt;item&gt;86&lt;/item&gt;&lt;item&gt;136&lt;/item&gt;&lt;item&gt;137&lt;/item&gt;&lt;/record-ids&gt;&lt;/item&gt;&lt;/Libraries&gt;"/>
  </w:docVars>
  <w:rsids>
    <w:rsidRoot w:val="0076223E"/>
    <w:rsid w:val="0000343B"/>
    <w:rsid w:val="00014E02"/>
    <w:rsid w:val="00020B6F"/>
    <w:rsid w:val="00027DCD"/>
    <w:rsid w:val="00032CB6"/>
    <w:rsid w:val="000353B1"/>
    <w:rsid w:val="000455FF"/>
    <w:rsid w:val="0004628D"/>
    <w:rsid w:val="000741A0"/>
    <w:rsid w:val="00080B7D"/>
    <w:rsid w:val="00081A0B"/>
    <w:rsid w:val="00086A10"/>
    <w:rsid w:val="000A120D"/>
    <w:rsid w:val="000A664C"/>
    <w:rsid w:val="000B1EF7"/>
    <w:rsid w:val="000B2277"/>
    <w:rsid w:val="000B629F"/>
    <w:rsid w:val="000B6F55"/>
    <w:rsid w:val="000C590D"/>
    <w:rsid w:val="000C63AE"/>
    <w:rsid w:val="000D02DD"/>
    <w:rsid w:val="000D4A74"/>
    <w:rsid w:val="000E0C46"/>
    <w:rsid w:val="000E1E13"/>
    <w:rsid w:val="000E53AC"/>
    <w:rsid w:val="000F5757"/>
    <w:rsid w:val="000F7A0A"/>
    <w:rsid w:val="00104434"/>
    <w:rsid w:val="00127428"/>
    <w:rsid w:val="00134AFD"/>
    <w:rsid w:val="00137EB7"/>
    <w:rsid w:val="001417A8"/>
    <w:rsid w:val="00146D17"/>
    <w:rsid w:val="0015274D"/>
    <w:rsid w:val="00152C48"/>
    <w:rsid w:val="001533D1"/>
    <w:rsid w:val="001535D0"/>
    <w:rsid w:val="00154DB9"/>
    <w:rsid w:val="00173BF9"/>
    <w:rsid w:val="00174456"/>
    <w:rsid w:val="00176D71"/>
    <w:rsid w:val="0019433E"/>
    <w:rsid w:val="00196261"/>
    <w:rsid w:val="001A1FBE"/>
    <w:rsid w:val="001A25FB"/>
    <w:rsid w:val="001A7D35"/>
    <w:rsid w:val="001B3306"/>
    <w:rsid w:val="001B3A82"/>
    <w:rsid w:val="001B3ACC"/>
    <w:rsid w:val="001C2DE8"/>
    <w:rsid w:val="001C3AB0"/>
    <w:rsid w:val="001C3E4C"/>
    <w:rsid w:val="001E036A"/>
    <w:rsid w:val="001E43A2"/>
    <w:rsid w:val="001E6B37"/>
    <w:rsid w:val="001F305E"/>
    <w:rsid w:val="002034C5"/>
    <w:rsid w:val="0020468F"/>
    <w:rsid w:val="00217887"/>
    <w:rsid w:val="00222C62"/>
    <w:rsid w:val="0022367A"/>
    <w:rsid w:val="0022686D"/>
    <w:rsid w:val="00227219"/>
    <w:rsid w:val="00242913"/>
    <w:rsid w:val="002527C3"/>
    <w:rsid w:val="00262277"/>
    <w:rsid w:val="002644AB"/>
    <w:rsid w:val="00264CFF"/>
    <w:rsid w:val="00266561"/>
    <w:rsid w:val="00271060"/>
    <w:rsid w:val="00277693"/>
    <w:rsid w:val="00280240"/>
    <w:rsid w:val="00285A16"/>
    <w:rsid w:val="002914CA"/>
    <w:rsid w:val="00292CDE"/>
    <w:rsid w:val="00294433"/>
    <w:rsid w:val="00294971"/>
    <w:rsid w:val="002957B5"/>
    <w:rsid w:val="002A3592"/>
    <w:rsid w:val="002B0D28"/>
    <w:rsid w:val="002B1CFB"/>
    <w:rsid w:val="002B3C15"/>
    <w:rsid w:val="002E16C0"/>
    <w:rsid w:val="002F5511"/>
    <w:rsid w:val="00300902"/>
    <w:rsid w:val="00302B47"/>
    <w:rsid w:val="0030352E"/>
    <w:rsid w:val="00304FE8"/>
    <w:rsid w:val="003079D9"/>
    <w:rsid w:val="00313F1F"/>
    <w:rsid w:val="00316825"/>
    <w:rsid w:val="00316C84"/>
    <w:rsid w:val="00320F12"/>
    <w:rsid w:val="0032525A"/>
    <w:rsid w:val="00327DC1"/>
    <w:rsid w:val="00331332"/>
    <w:rsid w:val="0033552E"/>
    <w:rsid w:val="003367E7"/>
    <w:rsid w:val="0033698D"/>
    <w:rsid w:val="003413AE"/>
    <w:rsid w:val="0034197A"/>
    <w:rsid w:val="00343955"/>
    <w:rsid w:val="003476BF"/>
    <w:rsid w:val="00350562"/>
    <w:rsid w:val="00354F1F"/>
    <w:rsid w:val="003620B5"/>
    <w:rsid w:val="00366A98"/>
    <w:rsid w:val="003672FA"/>
    <w:rsid w:val="003723E8"/>
    <w:rsid w:val="00385422"/>
    <w:rsid w:val="0039365A"/>
    <w:rsid w:val="003A1F10"/>
    <w:rsid w:val="003A2539"/>
    <w:rsid w:val="003A3806"/>
    <w:rsid w:val="003A47F4"/>
    <w:rsid w:val="003A7BB3"/>
    <w:rsid w:val="003B062A"/>
    <w:rsid w:val="003B1DFD"/>
    <w:rsid w:val="003D0F5F"/>
    <w:rsid w:val="003D2569"/>
    <w:rsid w:val="003D3A9A"/>
    <w:rsid w:val="003D6B68"/>
    <w:rsid w:val="003E43F3"/>
    <w:rsid w:val="003F5794"/>
    <w:rsid w:val="0040242A"/>
    <w:rsid w:val="004046AF"/>
    <w:rsid w:val="004046DF"/>
    <w:rsid w:val="00410615"/>
    <w:rsid w:val="004121DA"/>
    <w:rsid w:val="00412B3F"/>
    <w:rsid w:val="00414170"/>
    <w:rsid w:val="00420274"/>
    <w:rsid w:val="0042262B"/>
    <w:rsid w:val="00422BF1"/>
    <w:rsid w:val="00426F84"/>
    <w:rsid w:val="00432271"/>
    <w:rsid w:val="00435D06"/>
    <w:rsid w:val="0043711F"/>
    <w:rsid w:val="00442AC6"/>
    <w:rsid w:val="00442C8A"/>
    <w:rsid w:val="00451AD1"/>
    <w:rsid w:val="00454026"/>
    <w:rsid w:val="00457800"/>
    <w:rsid w:val="00460370"/>
    <w:rsid w:val="00462589"/>
    <w:rsid w:val="0047273E"/>
    <w:rsid w:val="00473432"/>
    <w:rsid w:val="00482094"/>
    <w:rsid w:val="00490B43"/>
    <w:rsid w:val="00495A59"/>
    <w:rsid w:val="00497C77"/>
    <w:rsid w:val="004A3FE1"/>
    <w:rsid w:val="004A569C"/>
    <w:rsid w:val="004B100F"/>
    <w:rsid w:val="004B2CD1"/>
    <w:rsid w:val="004C094A"/>
    <w:rsid w:val="004C0BCD"/>
    <w:rsid w:val="004C2D19"/>
    <w:rsid w:val="004C58F0"/>
    <w:rsid w:val="004C6F6D"/>
    <w:rsid w:val="004E1BF9"/>
    <w:rsid w:val="004E4A5C"/>
    <w:rsid w:val="004E54B8"/>
    <w:rsid w:val="004F33F5"/>
    <w:rsid w:val="00500EF6"/>
    <w:rsid w:val="005077E9"/>
    <w:rsid w:val="00512CD7"/>
    <w:rsid w:val="00516EAA"/>
    <w:rsid w:val="00525571"/>
    <w:rsid w:val="0052628C"/>
    <w:rsid w:val="00526C5F"/>
    <w:rsid w:val="00527A4C"/>
    <w:rsid w:val="00543BD0"/>
    <w:rsid w:val="00544755"/>
    <w:rsid w:val="00567B1C"/>
    <w:rsid w:val="00584E5A"/>
    <w:rsid w:val="00597237"/>
    <w:rsid w:val="005A311F"/>
    <w:rsid w:val="005A507A"/>
    <w:rsid w:val="005C0617"/>
    <w:rsid w:val="005C6755"/>
    <w:rsid w:val="005E00D7"/>
    <w:rsid w:val="005E3BFF"/>
    <w:rsid w:val="005E6E98"/>
    <w:rsid w:val="005F2A6C"/>
    <w:rsid w:val="005F78CB"/>
    <w:rsid w:val="00600810"/>
    <w:rsid w:val="0060171F"/>
    <w:rsid w:val="00621E0C"/>
    <w:rsid w:val="006267EC"/>
    <w:rsid w:val="00636942"/>
    <w:rsid w:val="00642ED7"/>
    <w:rsid w:val="00643453"/>
    <w:rsid w:val="00645884"/>
    <w:rsid w:val="006652A4"/>
    <w:rsid w:val="006656D6"/>
    <w:rsid w:val="006675F2"/>
    <w:rsid w:val="00671197"/>
    <w:rsid w:val="006807C7"/>
    <w:rsid w:val="00680D30"/>
    <w:rsid w:val="00682292"/>
    <w:rsid w:val="0068379C"/>
    <w:rsid w:val="00692116"/>
    <w:rsid w:val="00693881"/>
    <w:rsid w:val="00697341"/>
    <w:rsid w:val="006A3BEE"/>
    <w:rsid w:val="006B1AEB"/>
    <w:rsid w:val="006B4C1C"/>
    <w:rsid w:val="006B4CBA"/>
    <w:rsid w:val="006C1AD0"/>
    <w:rsid w:val="006C3824"/>
    <w:rsid w:val="006D0212"/>
    <w:rsid w:val="006D087B"/>
    <w:rsid w:val="006D587A"/>
    <w:rsid w:val="006E0A50"/>
    <w:rsid w:val="006E6275"/>
    <w:rsid w:val="006E70E1"/>
    <w:rsid w:val="006E74A8"/>
    <w:rsid w:val="006E7F6A"/>
    <w:rsid w:val="00701624"/>
    <w:rsid w:val="00702547"/>
    <w:rsid w:val="0070677A"/>
    <w:rsid w:val="007125D2"/>
    <w:rsid w:val="0071317B"/>
    <w:rsid w:val="00721385"/>
    <w:rsid w:val="00730B0B"/>
    <w:rsid w:val="00732646"/>
    <w:rsid w:val="00734300"/>
    <w:rsid w:val="0074613C"/>
    <w:rsid w:val="007566EA"/>
    <w:rsid w:val="0076223E"/>
    <w:rsid w:val="007644CF"/>
    <w:rsid w:val="00770AB3"/>
    <w:rsid w:val="00772A32"/>
    <w:rsid w:val="00795237"/>
    <w:rsid w:val="007A23F6"/>
    <w:rsid w:val="007A2A33"/>
    <w:rsid w:val="007B2F6E"/>
    <w:rsid w:val="007B6E61"/>
    <w:rsid w:val="007D4F9B"/>
    <w:rsid w:val="007D7731"/>
    <w:rsid w:val="007E0B75"/>
    <w:rsid w:val="007E209C"/>
    <w:rsid w:val="007E24C4"/>
    <w:rsid w:val="007E6942"/>
    <w:rsid w:val="007E7842"/>
    <w:rsid w:val="007F2E4C"/>
    <w:rsid w:val="007F73EB"/>
    <w:rsid w:val="00800F54"/>
    <w:rsid w:val="008209ED"/>
    <w:rsid w:val="00831CD4"/>
    <w:rsid w:val="00834C2A"/>
    <w:rsid w:val="008636B4"/>
    <w:rsid w:val="00863FEC"/>
    <w:rsid w:val="008702C9"/>
    <w:rsid w:val="00870EF9"/>
    <w:rsid w:val="00876812"/>
    <w:rsid w:val="00881DFB"/>
    <w:rsid w:val="00886A20"/>
    <w:rsid w:val="00893F84"/>
    <w:rsid w:val="00897460"/>
    <w:rsid w:val="008A4471"/>
    <w:rsid w:val="008B1A8A"/>
    <w:rsid w:val="008B6A6B"/>
    <w:rsid w:val="008B6D55"/>
    <w:rsid w:val="008C2E0B"/>
    <w:rsid w:val="008C5CFA"/>
    <w:rsid w:val="008D131F"/>
    <w:rsid w:val="008E56FB"/>
    <w:rsid w:val="008F30E7"/>
    <w:rsid w:val="008F3CE9"/>
    <w:rsid w:val="008F459D"/>
    <w:rsid w:val="008F566D"/>
    <w:rsid w:val="008F7731"/>
    <w:rsid w:val="009039A8"/>
    <w:rsid w:val="00905664"/>
    <w:rsid w:val="009155FA"/>
    <w:rsid w:val="00915DFE"/>
    <w:rsid w:val="00925A11"/>
    <w:rsid w:val="00927965"/>
    <w:rsid w:val="009317F8"/>
    <w:rsid w:val="0094073E"/>
    <w:rsid w:val="009455B6"/>
    <w:rsid w:val="00951560"/>
    <w:rsid w:val="00952DF2"/>
    <w:rsid w:val="00957AC3"/>
    <w:rsid w:val="009613B1"/>
    <w:rsid w:val="00966725"/>
    <w:rsid w:val="00971418"/>
    <w:rsid w:val="00974841"/>
    <w:rsid w:val="009758B8"/>
    <w:rsid w:val="00977963"/>
    <w:rsid w:val="00986BCC"/>
    <w:rsid w:val="00986FA6"/>
    <w:rsid w:val="00987852"/>
    <w:rsid w:val="00993F01"/>
    <w:rsid w:val="0099576F"/>
    <w:rsid w:val="009A089A"/>
    <w:rsid w:val="009A3C7B"/>
    <w:rsid w:val="009C1C62"/>
    <w:rsid w:val="009C2C2A"/>
    <w:rsid w:val="009D39CB"/>
    <w:rsid w:val="009E1798"/>
    <w:rsid w:val="009E52BD"/>
    <w:rsid w:val="009E6A4B"/>
    <w:rsid w:val="009F7428"/>
    <w:rsid w:val="009F78EA"/>
    <w:rsid w:val="00A04270"/>
    <w:rsid w:val="00A17E42"/>
    <w:rsid w:val="00A23331"/>
    <w:rsid w:val="00A32CD9"/>
    <w:rsid w:val="00A33B09"/>
    <w:rsid w:val="00A33D1A"/>
    <w:rsid w:val="00A35B15"/>
    <w:rsid w:val="00A447E6"/>
    <w:rsid w:val="00A467BC"/>
    <w:rsid w:val="00A53A70"/>
    <w:rsid w:val="00A565A5"/>
    <w:rsid w:val="00A579E8"/>
    <w:rsid w:val="00A60738"/>
    <w:rsid w:val="00A6165A"/>
    <w:rsid w:val="00A61EB4"/>
    <w:rsid w:val="00A62894"/>
    <w:rsid w:val="00A7416E"/>
    <w:rsid w:val="00A7549A"/>
    <w:rsid w:val="00A862C1"/>
    <w:rsid w:val="00A9042A"/>
    <w:rsid w:val="00A93274"/>
    <w:rsid w:val="00A93C8C"/>
    <w:rsid w:val="00A94704"/>
    <w:rsid w:val="00A95732"/>
    <w:rsid w:val="00AA0AD2"/>
    <w:rsid w:val="00AA161A"/>
    <w:rsid w:val="00AB1794"/>
    <w:rsid w:val="00AB18D0"/>
    <w:rsid w:val="00AB730A"/>
    <w:rsid w:val="00AC204E"/>
    <w:rsid w:val="00AC4105"/>
    <w:rsid w:val="00AC42C2"/>
    <w:rsid w:val="00AC7038"/>
    <w:rsid w:val="00AD5668"/>
    <w:rsid w:val="00AE013C"/>
    <w:rsid w:val="00AE1587"/>
    <w:rsid w:val="00AE5F65"/>
    <w:rsid w:val="00AE7033"/>
    <w:rsid w:val="00AF2552"/>
    <w:rsid w:val="00AF5ADD"/>
    <w:rsid w:val="00B061C9"/>
    <w:rsid w:val="00B07BD1"/>
    <w:rsid w:val="00B22CF4"/>
    <w:rsid w:val="00B31AC8"/>
    <w:rsid w:val="00B40034"/>
    <w:rsid w:val="00B41FA1"/>
    <w:rsid w:val="00B42457"/>
    <w:rsid w:val="00B440BB"/>
    <w:rsid w:val="00B51B4C"/>
    <w:rsid w:val="00B5379D"/>
    <w:rsid w:val="00B53EAD"/>
    <w:rsid w:val="00B56175"/>
    <w:rsid w:val="00B615B7"/>
    <w:rsid w:val="00B63B9C"/>
    <w:rsid w:val="00B70B2E"/>
    <w:rsid w:val="00B74E19"/>
    <w:rsid w:val="00B917FF"/>
    <w:rsid w:val="00B96D3F"/>
    <w:rsid w:val="00B97D29"/>
    <w:rsid w:val="00BA046B"/>
    <w:rsid w:val="00BA208E"/>
    <w:rsid w:val="00BC6E5D"/>
    <w:rsid w:val="00BC79E8"/>
    <w:rsid w:val="00BD2CC8"/>
    <w:rsid w:val="00BE56B2"/>
    <w:rsid w:val="00BE6BA7"/>
    <w:rsid w:val="00BF7F28"/>
    <w:rsid w:val="00C00A10"/>
    <w:rsid w:val="00C0251D"/>
    <w:rsid w:val="00C070AB"/>
    <w:rsid w:val="00C138B6"/>
    <w:rsid w:val="00C16F11"/>
    <w:rsid w:val="00C170F9"/>
    <w:rsid w:val="00C3687C"/>
    <w:rsid w:val="00C71730"/>
    <w:rsid w:val="00C922D8"/>
    <w:rsid w:val="00C9298C"/>
    <w:rsid w:val="00CA01BD"/>
    <w:rsid w:val="00CC375B"/>
    <w:rsid w:val="00CC53DC"/>
    <w:rsid w:val="00CC56FE"/>
    <w:rsid w:val="00CC59C9"/>
    <w:rsid w:val="00CC5A4A"/>
    <w:rsid w:val="00CD1DB7"/>
    <w:rsid w:val="00CD40BD"/>
    <w:rsid w:val="00CD71B9"/>
    <w:rsid w:val="00CE5432"/>
    <w:rsid w:val="00CE69B0"/>
    <w:rsid w:val="00D05D2B"/>
    <w:rsid w:val="00D07714"/>
    <w:rsid w:val="00D122B9"/>
    <w:rsid w:val="00D23300"/>
    <w:rsid w:val="00D300FB"/>
    <w:rsid w:val="00D30970"/>
    <w:rsid w:val="00D31286"/>
    <w:rsid w:val="00D31C12"/>
    <w:rsid w:val="00D514F9"/>
    <w:rsid w:val="00D53190"/>
    <w:rsid w:val="00D56AA5"/>
    <w:rsid w:val="00D56F0E"/>
    <w:rsid w:val="00D573E9"/>
    <w:rsid w:val="00D64192"/>
    <w:rsid w:val="00D71551"/>
    <w:rsid w:val="00D8060B"/>
    <w:rsid w:val="00D9485D"/>
    <w:rsid w:val="00DA1533"/>
    <w:rsid w:val="00DA2D7C"/>
    <w:rsid w:val="00DA53EF"/>
    <w:rsid w:val="00DA677A"/>
    <w:rsid w:val="00DC577F"/>
    <w:rsid w:val="00DD50B4"/>
    <w:rsid w:val="00DD74D0"/>
    <w:rsid w:val="00DE2724"/>
    <w:rsid w:val="00DE4695"/>
    <w:rsid w:val="00DE742F"/>
    <w:rsid w:val="00DF23BA"/>
    <w:rsid w:val="00DF5104"/>
    <w:rsid w:val="00DF7303"/>
    <w:rsid w:val="00E0287A"/>
    <w:rsid w:val="00E10774"/>
    <w:rsid w:val="00E12079"/>
    <w:rsid w:val="00E20364"/>
    <w:rsid w:val="00E27675"/>
    <w:rsid w:val="00E408B4"/>
    <w:rsid w:val="00E41D24"/>
    <w:rsid w:val="00E527B0"/>
    <w:rsid w:val="00E5577C"/>
    <w:rsid w:val="00E647A2"/>
    <w:rsid w:val="00E71220"/>
    <w:rsid w:val="00E7219C"/>
    <w:rsid w:val="00E7384C"/>
    <w:rsid w:val="00E80C84"/>
    <w:rsid w:val="00E848DC"/>
    <w:rsid w:val="00E91518"/>
    <w:rsid w:val="00E940A9"/>
    <w:rsid w:val="00EA286F"/>
    <w:rsid w:val="00EB0D24"/>
    <w:rsid w:val="00EB1E86"/>
    <w:rsid w:val="00EB1E9D"/>
    <w:rsid w:val="00EB3C7B"/>
    <w:rsid w:val="00EC05A2"/>
    <w:rsid w:val="00EC3BEC"/>
    <w:rsid w:val="00ED20F1"/>
    <w:rsid w:val="00ED443A"/>
    <w:rsid w:val="00ED4553"/>
    <w:rsid w:val="00ED45D3"/>
    <w:rsid w:val="00EE313F"/>
    <w:rsid w:val="00EE6692"/>
    <w:rsid w:val="00EF4B3C"/>
    <w:rsid w:val="00F04887"/>
    <w:rsid w:val="00F12859"/>
    <w:rsid w:val="00F16D42"/>
    <w:rsid w:val="00F20F79"/>
    <w:rsid w:val="00F36061"/>
    <w:rsid w:val="00F37B6B"/>
    <w:rsid w:val="00F40D1F"/>
    <w:rsid w:val="00F4169C"/>
    <w:rsid w:val="00F428E8"/>
    <w:rsid w:val="00F4497A"/>
    <w:rsid w:val="00F51BE8"/>
    <w:rsid w:val="00F569D3"/>
    <w:rsid w:val="00F56ED8"/>
    <w:rsid w:val="00F61DE3"/>
    <w:rsid w:val="00F64003"/>
    <w:rsid w:val="00F64978"/>
    <w:rsid w:val="00F660C0"/>
    <w:rsid w:val="00F70661"/>
    <w:rsid w:val="00F7670B"/>
    <w:rsid w:val="00F77648"/>
    <w:rsid w:val="00F95B92"/>
    <w:rsid w:val="00FA3153"/>
    <w:rsid w:val="00FB6109"/>
    <w:rsid w:val="00FC7465"/>
    <w:rsid w:val="00FC7476"/>
    <w:rsid w:val="00FD6092"/>
    <w:rsid w:val="00FE3BC9"/>
    <w:rsid w:val="00FF0224"/>
    <w:rsid w:val="00FF02B7"/>
    <w:rsid w:val="00FF239D"/>
    <w:rsid w:val="00FF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68118"/>
  <w15:chartTrackingRefBased/>
  <w15:docId w15:val="{1D1D332B-2274-8242-85DC-403625DF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6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6223E"/>
    <w:rPr>
      <w:rFonts w:ascii="Courier New" w:eastAsia="Times New Roman" w:hAnsi="Courier New" w:cs="Courier New"/>
      <w:sz w:val="20"/>
      <w:szCs w:val="20"/>
    </w:rPr>
  </w:style>
  <w:style w:type="paragraph" w:styleId="NormalWeb">
    <w:name w:val="Normal (Web)"/>
    <w:basedOn w:val="Normal"/>
    <w:uiPriority w:val="99"/>
    <w:unhideWhenUsed/>
    <w:rsid w:val="0076223E"/>
    <w:pPr>
      <w:spacing w:before="100" w:beforeAutospacing="1" w:after="100" w:afterAutospacing="1"/>
    </w:pPr>
  </w:style>
  <w:style w:type="character" w:styleId="CommentReference">
    <w:name w:val="annotation reference"/>
    <w:basedOn w:val="DefaultParagraphFont"/>
    <w:uiPriority w:val="99"/>
    <w:semiHidden/>
    <w:unhideWhenUsed/>
    <w:rsid w:val="00F61DE3"/>
    <w:rPr>
      <w:sz w:val="16"/>
      <w:szCs w:val="16"/>
    </w:rPr>
  </w:style>
  <w:style w:type="paragraph" w:styleId="CommentText">
    <w:name w:val="annotation text"/>
    <w:basedOn w:val="Normal"/>
    <w:link w:val="CommentTextChar"/>
    <w:uiPriority w:val="99"/>
    <w:unhideWhenUsed/>
    <w:rsid w:val="00F61DE3"/>
    <w:rPr>
      <w:sz w:val="20"/>
      <w:szCs w:val="20"/>
    </w:rPr>
  </w:style>
  <w:style w:type="character" w:customStyle="1" w:styleId="CommentTextChar">
    <w:name w:val="Comment Text Char"/>
    <w:basedOn w:val="DefaultParagraphFont"/>
    <w:link w:val="CommentText"/>
    <w:uiPriority w:val="99"/>
    <w:rsid w:val="00F61D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DE3"/>
    <w:rPr>
      <w:b/>
      <w:bCs/>
    </w:rPr>
  </w:style>
  <w:style w:type="character" w:customStyle="1" w:styleId="CommentSubjectChar">
    <w:name w:val="Comment Subject Char"/>
    <w:basedOn w:val="CommentTextChar"/>
    <w:link w:val="CommentSubject"/>
    <w:uiPriority w:val="99"/>
    <w:semiHidden/>
    <w:rsid w:val="00F61D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3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4C5"/>
    <w:rPr>
      <w:rFonts w:ascii="Segoe UI" w:eastAsia="Times New Roman" w:hAnsi="Segoe UI" w:cs="Segoe UI"/>
      <w:sz w:val="18"/>
      <w:szCs w:val="18"/>
    </w:rPr>
  </w:style>
  <w:style w:type="table" w:styleId="TableGrid">
    <w:name w:val="Table Grid"/>
    <w:basedOn w:val="TableNormal"/>
    <w:uiPriority w:val="3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F65"/>
    <w:pPr>
      <w:tabs>
        <w:tab w:val="center" w:pos="4680"/>
        <w:tab w:val="right" w:pos="9360"/>
      </w:tabs>
    </w:pPr>
  </w:style>
  <w:style w:type="character" w:customStyle="1" w:styleId="HeaderChar">
    <w:name w:val="Header Char"/>
    <w:basedOn w:val="DefaultParagraphFont"/>
    <w:link w:val="Header"/>
    <w:uiPriority w:val="99"/>
    <w:rsid w:val="00AE5F65"/>
    <w:rPr>
      <w:rFonts w:ascii="Times New Roman" w:eastAsia="Times New Roman" w:hAnsi="Times New Roman" w:cs="Times New Roman"/>
    </w:rPr>
  </w:style>
  <w:style w:type="paragraph" w:styleId="Footer">
    <w:name w:val="footer"/>
    <w:basedOn w:val="Normal"/>
    <w:link w:val="FooterChar"/>
    <w:uiPriority w:val="99"/>
    <w:unhideWhenUsed/>
    <w:rsid w:val="00AE5F65"/>
    <w:pPr>
      <w:tabs>
        <w:tab w:val="center" w:pos="4680"/>
        <w:tab w:val="right" w:pos="9360"/>
      </w:tabs>
    </w:pPr>
  </w:style>
  <w:style w:type="character" w:customStyle="1" w:styleId="FooterChar">
    <w:name w:val="Footer Char"/>
    <w:basedOn w:val="DefaultParagraphFont"/>
    <w:link w:val="Footer"/>
    <w:uiPriority w:val="99"/>
    <w:rsid w:val="00AE5F65"/>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A93274"/>
    <w:pPr>
      <w:jc w:val="center"/>
    </w:pPr>
    <w:rPr>
      <w:noProof/>
    </w:rPr>
  </w:style>
  <w:style w:type="character" w:customStyle="1" w:styleId="EndNoteBibliographyTitleChar">
    <w:name w:val="EndNote Bibliography Title Char"/>
    <w:basedOn w:val="DefaultParagraphFont"/>
    <w:link w:val="EndNoteBibliographyTitle"/>
    <w:rsid w:val="00A93274"/>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A93274"/>
    <w:rPr>
      <w:noProof/>
    </w:rPr>
  </w:style>
  <w:style w:type="character" w:customStyle="1" w:styleId="EndNoteBibliographyChar">
    <w:name w:val="EndNote Bibliography Char"/>
    <w:basedOn w:val="DefaultParagraphFont"/>
    <w:link w:val="EndNoteBibliography"/>
    <w:rsid w:val="00A93274"/>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064">
      <w:bodyDiv w:val="1"/>
      <w:marLeft w:val="0"/>
      <w:marRight w:val="0"/>
      <w:marTop w:val="0"/>
      <w:marBottom w:val="0"/>
      <w:divBdr>
        <w:top w:val="none" w:sz="0" w:space="0" w:color="auto"/>
        <w:left w:val="none" w:sz="0" w:space="0" w:color="auto"/>
        <w:bottom w:val="none" w:sz="0" w:space="0" w:color="auto"/>
        <w:right w:val="none" w:sz="0" w:space="0" w:color="auto"/>
      </w:divBdr>
    </w:div>
    <w:div w:id="85394550">
      <w:bodyDiv w:val="1"/>
      <w:marLeft w:val="0"/>
      <w:marRight w:val="0"/>
      <w:marTop w:val="0"/>
      <w:marBottom w:val="0"/>
      <w:divBdr>
        <w:top w:val="none" w:sz="0" w:space="0" w:color="auto"/>
        <w:left w:val="none" w:sz="0" w:space="0" w:color="auto"/>
        <w:bottom w:val="none" w:sz="0" w:space="0" w:color="auto"/>
        <w:right w:val="none" w:sz="0" w:space="0" w:color="auto"/>
      </w:divBdr>
    </w:div>
    <w:div w:id="107236079">
      <w:bodyDiv w:val="1"/>
      <w:marLeft w:val="0"/>
      <w:marRight w:val="0"/>
      <w:marTop w:val="0"/>
      <w:marBottom w:val="0"/>
      <w:divBdr>
        <w:top w:val="none" w:sz="0" w:space="0" w:color="auto"/>
        <w:left w:val="none" w:sz="0" w:space="0" w:color="auto"/>
        <w:bottom w:val="none" w:sz="0" w:space="0" w:color="auto"/>
        <w:right w:val="none" w:sz="0" w:space="0" w:color="auto"/>
      </w:divBdr>
    </w:div>
    <w:div w:id="246888781">
      <w:bodyDiv w:val="1"/>
      <w:marLeft w:val="0"/>
      <w:marRight w:val="0"/>
      <w:marTop w:val="0"/>
      <w:marBottom w:val="0"/>
      <w:divBdr>
        <w:top w:val="none" w:sz="0" w:space="0" w:color="auto"/>
        <w:left w:val="none" w:sz="0" w:space="0" w:color="auto"/>
        <w:bottom w:val="none" w:sz="0" w:space="0" w:color="auto"/>
        <w:right w:val="none" w:sz="0" w:space="0" w:color="auto"/>
      </w:divBdr>
    </w:div>
    <w:div w:id="277031467">
      <w:bodyDiv w:val="1"/>
      <w:marLeft w:val="0"/>
      <w:marRight w:val="0"/>
      <w:marTop w:val="0"/>
      <w:marBottom w:val="0"/>
      <w:divBdr>
        <w:top w:val="none" w:sz="0" w:space="0" w:color="auto"/>
        <w:left w:val="none" w:sz="0" w:space="0" w:color="auto"/>
        <w:bottom w:val="none" w:sz="0" w:space="0" w:color="auto"/>
        <w:right w:val="none" w:sz="0" w:space="0" w:color="auto"/>
      </w:divBdr>
    </w:div>
    <w:div w:id="340549499">
      <w:bodyDiv w:val="1"/>
      <w:marLeft w:val="0"/>
      <w:marRight w:val="0"/>
      <w:marTop w:val="0"/>
      <w:marBottom w:val="0"/>
      <w:divBdr>
        <w:top w:val="none" w:sz="0" w:space="0" w:color="auto"/>
        <w:left w:val="none" w:sz="0" w:space="0" w:color="auto"/>
        <w:bottom w:val="none" w:sz="0" w:space="0" w:color="auto"/>
        <w:right w:val="none" w:sz="0" w:space="0" w:color="auto"/>
      </w:divBdr>
    </w:div>
    <w:div w:id="435256128">
      <w:bodyDiv w:val="1"/>
      <w:marLeft w:val="0"/>
      <w:marRight w:val="0"/>
      <w:marTop w:val="0"/>
      <w:marBottom w:val="0"/>
      <w:divBdr>
        <w:top w:val="none" w:sz="0" w:space="0" w:color="auto"/>
        <w:left w:val="none" w:sz="0" w:space="0" w:color="auto"/>
        <w:bottom w:val="none" w:sz="0" w:space="0" w:color="auto"/>
        <w:right w:val="none" w:sz="0" w:space="0" w:color="auto"/>
      </w:divBdr>
    </w:div>
    <w:div w:id="446195333">
      <w:bodyDiv w:val="1"/>
      <w:marLeft w:val="0"/>
      <w:marRight w:val="0"/>
      <w:marTop w:val="0"/>
      <w:marBottom w:val="0"/>
      <w:divBdr>
        <w:top w:val="none" w:sz="0" w:space="0" w:color="auto"/>
        <w:left w:val="none" w:sz="0" w:space="0" w:color="auto"/>
        <w:bottom w:val="none" w:sz="0" w:space="0" w:color="auto"/>
        <w:right w:val="none" w:sz="0" w:space="0" w:color="auto"/>
      </w:divBdr>
    </w:div>
    <w:div w:id="495996366">
      <w:bodyDiv w:val="1"/>
      <w:marLeft w:val="0"/>
      <w:marRight w:val="0"/>
      <w:marTop w:val="0"/>
      <w:marBottom w:val="0"/>
      <w:divBdr>
        <w:top w:val="none" w:sz="0" w:space="0" w:color="auto"/>
        <w:left w:val="none" w:sz="0" w:space="0" w:color="auto"/>
        <w:bottom w:val="none" w:sz="0" w:space="0" w:color="auto"/>
        <w:right w:val="none" w:sz="0" w:space="0" w:color="auto"/>
      </w:divBdr>
    </w:div>
    <w:div w:id="532235346">
      <w:bodyDiv w:val="1"/>
      <w:marLeft w:val="0"/>
      <w:marRight w:val="0"/>
      <w:marTop w:val="0"/>
      <w:marBottom w:val="0"/>
      <w:divBdr>
        <w:top w:val="none" w:sz="0" w:space="0" w:color="auto"/>
        <w:left w:val="none" w:sz="0" w:space="0" w:color="auto"/>
        <w:bottom w:val="none" w:sz="0" w:space="0" w:color="auto"/>
        <w:right w:val="none" w:sz="0" w:space="0" w:color="auto"/>
      </w:divBdr>
    </w:div>
    <w:div w:id="578952812">
      <w:bodyDiv w:val="1"/>
      <w:marLeft w:val="0"/>
      <w:marRight w:val="0"/>
      <w:marTop w:val="0"/>
      <w:marBottom w:val="0"/>
      <w:divBdr>
        <w:top w:val="none" w:sz="0" w:space="0" w:color="auto"/>
        <w:left w:val="none" w:sz="0" w:space="0" w:color="auto"/>
        <w:bottom w:val="none" w:sz="0" w:space="0" w:color="auto"/>
        <w:right w:val="none" w:sz="0" w:space="0" w:color="auto"/>
      </w:divBdr>
    </w:div>
    <w:div w:id="706107736">
      <w:bodyDiv w:val="1"/>
      <w:marLeft w:val="0"/>
      <w:marRight w:val="0"/>
      <w:marTop w:val="0"/>
      <w:marBottom w:val="0"/>
      <w:divBdr>
        <w:top w:val="none" w:sz="0" w:space="0" w:color="auto"/>
        <w:left w:val="none" w:sz="0" w:space="0" w:color="auto"/>
        <w:bottom w:val="none" w:sz="0" w:space="0" w:color="auto"/>
        <w:right w:val="none" w:sz="0" w:space="0" w:color="auto"/>
      </w:divBdr>
    </w:div>
    <w:div w:id="780760214">
      <w:bodyDiv w:val="1"/>
      <w:marLeft w:val="0"/>
      <w:marRight w:val="0"/>
      <w:marTop w:val="0"/>
      <w:marBottom w:val="0"/>
      <w:divBdr>
        <w:top w:val="none" w:sz="0" w:space="0" w:color="auto"/>
        <w:left w:val="none" w:sz="0" w:space="0" w:color="auto"/>
        <w:bottom w:val="none" w:sz="0" w:space="0" w:color="auto"/>
        <w:right w:val="none" w:sz="0" w:space="0" w:color="auto"/>
      </w:divBdr>
    </w:div>
    <w:div w:id="841434074">
      <w:bodyDiv w:val="1"/>
      <w:marLeft w:val="0"/>
      <w:marRight w:val="0"/>
      <w:marTop w:val="0"/>
      <w:marBottom w:val="0"/>
      <w:divBdr>
        <w:top w:val="none" w:sz="0" w:space="0" w:color="auto"/>
        <w:left w:val="none" w:sz="0" w:space="0" w:color="auto"/>
        <w:bottom w:val="none" w:sz="0" w:space="0" w:color="auto"/>
        <w:right w:val="none" w:sz="0" w:space="0" w:color="auto"/>
      </w:divBdr>
    </w:div>
    <w:div w:id="882406871">
      <w:bodyDiv w:val="1"/>
      <w:marLeft w:val="0"/>
      <w:marRight w:val="0"/>
      <w:marTop w:val="0"/>
      <w:marBottom w:val="0"/>
      <w:divBdr>
        <w:top w:val="none" w:sz="0" w:space="0" w:color="auto"/>
        <w:left w:val="none" w:sz="0" w:space="0" w:color="auto"/>
        <w:bottom w:val="none" w:sz="0" w:space="0" w:color="auto"/>
        <w:right w:val="none" w:sz="0" w:space="0" w:color="auto"/>
      </w:divBdr>
    </w:div>
    <w:div w:id="1050421364">
      <w:bodyDiv w:val="1"/>
      <w:marLeft w:val="0"/>
      <w:marRight w:val="0"/>
      <w:marTop w:val="0"/>
      <w:marBottom w:val="0"/>
      <w:divBdr>
        <w:top w:val="none" w:sz="0" w:space="0" w:color="auto"/>
        <w:left w:val="none" w:sz="0" w:space="0" w:color="auto"/>
        <w:bottom w:val="none" w:sz="0" w:space="0" w:color="auto"/>
        <w:right w:val="none" w:sz="0" w:space="0" w:color="auto"/>
      </w:divBdr>
    </w:div>
    <w:div w:id="1050809491">
      <w:bodyDiv w:val="1"/>
      <w:marLeft w:val="0"/>
      <w:marRight w:val="0"/>
      <w:marTop w:val="0"/>
      <w:marBottom w:val="0"/>
      <w:divBdr>
        <w:top w:val="none" w:sz="0" w:space="0" w:color="auto"/>
        <w:left w:val="none" w:sz="0" w:space="0" w:color="auto"/>
        <w:bottom w:val="none" w:sz="0" w:space="0" w:color="auto"/>
        <w:right w:val="none" w:sz="0" w:space="0" w:color="auto"/>
      </w:divBdr>
    </w:div>
    <w:div w:id="1104113078">
      <w:bodyDiv w:val="1"/>
      <w:marLeft w:val="0"/>
      <w:marRight w:val="0"/>
      <w:marTop w:val="0"/>
      <w:marBottom w:val="0"/>
      <w:divBdr>
        <w:top w:val="none" w:sz="0" w:space="0" w:color="auto"/>
        <w:left w:val="none" w:sz="0" w:space="0" w:color="auto"/>
        <w:bottom w:val="none" w:sz="0" w:space="0" w:color="auto"/>
        <w:right w:val="none" w:sz="0" w:space="0" w:color="auto"/>
      </w:divBdr>
      <w:divsChild>
        <w:div w:id="450124574">
          <w:marLeft w:val="0"/>
          <w:marRight w:val="0"/>
          <w:marTop w:val="0"/>
          <w:marBottom w:val="0"/>
          <w:divBdr>
            <w:top w:val="none" w:sz="0" w:space="0" w:color="auto"/>
            <w:left w:val="none" w:sz="0" w:space="0" w:color="auto"/>
            <w:bottom w:val="none" w:sz="0" w:space="0" w:color="auto"/>
            <w:right w:val="none" w:sz="0" w:space="0" w:color="auto"/>
          </w:divBdr>
        </w:div>
        <w:div w:id="84425160">
          <w:marLeft w:val="0"/>
          <w:marRight w:val="0"/>
          <w:marTop w:val="0"/>
          <w:marBottom w:val="0"/>
          <w:divBdr>
            <w:top w:val="none" w:sz="0" w:space="0" w:color="auto"/>
            <w:left w:val="none" w:sz="0" w:space="0" w:color="auto"/>
            <w:bottom w:val="none" w:sz="0" w:space="0" w:color="auto"/>
            <w:right w:val="none" w:sz="0" w:space="0" w:color="auto"/>
          </w:divBdr>
          <w:divsChild>
            <w:div w:id="156387059">
              <w:marLeft w:val="0"/>
              <w:marRight w:val="0"/>
              <w:marTop w:val="0"/>
              <w:marBottom w:val="0"/>
              <w:divBdr>
                <w:top w:val="none" w:sz="0" w:space="0" w:color="auto"/>
                <w:left w:val="none" w:sz="0" w:space="0" w:color="auto"/>
                <w:bottom w:val="none" w:sz="0" w:space="0" w:color="auto"/>
                <w:right w:val="none" w:sz="0" w:space="0" w:color="auto"/>
              </w:divBdr>
              <w:divsChild>
                <w:div w:id="655839971">
                  <w:marLeft w:val="0"/>
                  <w:marRight w:val="0"/>
                  <w:marTop w:val="0"/>
                  <w:marBottom w:val="0"/>
                  <w:divBdr>
                    <w:top w:val="none" w:sz="0" w:space="0" w:color="auto"/>
                    <w:left w:val="none" w:sz="0" w:space="0" w:color="auto"/>
                    <w:bottom w:val="none" w:sz="0" w:space="0" w:color="auto"/>
                    <w:right w:val="none" w:sz="0" w:space="0" w:color="auto"/>
                  </w:divBdr>
                </w:div>
                <w:div w:id="19280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32492">
      <w:bodyDiv w:val="1"/>
      <w:marLeft w:val="0"/>
      <w:marRight w:val="0"/>
      <w:marTop w:val="0"/>
      <w:marBottom w:val="0"/>
      <w:divBdr>
        <w:top w:val="none" w:sz="0" w:space="0" w:color="auto"/>
        <w:left w:val="none" w:sz="0" w:space="0" w:color="auto"/>
        <w:bottom w:val="none" w:sz="0" w:space="0" w:color="auto"/>
        <w:right w:val="none" w:sz="0" w:space="0" w:color="auto"/>
      </w:divBdr>
    </w:div>
    <w:div w:id="1176117550">
      <w:bodyDiv w:val="1"/>
      <w:marLeft w:val="0"/>
      <w:marRight w:val="0"/>
      <w:marTop w:val="0"/>
      <w:marBottom w:val="0"/>
      <w:divBdr>
        <w:top w:val="none" w:sz="0" w:space="0" w:color="auto"/>
        <w:left w:val="none" w:sz="0" w:space="0" w:color="auto"/>
        <w:bottom w:val="none" w:sz="0" w:space="0" w:color="auto"/>
        <w:right w:val="none" w:sz="0" w:space="0" w:color="auto"/>
      </w:divBdr>
    </w:div>
    <w:div w:id="1250575539">
      <w:bodyDiv w:val="1"/>
      <w:marLeft w:val="0"/>
      <w:marRight w:val="0"/>
      <w:marTop w:val="0"/>
      <w:marBottom w:val="0"/>
      <w:divBdr>
        <w:top w:val="none" w:sz="0" w:space="0" w:color="auto"/>
        <w:left w:val="none" w:sz="0" w:space="0" w:color="auto"/>
        <w:bottom w:val="none" w:sz="0" w:space="0" w:color="auto"/>
        <w:right w:val="none" w:sz="0" w:space="0" w:color="auto"/>
      </w:divBdr>
    </w:div>
    <w:div w:id="1283151842">
      <w:bodyDiv w:val="1"/>
      <w:marLeft w:val="0"/>
      <w:marRight w:val="0"/>
      <w:marTop w:val="0"/>
      <w:marBottom w:val="0"/>
      <w:divBdr>
        <w:top w:val="none" w:sz="0" w:space="0" w:color="auto"/>
        <w:left w:val="none" w:sz="0" w:space="0" w:color="auto"/>
        <w:bottom w:val="none" w:sz="0" w:space="0" w:color="auto"/>
        <w:right w:val="none" w:sz="0" w:space="0" w:color="auto"/>
      </w:divBdr>
    </w:div>
    <w:div w:id="1327705011">
      <w:bodyDiv w:val="1"/>
      <w:marLeft w:val="0"/>
      <w:marRight w:val="0"/>
      <w:marTop w:val="0"/>
      <w:marBottom w:val="0"/>
      <w:divBdr>
        <w:top w:val="none" w:sz="0" w:space="0" w:color="auto"/>
        <w:left w:val="none" w:sz="0" w:space="0" w:color="auto"/>
        <w:bottom w:val="none" w:sz="0" w:space="0" w:color="auto"/>
        <w:right w:val="none" w:sz="0" w:space="0" w:color="auto"/>
      </w:divBdr>
    </w:div>
    <w:div w:id="1431390624">
      <w:bodyDiv w:val="1"/>
      <w:marLeft w:val="0"/>
      <w:marRight w:val="0"/>
      <w:marTop w:val="0"/>
      <w:marBottom w:val="0"/>
      <w:divBdr>
        <w:top w:val="none" w:sz="0" w:space="0" w:color="auto"/>
        <w:left w:val="none" w:sz="0" w:space="0" w:color="auto"/>
        <w:bottom w:val="none" w:sz="0" w:space="0" w:color="auto"/>
        <w:right w:val="none" w:sz="0" w:space="0" w:color="auto"/>
      </w:divBdr>
    </w:div>
    <w:div w:id="1446272230">
      <w:bodyDiv w:val="1"/>
      <w:marLeft w:val="0"/>
      <w:marRight w:val="0"/>
      <w:marTop w:val="0"/>
      <w:marBottom w:val="0"/>
      <w:divBdr>
        <w:top w:val="none" w:sz="0" w:space="0" w:color="auto"/>
        <w:left w:val="none" w:sz="0" w:space="0" w:color="auto"/>
        <w:bottom w:val="none" w:sz="0" w:space="0" w:color="auto"/>
        <w:right w:val="none" w:sz="0" w:space="0" w:color="auto"/>
      </w:divBdr>
    </w:div>
    <w:div w:id="1526285352">
      <w:bodyDiv w:val="1"/>
      <w:marLeft w:val="0"/>
      <w:marRight w:val="0"/>
      <w:marTop w:val="0"/>
      <w:marBottom w:val="0"/>
      <w:divBdr>
        <w:top w:val="none" w:sz="0" w:space="0" w:color="auto"/>
        <w:left w:val="none" w:sz="0" w:space="0" w:color="auto"/>
        <w:bottom w:val="none" w:sz="0" w:space="0" w:color="auto"/>
        <w:right w:val="none" w:sz="0" w:space="0" w:color="auto"/>
      </w:divBdr>
    </w:div>
    <w:div w:id="1542136595">
      <w:bodyDiv w:val="1"/>
      <w:marLeft w:val="0"/>
      <w:marRight w:val="0"/>
      <w:marTop w:val="0"/>
      <w:marBottom w:val="0"/>
      <w:divBdr>
        <w:top w:val="none" w:sz="0" w:space="0" w:color="auto"/>
        <w:left w:val="none" w:sz="0" w:space="0" w:color="auto"/>
        <w:bottom w:val="none" w:sz="0" w:space="0" w:color="auto"/>
        <w:right w:val="none" w:sz="0" w:space="0" w:color="auto"/>
      </w:divBdr>
    </w:div>
    <w:div w:id="1589386357">
      <w:bodyDiv w:val="1"/>
      <w:marLeft w:val="0"/>
      <w:marRight w:val="0"/>
      <w:marTop w:val="0"/>
      <w:marBottom w:val="0"/>
      <w:divBdr>
        <w:top w:val="none" w:sz="0" w:space="0" w:color="auto"/>
        <w:left w:val="none" w:sz="0" w:space="0" w:color="auto"/>
        <w:bottom w:val="none" w:sz="0" w:space="0" w:color="auto"/>
        <w:right w:val="none" w:sz="0" w:space="0" w:color="auto"/>
      </w:divBdr>
    </w:div>
    <w:div w:id="1716155697">
      <w:bodyDiv w:val="1"/>
      <w:marLeft w:val="0"/>
      <w:marRight w:val="0"/>
      <w:marTop w:val="0"/>
      <w:marBottom w:val="0"/>
      <w:divBdr>
        <w:top w:val="none" w:sz="0" w:space="0" w:color="auto"/>
        <w:left w:val="none" w:sz="0" w:space="0" w:color="auto"/>
        <w:bottom w:val="none" w:sz="0" w:space="0" w:color="auto"/>
        <w:right w:val="none" w:sz="0" w:space="0" w:color="auto"/>
      </w:divBdr>
    </w:div>
    <w:div w:id="1738631311">
      <w:bodyDiv w:val="1"/>
      <w:marLeft w:val="0"/>
      <w:marRight w:val="0"/>
      <w:marTop w:val="0"/>
      <w:marBottom w:val="0"/>
      <w:divBdr>
        <w:top w:val="none" w:sz="0" w:space="0" w:color="auto"/>
        <w:left w:val="none" w:sz="0" w:space="0" w:color="auto"/>
        <w:bottom w:val="none" w:sz="0" w:space="0" w:color="auto"/>
        <w:right w:val="none" w:sz="0" w:space="0" w:color="auto"/>
      </w:divBdr>
    </w:div>
    <w:div w:id="1853836239">
      <w:bodyDiv w:val="1"/>
      <w:marLeft w:val="0"/>
      <w:marRight w:val="0"/>
      <w:marTop w:val="0"/>
      <w:marBottom w:val="0"/>
      <w:divBdr>
        <w:top w:val="none" w:sz="0" w:space="0" w:color="auto"/>
        <w:left w:val="none" w:sz="0" w:space="0" w:color="auto"/>
        <w:bottom w:val="none" w:sz="0" w:space="0" w:color="auto"/>
        <w:right w:val="none" w:sz="0" w:space="0" w:color="auto"/>
      </w:divBdr>
    </w:div>
    <w:div w:id="1855455386">
      <w:bodyDiv w:val="1"/>
      <w:marLeft w:val="0"/>
      <w:marRight w:val="0"/>
      <w:marTop w:val="0"/>
      <w:marBottom w:val="0"/>
      <w:divBdr>
        <w:top w:val="none" w:sz="0" w:space="0" w:color="auto"/>
        <w:left w:val="none" w:sz="0" w:space="0" w:color="auto"/>
        <w:bottom w:val="none" w:sz="0" w:space="0" w:color="auto"/>
        <w:right w:val="none" w:sz="0" w:space="0" w:color="auto"/>
      </w:divBdr>
    </w:div>
    <w:div w:id="1926571300">
      <w:bodyDiv w:val="1"/>
      <w:marLeft w:val="0"/>
      <w:marRight w:val="0"/>
      <w:marTop w:val="0"/>
      <w:marBottom w:val="0"/>
      <w:divBdr>
        <w:top w:val="none" w:sz="0" w:space="0" w:color="auto"/>
        <w:left w:val="none" w:sz="0" w:space="0" w:color="auto"/>
        <w:bottom w:val="none" w:sz="0" w:space="0" w:color="auto"/>
        <w:right w:val="none" w:sz="0" w:space="0" w:color="auto"/>
      </w:divBdr>
    </w:div>
    <w:div w:id="1931429395">
      <w:bodyDiv w:val="1"/>
      <w:marLeft w:val="0"/>
      <w:marRight w:val="0"/>
      <w:marTop w:val="0"/>
      <w:marBottom w:val="0"/>
      <w:divBdr>
        <w:top w:val="none" w:sz="0" w:space="0" w:color="auto"/>
        <w:left w:val="none" w:sz="0" w:space="0" w:color="auto"/>
        <w:bottom w:val="none" w:sz="0" w:space="0" w:color="auto"/>
        <w:right w:val="none" w:sz="0" w:space="0" w:color="auto"/>
      </w:divBdr>
    </w:div>
    <w:div w:id="1962103561">
      <w:bodyDiv w:val="1"/>
      <w:marLeft w:val="0"/>
      <w:marRight w:val="0"/>
      <w:marTop w:val="0"/>
      <w:marBottom w:val="0"/>
      <w:divBdr>
        <w:top w:val="none" w:sz="0" w:space="0" w:color="auto"/>
        <w:left w:val="none" w:sz="0" w:space="0" w:color="auto"/>
        <w:bottom w:val="none" w:sz="0" w:space="0" w:color="auto"/>
        <w:right w:val="none" w:sz="0" w:space="0" w:color="auto"/>
      </w:divBdr>
    </w:div>
    <w:div w:id="21332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E37E00F3FB74B92EA9CC67BC4C513" ma:contentTypeVersion="13" ma:contentTypeDescription="Create a new document." ma:contentTypeScope="" ma:versionID="95918b5769cd08dcad4b52c85aec9c32">
  <xsd:schema xmlns:xsd="http://www.w3.org/2001/XMLSchema" xmlns:xs="http://www.w3.org/2001/XMLSchema" xmlns:p="http://schemas.microsoft.com/office/2006/metadata/properties" xmlns:ns3="9453be03-b245-451a-b539-53190af91f4c" xmlns:ns4="1c167631-2970-47a8-a569-7777efab628c" targetNamespace="http://schemas.microsoft.com/office/2006/metadata/properties" ma:root="true" ma:fieldsID="c43f8818067269ca4fe1faae59515ca1" ns3:_="" ns4:_="">
    <xsd:import namespace="9453be03-b245-451a-b539-53190af91f4c"/>
    <xsd:import namespace="1c167631-2970-47a8-a569-7777efab62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3be03-b245-451a-b539-53190af91f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67631-2970-47a8-a569-7777efab628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00B8F-5242-4C0E-B2C3-B6AE63C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3be03-b245-451a-b539-53190af91f4c"/>
    <ds:schemaRef ds:uri="1c167631-2970-47a8-a569-7777efab6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2C1C3-78E9-49FD-9655-29FE54177FE3}">
  <ds:schemaRefs>
    <ds:schemaRef ds:uri="http://schemas.openxmlformats.org/officeDocument/2006/bibliography"/>
  </ds:schemaRefs>
</ds:datastoreItem>
</file>

<file path=customXml/itemProps3.xml><?xml version="1.0" encoding="utf-8"?>
<ds:datastoreItem xmlns:ds="http://schemas.openxmlformats.org/officeDocument/2006/customXml" ds:itemID="{1C18903B-28CC-41E1-B2E3-90BA6F8AD0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4CE13-6172-406C-AB72-84C1718CC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Haomin</dc:creator>
  <cp:keywords/>
  <dc:description/>
  <cp:lastModifiedBy>Shi Liuhua</cp:lastModifiedBy>
  <cp:revision>12</cp:revision>
  <dcterms:created xsi:type="dcterms:W3CDTF">2021-05-10T01:21:00Z</dcterms:created>
  <dcterms:modified xsi:type="dcterms:W3CDTF">2021-05-10T19:46:00Z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0x010100C81E37E00F3FB74B92EA9CC67BC4C513</vt:lpwstr>
  </property>
</Properties>
</file>