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52B68" w14:textId="77777777" w:rsidR="00965F68" w:rsidRDefault="00965F68" w:rsidP="00965F68">
      <w:pPr>
        <w:spacing w:line="360" w:lineRule="auto"/>
        <w:jc w:val="both"/>
        <w:rPr>
          <w:rFonts w:ascii="Arial" w:eastAsiaTheme="minorEastAsia" w:hAnsi="Arial" w:cs="Arial"/>
          <w:b/>
          <w:bCs/>
          <w:sz w:val="22"/>
          <w:szCs w:val="22"/>
          <w:lang w:eastAsia="ko-KR"/>
        </w:rPr>
      </w:pPr>
      <w:r>
        <w:rPr>
          <w:rFonts w:ascii="Arial" w:eastAsiaTheme="minorEastAsia" w:hAnsi="Arial" w:cs="Arial"/>
          <w:b/>
          <w:bCs/>
          <w:sz w:val="22"/>
          <w:szCs w:val="22"/>
          <w:lang w:eastAsia="ko-KR"/>
        </w:rPr>
        <w:t xml:space="preserve">Supplement: </w:t>
      </w:r>
    </w:p>
    <w:p w14:paraId="428F18E3" w14:textId="77777777" w:rsidR="00965F68" w:rsidRDefault="00965F68" w:rsidP="00965F68">
      <w:pPr>
        <w:spacing w:line="360" w:lineRule="auto"/>
        <w:jc w:val="both"/>
        <w:rPr>
          <w:rFonts w:ascii="Arial" w:eastAsiaTheme="minorEastAsia" w:hAnsi="Arial" w:cs="Arial"/>
          <w:b/>
          <w:bCs/>
          <w:sz w:val="22"/>
          <w:szCs w:val="22"/>
          <w:lang w:eastAsia="ko-KR"/>
        </w:rPr>
      </w:pPr>
    </w:p>
    <w:p w14:paraId="06BA89B8" w14:textId="77777777" w:rsidR="00965F68" w:rsidRPr="00E36854" w:rsidRDefault="00965F68" w:rsidP="00965F68">
      <w:pPr>
        <w:spacing w:line="360" w:lineRule="auto"/>
        <w:jc w:val="both"/>
        <w:rPr>
          <w:rFonts w:ascii="Arial" w:eastAsiaTheme="minorEastAsia" w:hAnsi="Arial" w:cs="Arial"/>
          <w:b/>
          <w:bCs/>
          <w:sz w:val="22"/>
          <w:szCs w:val="22"/>
          <w:lang w:eastAsia="ko-KR"/>
        </w:rPr>
      </w:pPr>
      <w:r w:rsidRPr="00E36854">
        <w:rPr>
          <w:rFonts w:ascii="Arial" w:eastAsiaTheme="minorEastAsia" w:hAnsi="Arial" w:cs="Arial"/>
          <w:b/>
          <w:bCs/>
          <w:sz w:val="22"/>
          <w:szCs w:val="22"/>
          <w:lang w:eastAsia="ko-KR"/>
        </w:rPr>
        <w:t xml:space="preserve">Computed Tomography Imaging Protocols </w:t>
      </w:r>
    </w:p>
    <w:p w14:paraId="3D4215BC" w14:textId="77777777" w:rsidR="00965F68" w:rsidRPr="00E36854" w:rsidRDefault="00965F68" w:rsidP="00965F68">
      <w:pPr>
        <w:spacing w:line="360" w:lineRule="auto"/>
        <w:jc w:val="both"/>
        <w:rPr>
          <w:rFonts w:ascii="Arial" w:eastAsiaTheme="minorEastAsia" w:hAnsi="Arial" w:cs="Arial"/>
          <w:sz w:val="22"/>
          <w:szCs w:val="22"/>
          <w:lang w:eastAsia="ko-KR"/>
        </w:rPr>
      </w:pPr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The typical imaging parameters were: 120 kV, 200 effective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mAs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, axial scan mode, 22-cm display field of view (FOV), 50-cm large-body scan FOV, pitch of 1, gantry rotation time of 0.5 seconds, detector collimation of 128 x 0.6 mm, and 3-mm axial and coronal reconstructed slice thickness with a soft-tissue algorithm reconstruction. Real-time automatic tube current modulation software (CARE Dose4D; Siemens) was used to regulate the tube current according to the patient’s anatomical structures. Acquisition of CT images began 70 seconds after the injection of 140 mL of intravenous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iopamidol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 (Isovue-370; Bracco) at 2.5 mL/s. </w:t>
      </w:r>
    </w:p>
    <w:p w14:paraId="2B48A87C" w14:textId="77777777" w:rsidR="00965F68" w:rsidRPr="00E36854" w:rsidRDefault="00965F68" w:rsidP="00965F68">
      <w:pPr>
        <w:spacing w:line="360" w:lineRule="auto"/>
        <w:jc w:val="both"/>
        <w:rPr>
          <w:rFonts w:ascii="Arial" w:eastAsiaTheme="minorEastAsia" w:hAnsi="Arial" w:cs="Arial"/>
          <w:b/>
          <w:bCs/>
          <w:sz w:val="22"/>
          <w:szCs w:val="22"/>
          <w:lang w:eastAsia="ko-KR"/>
        </w:rPr>
      </w:pPr>
    </w:p>
    <w:p w14:paraId="1D747910" w14:textId="77777777" w:rsidR="00965F68" w:rsidRPr="00E36854" w:rsidRDefault="00965F68" w:rsidP="00965F68">
      <w:pPr>
        <w:spacing w:line="360" w:lineRule="auto"/>
        <w:jc w:val="both"/>
        <w:rPr>
          <w:rFonts w:ascii="Arial" w:eastAsiaTheme="minorEastAsia" w:hAnsi="Arial" w:cs="Arial"/>
          <w:b/>
          <w:bCs/>
          <w:sz w:val="22"/>
          <w:szCs w:val="22"/>
          <w:lang w:eastAsia="ko-KR"/>
        </w:rPr>
      </w:pPr>
      <w:r w:rsidRPr="00E36854">
        <w:rPr>
          <w:rFonts w:ascii="Arial" w:eastAsiaTheme="minorEastAsia" w:hAnsi="Arial" w:cs="Arial"/>
          <w:b/>
          <w:bCs/>
          <w:sz w:val="22"/>
          <w:szCs w:val="22"/>
          <w:lang w:eastAsia="ko-KR"/>
        </w:rPr>
        <w:t xml:space="preserve">Magnetic Resonance Imaging Protocols </w:t>
      </w:r>
    </w:p>
    <w:p w14:paraId="18551064" w14:textId="77777777" w:rsidR="00965F68" w:rsidRPr="00E36854" w:rsidRDefault="00965F68" w:rsidP="00965F68">
      <w:pPr>
        <w:spacing w:line="360" w:lineRule="auto"/>
        <w:jc w:val="both"/>
        <w:rPr>
          <w:rFonts w:ascii="Arial" w:eastAsiaTheme="minorEastAsia" w:hAnsi="Arial" w:cs="Arial"/>
          <w:sz w:val="22"/>
          <w:szCs w:val="22"/>
          <w:lang w:eastAsia="ko-KR"/>
        </w:rPr>
      </w:pPr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All axial T1- (repetition time/echo time [TR/TE] = 790/11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and T2-weighted images (WIs) (TR/TE = 5470/85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were acquired with a FOV = 190 x 190 mm2 , matrix size = 448 x 291, and 3-mm slice thickness without gap.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Diffusionweighted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 imaging (DWI) was performed using single-shot echo-planar imaging before injecting the contrast agent. The DWI sequence parameters were: TR/TE, 5450/62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; b value, 0 and 1000 sec/mm2 ; section thickness/gap, 4/0 mm; FOV, 192 x 192 mm; and acquisition time, approximately 5 minutes. The apparent diffusion coefficient maps were acquired automatically within the manufacturer’s console. Dynamic contrast-enhanced (DCE) MRI was performed in an axial plane with three-dimensional controlled aliasing in parallel imaging results in a higher acceleration (CAIPIRINHA) technique before, during, and after the administration of a standard single-bolus administration of 0.1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mmoL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 of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gadoterate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 meglumine (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Dotarem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;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Guerbet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per kilogram of patient body weight dose at 4 mL/s. Dynamic acquisition was performed with a temporal resolution of 3.2 seconds. Contrast was administered after 11 baseline dynamics (144 dynamics in total). Axial (TR/TE, 650/12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and coronal (TR/TE, 540/11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contrast-enhanced (CE)-T1WIs with fat suppression were obtained after DCE-MRI. Axial (TR/TE = 650/12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and coronal (TR/TE = 540/11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 xml:space="preserve">) images. CE-T1WIs with fat suppression were obtained after DCE-MRI. The detailed imaging parameters for DCE-MR imaging were: slice thickness = 3 mm without gap; 20 slices; z-axis coverage = 60 mm; spatial in-plane resolution = 184 x 160; TR/TE = 6.3/3.1 </w:t>
      </w:r>
      <w:proofErr w:type="spellStart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ms</w:t>
      </w:r>
      <w:proofErr w:type="spellEnd"/>
      <w:r w:rsidRPr="00E36854">
        <w:rPr>
          <w:rFonts w:ascii="Arial" w:eastAsiaTheme="minorEastAsia" w:hAnsi="Arial" w:cs="Arial"/>
          <w:sz w:val="22"/>
          <w:szCs w:val="22"/>
          <w:lang w:eastAsia="ko-KR"/>
        </w:rPr>
        <w:t>; flip angle = 15°; FOV = 19 cm; total acquisition time = 7 minutes 24 second</w:t>
      </w:r>
    </w:p>
    <w:p w14:paraId="6443DF87" w14:textId="77777777" w:rsidR="0087102B" w:rsidRDefault="0087102B"/>
    <w:sectPr w:rsidR="0087102B" w:rsidSect="00965F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F68"/>
    <w:rsid w:val="003B5777"/>
    <w:rsid w:val="00404E73"/>
    <w:rsid w:val="007424E1"/>
    <w:rsid w:val="0087102B"/>
    <w:rsid w:val="00965F68"/>
    <w:rsid w:val="00CF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75CDB7"/>
  <w15:chartTrackingRefBased/>
  <w15:docId w15:val="{DE9D1D17-0BA6-CF4E-B5C2-12D23F2A0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F68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5F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F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F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F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F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F6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F6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F6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F6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F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F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F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F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F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F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F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5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F6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5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F6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5F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F68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5F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F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F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F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Ulysses Joseph Yap</dc:creator>
  <cp:keywords/>
  <dc:description/>
  <cp:lastModifiedBy>Ulysses Joseph Yap</cp:lastModifiedBy>
  <cp:revision>1</cp:revision>
  <dcterms:created xsi:type="dcterms:W3CDTF">2024-09-09T06:17:00Z</dcterms:created>
  <dcterms:modified xsi:type="dcterms:W3CDTF">2024-09-09T06:17:00Z</dcterms:modified>
</cp:coreProperties>
</file>