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5D8173" w14:textId="6F52359D" w:rsidR="006259E6" w:rsidRPr="00E509BC" w:rsidRDefault="005F72F3" w:rsidP="005F72F3">
      <w:pPr>
        <w:jc w:val="center"/>
        <w:rPr>
          <w:rFonts w:ascii="Times New Roman" w:hAnsi="Times New Roman" w:cs="Times New Roman"/>
          <w:smallCaps/>
          <w:sz w:val="24"/>
          <w:szCs w:val="24"/>
        </w:rPr>
      </w:pPr>
      <w:r w:rsidRPr="00E509BC">
        <w:rPr>
          <w:rFonts w:ascii="Times New Roman" w:hAnsi="Times New Roman" w:cs="Times New Roman"/>
          <w:smallCaps/>
          <w:sz w:val="24"/>
          <w:szCs w:val="24"/>
        </w:rPr>
        <w:t>Appendix A</w:t>
      </w:r>
      <w:r w:rsidR="00E509BC" w:rsidRPr="00E509BC">
        <w:rPr>
          <w:rFonts w:ascii="Times New Roman" w:hAnsi="Times New Roman" w:cs="Times New Roman"/>
          <w:smallCaps/>
          <w:sz w:val="24"/>
          <w:szCs w:val="24"/>
        </w:rPr>
        <w:t xml:space="preserve"> – Supplemental Figures</w:t>
      </w:r>
    </w:p>
    <w:p w14:paraId="757E2AC3" w14:textId="2356BFE7" w:rsidR="005F72F3" w:rsidRDefault="005F72F3" w:rsidP="005F72F3">
      <w:r>
        <w:rPr>
          <w:noProof/>
        </w:rPr>
        <w:drawing>
          <wp:inline distT="0" distB="0" distL="0" distR="0" wp14:anchorId="520CB332" wp14:editId="04CFB3A4">
            <wp:extent cx="5943600" cy="34372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3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AD4BF" w14:textId="768461FF" w:rsidR="005F72F3" w:rsidRPr="00491BCA" w:rsidRDefault="005F72F3" w:rsidP="005F72F3">
      <w:pPr>
        <w:rPr>
          <w:rFonts w:ascii="Times New Roman" w:eastAsia="Times New Roman" w:hAnsi="Times New Roman" w:cs="Times New Roman"/>
          <w:sz w:val="24"/>
          <w:szCs w:val="24"/>
        </w:rPr>
      </w:pPr>
      <w:r w:rsidRPr="00491BCA">
        <w:rPr>
          <w:rFonts w:ascii="Times New Roman" w:hAnsi="Times New Roman" w:cs="Times New Roman"/>
          <w:b/>
          <w:bCs/>
          <w:sz w:val="24"/>
          <w:szCs w:val="24"/>
        </w:rPr>
        <w:t xml:space="preserve">Fig </w:t>
      </w:r>
      <w:r w:rsidR="006E445B" w:rsidRPr="00491BC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91BCA">
        <w:rPr>
          <w:rFonts w:ascii="Times New Roman" w:hAnsi="Times New Roman" w:cs="Times New Roman"/>
          <w:sz w:val="24"/>
          <w:szCs w:val="24"/>
        </w:rPr>
        <w:t xml:space="preserve"> </w:t>
      </w:r>
      <w:r w:rsidR="00DD5891" w:rsidRPr="00491BCA">
        <w:rPr>
          <w:rFonts w:ascii="Times New Roman" w:hAnsi="Times New Roman" w:cs="Times New Roman"/>
          <w:sz w:val="24"/>
          <w:szCs w:val="24"/>
        </w:rPr>
        <w:t>Frames A and B show</w:t>
      </w:r>
      <w:r w:rsidR="00735D8D" w:rsidRPr="00491BCA">
        <w:rPr>
          <w:rFonts w:ascii="Times New Roman" w:hAnsi="Times New Roman" w:cs="Times New Roman"/>
          <w:sz w:val="24"/>
          <w:szCs w:val="24"/>
        </w:rPr>
        <w:t xml:space="preserve"> the protective mesh sleeve</w:t>
      </w:r>
      <w:r w:rsidR="00DD5891" w:rsidRPr="00491BCA">
        <w:rPr>
          <w:rFonts w:ascii="Times New Roman" w:hAnsi="Times New Roman" w:cs="Times New Roman"/>
          <w:sz w:val="24"/>
          <w:szCs w:val="24"/>
        </w:rPr>
        <w:t xml:space="preserve"> and </w:t>
      </w:r>
      <w:r w:rsidR="00735D8D" w:rsidRPr="00491BCA">
        <w:rPr>
          <w:rFonts w:ascii="Times New Roman" w:hAnsi="Times New Roman" w:cs="Times New Roman"/>
          <w:sz w:val="24"/>
          <w:szCs w:val="24"/>
        </w:rPr>
        <w:t xml:space="preserve">the passive sampler filled with </w:t>
      </w:r>
      <w:r w:rsidR="00735D8D" w:rsidRPr="00491BCA">
        <w:rPr>
          <w:rFonts w:ascii="Times New Roman" w:eastAsia="Times New Roman" w:hAnsi="Times New Roman" w:cs="Times New Roman"/>
          <w:sz w:val="24"/>
          <w:szCs w:val="24"/>
        </w:rPr>
        <w:t>deionized water (DIW)</w:t>
      </w:r>
      <w:r w:rsidR="00DD5891" w:rsidRPr="00491BCA">
        <w:rPr>
          <w:rFonts w:ascii="Times New Roman" w:eastAsia="Times New Roman" w:hAnsi="Times New Roman" w:cs="Times New Roman"/>
          <w:sz w:val="24"/>
          <w:szCs w:val="24"/>
        </w:rPr>
        <w:t>, respectively</w:t>
      </w:r>
      <w:r w:rsidR="00735D8D" w:rsidRPr="00491BCA">
        <w:rPr>
          <w:rFonts w:ascii="Times New Roman" w:eastAsia="Times New Roman" w:hAnsi="Times New Roman" w:cs="Times New Roman"/>
          <w:sz w:val="24"/>
          <w:szCs w:val="24"/>
        </w:rPr>
        <w:t xml:space="preserve">. For the illustrative purposes, we added a </w:t>
      </w:r>
      <w:r w:rsidR="00E81131">
        <w:rPr>
          <w:rFonts w:ascii="Times New Roman" w:eastAsia="Times New Roman" w:hAnsi="Times New Roman" w:cs="Times New Roman"/>
          <w:sz w:val="24"/>
          <w:szCs w:val="24"/>
        </w:rPr>
        <w:t>dye</w:t>
      </w:r>
      <w:r w:rsidR="00E81131" w:rsidRPr="00491B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5D8D" w:rsidRPr="00491BCA">
        <w:rPr>
          <w:rFonts w:ascii="Times New Roman" w:eastAsia="Times New Roman" w:hAnsi="Times New Roman" w:cs="Times New Roman"/>
          <w:sz w:val="24"/>
          <w:szCs w:val="24"/>
        </w:rPr>
        <w:t>to the deionized water. Frames C and D show in-situ deployment and placement of the passive samplers inside the protective mesh sleeve</w:t>
      </w:r>
      <w:r w:rsidR="00F0561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E95B7DE" w14:textId="50BBAE18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4B129EAB" w14:textId="245DD8B2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3F4EDE96" w14:textId="4FBDE3A1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42D267BD" w14:textId="1CE285BE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393199D3" w14:textId="3EE6F849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3DCFF10C" w14:textId="6D5F1BBE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74B845AD" w14:textId="5C55EF36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67C6E413" w14:textId="54289799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344CBB99" w14:textId="7EC5AF73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00E8CAF0" w14:textId="7DBE0BE9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33569271" w14:textId="1B3CC255" w:rsidR="00176E77" w:rsidRDefault="00176E77" w:rsidP="005F72F3">
      <w:pPr>
        <w:rPr>
          <w:rFonts w:eastAsia="Times New Roman" w:cstheme="minorHAnsi"/>
          <w:sz w:val="24"/>
          <w:szCs w:val="24"/>
        </w:rPr>
      </w:pPr>
    </w:p>
    <w:p w14:paraId="04F80316" w14:textId="050486DB" w:rsidR="00176E77" w:rsidRDefault="00210A37" w:rsidP="005F72F3">
      <w:pPr>
        <w:rPr>
          <w:rFonts w:cstheme="minorHAns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B63044" wp14:editId="1DC28E69">
            <wp:extent cx="5943600" cy="459041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20DD2" w14:textId="4FB06C45" w:rsidR="00176E77" w:rsidRPr="00491BCA" w:rsidRDefault="00230CA5" w:rsidP="005F72F3">
      <w:pPr>
        <w:rPr>
          <w:rFonts w:ascii="Times New Roman" w:hAnsi="Times New Roman" w:cs="Times New Roman"/>
          <w:sz w:val="24"/>
          <w:szCs w:val="24"/>
        </w:rPr>
      </w:pPr>
      <w:r w:rsidRPr="00491BC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176E77" w:rsidRPr="00491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445B" w:rsidRPr="00491BC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91BCA">
        <w:rPr>
          <w:rFonts w:ascii="Times New Roman" w:hAnsi="Times New Roman" w:cs="Times New Roman"/>
          <w:sz w:val="24"/>
          <w:szCs w:val="24"/>
        </w:rPr>
        <w:t xml:space="preserve"> </w:t>
      </w:r>
      <w:r w:rsidR="00176E77" w:rsidRPr="00491BCA">
        <w:rPr>
          <w:rFonts w:ascii="Times New Roman" w:hAnsi="Times New Roman" w:cs="Times New Roman"/>
          <w:sz w:val="24"/>
          <w:szCs w:val="24"/>
        </w:rPr>
        <w:t xml:space="preserve">Map representing Level III ecoregions within the </w:t>
      </w:r>
      <w:r w:rsidR="00176E77" w:rsidRPr="00491BC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05613">
        <w:rPr>
          <w:rFonts w:ascii="Times New Roman" w:hAnsi="Times New Roman" w:cs="Times New Roman"/>
          <w:i/>
          <w:iCs/>
          <w:sz w:val="24"/>
          <w:szCs w:val="24"/>
        </w:rPr>
        <w:t>ryptobranchus</w:t>
      </w:r>
      <w:r w:rsidR="00176E77" w:rsidRPr="00491BCA">
        <w:rPr>
          <w:rFonts w:ascii="Times New Roman" w:hAnsi="Times New Roman" w:cs="Times New Roman"/>
          <w:i/>
          <w:iCs/>
          <w:sz w:val="24"/>
          <w:szCs w:val="24"/>
        </w:rPr>
        <w:t xml:space="preserve"> alleganiensis</w:t>
      </w:r>
      <w:r w:rsidR="00176E77" w:rsidRPr="00491BCA">
        <w:rPr>
          <w:rFonts w:ascii="Times New Roman" w:hAnsi="Times New Roman" w:cs="Times New Roman"/>
          <w:sz w:val="24"/>
          <w:szCs w:val="24"/>
        </w:rPr>
        <w:t xml:space="preserve"> range in Tennessee and North Carolina</w:t>
      </w:r>
      <w:r w:rsidR="00F05613">
        <w:rPr>
          <w:rFonts w:ascii="Times New Roman" w:hAnsi="Times New Roman" w:cs="Times New Roman"/>
          <w:sz w:val="24"/>
          <w:szCs w:val="24"/>
        </w:rPr>
        <w:t>.</w:t>
      </w:r>
      <w:r w:rsidR="007739B1">
        <w:rPr>
          <w:rFonts w:ascii="Times New Roman" w:hAnsi="Times New Roman" w:cs="Times New Roman"/>
          <w:sz w:val="24"/>
          <w:szCs w:val="24"/>
        </w:rPr>
        <w:t xml:space="preserve"> From left to right: Southeastern Plains, Interior Plateau, Southwest Appalachians, Central Appalachians, Ridge and Valley, and Blue </w:t>
      </w:r>
      <w:r w:rsidR="00E81131">
        <w:rPr>
          <w:rFonts w:ascii="Times New Roman" w:hAnsi="Times New Roman" w:cs="Times New Roman"/>
          <w:sz w:val="24"/>
          <w:szCs w:val="24"/>
        </w:rPr>
        <w:t>R</w:t>
      </w:r>
      <w:r w:rsidR="007739B1">
        <w:rPr>
          <w:rFonts w:ascii="Times New Roman" w:hAnsi="Times New Roman" w:cs="Times New Roman"/>
          <w:sz w:val="24"/>
          <w:szCs w:val="24"/>
        </w:rPr>
        <w:t>idge.</w:t>
      </w:r>
    </w:p>
    <w:p w14:paraId="71634845" w14:textId="08D86F50" w:rsidR="002E5A1C" w:rsidRDefault="002E5A1C" w:rsidP="005F72F3">
      <w:pPr>
        <w:rPr>
          <w:rFonts w:cstheme="minorHAnsi"/>
          <w:sz w:val="24"/>
          <w:szCs w:val="24"/>
        </w:rPr>
      </w:pPr>
    </w:p>
    <w:p w14:paraId="723312D2" w14:textId="2C65FC6C" w:rsidR="002E5A1C" w:rsidRDefault="002E5A1C" w:rsidP="005F72F3">
      <w:pPr>
        <w:rPr>
          <w:rFonts w:cstheme="minorHAnsi"/>
          <w:sz w:val="24"/>
          <w:szCs w:val="24"/>
        </w:rPr>
      </w:pPr>
    </w:p>
    <w:p w14:paraId="5F919812" w14:textId="6F83C666" w:rsidR="002E5A1C" w:rsidRDefault="002E5A1C" w:rsidP="005F72F3">
      <w:pPr>
        <w:rPr>
          <w:rFonts w:cstheme="minorHAnsi"/>
          <w:sz w:val="24"/>
          <w:szCs w:val="24"/>
        </w:rPr>
      </w:pPr>
    </w:p>
    <w:p w14:paraId="2D5F2B6B" w14:textId="37118528" w:rsidR="002E5A1C" w:rsidRDefault="002E5A1C" w:rsidP="005F72F3">
      <w:pPr>
        <w:rPr>
          <w:rFonts w:cstheme="minorHAnsi"/>
          <w:sz w:val="24"/>
          <w:szCs w:val="24"/>
        </w:rPr>
      </w:pPr>
    </w:p>
    <w:p w14:paraId="362E2ED7" w14:textId="24C7C9BF" w:rsidR="002E5A1C" w:rsidRDefault="002E5A1C" w:rsidP="005F72F3">
      <w:pPr>
        <w:rPr>
          <w:rFonts w:cstheme="minorHAnsi"/>
          <w:sz w:val="24"/>
          <w:szCs w:val="24"/>
        </w:rPr>
      </w:pPr>
    </w:p>
    <w:p w14:paraId="1F935D7C" w14:textId="73762141" w:rsidR="002E5A1C" w:rsidRDefault="002E5A1C" w:rsidP="005F72F3">
      <w:pPr>
        <w:rPr>
          <w:rFonts w:cstheme="minorHAnsi"/>
          <w:sz w:val="24"/>
          <w:szCs w:val="24"/>
        </w:rPr>
      </w:pPr>
    </w:p>
    <w:p w14:paraId="15E6B832" w14:textId="4F351A20" w:rsidR="002E5A1C" w:rsidRDefault="002E5A1C" w:rsidP="005F72F3">
      <w:pPr>
        <w:rPr>
          <w:rFonts w:cstheme="minorHAnsi"/>
          <w:sz w:val="24"/>
          <w:szCs w:val="24"/>
        </w:rPr>
      </w:pPr>
    </w:p>
    <w:p w14:paraId="43380DCC" w14:textId="58763296" w:rsidR="002E5A1C" w:rsidRDefault="002E5A1C" w:rsidP="005F72F3">
      <w:pPr>
        <w:rPr>
          <w:rFonts w:cstheme="minorHAnsi"/>
          <w:sz w:val="24"/>
          <w:szCs w:val="24"/>
        </w:rPr>
      </w:pPr>
    </w:p>
    <w:p w14:paraId="497F7869" w14:textId="3A3B3EC5" w:rsidR="002E5A1C" w:rsidRDefault="002E5A1C" w:rsidP="005F72F3">
      <w:pPr>
        <w:rPr>
          <w:rFonts w:cstheme="minorHAnsi"/>
          <w:sz w:val="24"/>
          <w:szCs w:val="24"/>
        </w:rPr>
      </w:pPr>
    </w:p>
    <w:p w14:paraId="52AD2258" w14:textId="570B6874" w:rsidR="002E5A1C" w:rsidRDefault="002E5A1C" w:rsidP="005F72F3">
      <w:pPr>
        <w:rPr>
          <w:rFonts w:cstheme="minorHAnsi"/>
          <w:sz w:val="24"/>
          <w:szCs w:val="24"/>
        </w:rPr>
      </w:pPr>
    </w:p>
    <w:p w14:paraId="6BB305DA" w14:textId="3D07F82D" w:rsidR="002E5A1C" w:rsidRDefault="00210A37" w:rsidP="005F72F3">
      <w:pPr>
        <w:rPr>
          <w:rFonts w:cstheme="minorHAnsi"/>
          <w:sz w:val="24"/>
          <w:szCs w:val="24"/>
        </w:rPr>
      </w:pPr>
      <w:r>
        <w:rPr>
          <w:noProof/>
        </w:rPr>
        <w:drawing>
          <wp:inline distT="0" distB="0" distL="0" distR="0" wp14:anchorId="75C8B055" wp14:editId="7AAF9D1C">
            <wp:extent cx="5943600" cy="45916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1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1411D" w14:textId="77777777" w:rsidR="001215BD" w:rsidRDefault="00230CA5" w:rsidP="001215BD">
      <w:pPr>
        <w:rPr>
          <w:rFonts w:ascii="Times New Roman" w:hAnsi="Times New Roman" w:cs="Times New Roman"/>
          <w:sz w:val="24"/>
          <w:szCs w:val="24"/>
        </w:rPr>
      </w:pPr>
      <w:r w:rsidRPr="00491BCA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E5A1C" w:rsidRPr="00491B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E445B" w:rsidRPr="00491BC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2E5A1C" w:rsidRPr="00491BCA">
        <w:rPr>
          <w:rFonts w:ascii="Times New Roman" w:hAnsi="Times New Roman" w:cs="Times New Roman"/>
          <w:sz w:val="24"/>
          <w:szCs w:val="24"/>
        </w:rPr>
        <w:t xml:space="preserve"> Map representing </w:t>
      </w:r>
      <w:r w:rsidR="00F05613" w:rsidRPr="00491BCA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="00F05613">
        <w:rPr>
          <w:rFonts w:ascii="Times New Roman" w:hAnsi="Times New Roman" w:cs="Times New Roman"/>
          <w:i/>
          <w:iCs/>
          <w:sz w:val="24"/>
          <w:szCs w:val="24"/>
        </w:rPr>
        <w:t>ryptobranchus</w:t>
      </w:r>
      <w:r w:rsidR="00F05613" w:rsidRPr="00491BCA">
        <w:rPr>
          <w:rFonts w:ascii="Times New Roman" w:hAnsi="Times New Roman" w:cs="Times New Roman"/>
          <w:i/>
          <w:iCs/>
          <w:sz w:val="24"/>
          <w:szCs w:val="24"/>
        </w:rPr>
        <w:t xml:space="preserve"> alleganiensis</w:t>
      </w:r>
      <w:r w:rsidR="002E5A1C" w:rsidRPr="00491BCA">
        <w:rPr>
          <w:rFonts w:ascii="Times New Roman" w:hAnsi="Times New Roman" w:cs="Times New Roman"/>
          <w:sz w:val="24"/>
          <w:szCs w:val="24"/>
        </w:rPr>
        <w:t xml:space="preserve"> population status at each site sampled in North Carolina and Tennessee along with the percent development for each HUC12 watershed</w:t>
      </w:r>
      <w:r w:rsidR="00F05613">
        <w:rPr>
          <w:rFonts w:ascii="Times New Roman" w:hAnsi="Times New Roman" w:cs="Times New Roman"/>
          <w:sz w:val="24"/>
          <w:szCs w:val="24"/>
        </w:rPr>
        <w:t>.</w:t>
      </w:r>
    </w:p>
    <w:p w14:paraId="7E594C12" w14:textId="77777777" w:rsidR="001215BD" w:rsidRDefault="001215BD" w:rsidP="001215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 xml:space="preserve">RE = Since 2000: 1) evidence of recruitment as demonstrated by a range of post-metamorphic juveniles and adults and no documentation of declines </w:t>
      </w:r>
    </w:p>
    <w:p w14:paraId="53364108" w14:textId="65C2D459" w:rsidR="001215BD" w:rsidRPr="00F57DB0" w:rsidRDefault="001215BD" w:rsidP="001215B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DE = Documented decline in abundance or recruitment (e.g., shift in size classes or biased sex ratio) as demonstrated by survey data</w:t>
      </w:r>
    </w:p>
    <w:p w14:paraId="6369B429" w14:textId="77777777" w:rsidR="001215BD" w:rsidRPr="00F57DB0" w:rsidRDefault="001215BD" w:rsidP="001215BD">
      <w:pPr>
        <w:pStyle w:val="CommentText"/>
        <w:spacing w:after="0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FE = Despite significant survey effort, few individuals in adult age classes found and no evidence of reproduction</w:t>
      </w:r>
    </w:p>
    <w:p w14:paraId="1A1E888E" w14:textId="77777777" w:rsidR="001215BD" w:rsidRDefault="001215BD" w:rsidP="001215BD">
      <w:pPr>
        <w:pStyle w:val="CommentText"/>
        <w:spacing w:after="0"/>
        <w:rPr>
          <w:rFonts w:ascii="Times New Roman" w:hAnsi="Times New Roman" w:cs="Times New Roman"/>
          <w:sz w:val="24"/>
          <w:szCs w:val="24"/>
        </w:rPr>
      </w:pPr>
      <w:r w:rsidRPr="00F57DB0">
        <w:rPr>
          <w:rFonts w:ascii="Times New Roman" w:hAnsi="Times New Roman" w:cs="Times New Roman"/>
          <w:sz w:val="24"/>
          <w:szCs w:val="24"/>
        </w:rPr>
        <w:t>EX = 1) Despite sufficient effort (multiple survey methods or survey events), only negative observations since 2000 or 2) no suitable habitat available (includes water quality)</w:t>
      </w:r>
    </w:p>
    <w:p w14:paraId="26D955A5" w14:textId="05499727" w:rsidR="001215BD" w:rsidRPr="001215BD" w:rsidRDefault="001215BD" w:rsidP="001215BD">
      <w:pPr>
        <w:pStyle w:val="CommentText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Reference: 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USFWS (2018) Eastern Hellbender (</w:t>
      </w:r>
      <w:r w:rsidRPr="00E57FF9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Cryptobranchus alleganiensis alleganiensis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E57F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Species Status Assessment Report</w:t>
      </w:r>
    </w:p>
    <w:p w14:paraId="488DEF78" w14:textId="77777777" w:rsidR="001215BD" w:rsidRPr="00491BCA" w:rsidRDefault="001215BD" w:rsidP="005F72F3">
      <w:pPr>
        <w:rPr>
          <w:rFonts w:ascii="Times New Roman" w:hAnsi="Times New Roman" w:cs="Times New Roman"/>
          <w:sz w:val="24"/>
          <w:szCs w:val="24"/>
        </w:rPr>
      </w:pPr>
    </w:p>
    <w:sectPr w:rsidR="001215BD" w:rsidRPr="00491B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00B821" w14:textId="77777777" w:rsidR="00317AD6" w:rsidRDefault="00317AD6" w:rsidP="005F72F3">
      <w:pPr>
        <w:spacing w:after="0" w:line="240" w:lineRule="auto"/>
      </w:pPr>
      <w:r>
        <w:separator/>
      </w:r>
    </w:p>
  </w:endnote>
  <w:endnote w:type="continuationSeparator" w:id="0">
    <w:p w14:paraId="5C995979" w14:textId="77777777" w:rsidR="00317AD6" w:rsidRDefault="00317AD6" w:rsidP="005F7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5AE2F7" w14:textId="77777777" w:rsidR="00317AD6" w:rsidRDefault="00317AD6" w:rsidP="005F72F3">
      <w:pPr>
        <w:spacing w:after="0" w:line="240" w:lineRule="auto"/>
      </w:pPr>
      <w:r>
        <w:separator/>
      </w:r>
    </w:p>
  </w:footnote>
  <w:footnote w:type="continuationSeparator" w:id="0">
    <w:p w14:paraId="20BF33AA" w14:textId="77777777" w:rsidR="00317AD6" w:rsidRDefault="00317AD6" w:rsidP="005F72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2F3"/>
    <w:rsid w:val="000802EC"/>
    <w:rsid w:val="001215BD"/>
    <w:rsid w:val="00176E77"/>
    <w:rsid w:val="00210A37"/>
    <w:rsid w:val="00230CA5"/>
    <w:rsid w:val="002E5A1C"/>
    <w:rsid w:val="00317AD6"/>
    <w:rsid w:val="00400C01"/>
    <w:rsid w:val="00491BCA"/>
    <w:rsid w:val="005F72F3"/>
    <w:rsid w:val="006E095A"/>
    <w:rsid w:val="006E445B"/>
    <w:rsid w:val="00735D8D"/>
    <w:rsid w:val="007739B1"/>
    <w:rsid w:val="008B37B3"/>
    <w:rsid w:val="009A0937"/>
    <w:rsid w:val="00B02220"/>
    <w:rsid w:val="00B9778D"/>
    <w:rsid w:val="00DD5891"/>
    <w:rsid w:val="00E509BC"/>
    <w:rsid w:val="00E81131"/>
    <w:rsid w:val="00F05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16F2A"/>
  <w15:chartTrackingRefBased/>
  <w15:docId w15:val="{77D75251-AEB5-4D29-888A-F7766ECC4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72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2F3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F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2F3"/>
  </w:style>
  <w:style w:type="paragraph" w:styleId="Footer">
    <w:name w:val="footer"/>
    <w:basedOn w:val="Normal"/>
    <w:link w:val="FooterChar"/>
    <w:uiPriority w:val="99"/>
    <w:unhideWhenUsed/>
    <w:rsid w:val="005F72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2F3"/>
  </w:style>
  <w:style w:type="character" w:styleId="CommentReference">
    <w:name w:val="annotation reference"/>
    <w:basedOn w:val="DefaultParagraphFont"/>
    <w:uiPriority w:val="99"/>
    <w:semiHidden/>
    <w:unhideWhenUsed/>
    <w:rsid w:val="008B37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37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37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37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37B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GomesDaSilvaNeto, Jeronimo - NRCS, Knoxville, TN</dc:creator>
  <cp:keywords/>
  <dc:description/>
  <cp:lastModifiedBy>GomesDaSilvaNeto, Jeronimo - NRCS, Knoxville, TN</cp:lastModifiedBy>
  <cp:revision>3</cp:revision>
  <dcterms:created xsi:type="dcterms:W3CDTF">2021-03-24T11:19:00Z</dcterms:created>
  <dcterms:modified xsi:type="dcterms:W3CDTF">2021-05-08T17:56:00Z</dcterms:modified>
</cp:coreProperties>
</file>