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C6967" w14:textId="62FFB29A" w:rsidR="006859F3" w:rsidRDefault="00EC7C29" w:rsidP="004E15AA">
      <w:pPr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S</w:t>
      </w:r>
      <w:r w:rsidR="00BE6295">
        <w:rPr>
          <w:b/>
          <w:bCs/>
          <w:lang w:val="en-US"/>
        </w:rPr>
        <w:t>upplementary information</w:t>
      </w:r>
      <w:r w:rsidR="008710D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for </w:t>
      </w:r>
      <w:r w:rsidR="008710D4">
        <w:rPr>
          <w:b/>
          <w:bCs/>
          <w:lang w:val="en-US"/>
        </w:rPr>
        <w:t xml:space="preserve">Joinpoint </w:t>
      </w:r>
      <w:r w:rsidR="00C80962">
        <w:rPr>
          <w:b/>
          <w:bCs/>
          <w:lang w:val="en-US"/>
        </w:rPr>
        <w:t>analysis</w:t>
      </w:r>
    </w:p>
    <w:p w14:paraId="7F0DE8D2" w14:textId="77777777" w:rsidR="00D5579B" w:rsidRDefault="00D5579B" w:rsidP="00D5579B">
      <w:pPr>
        <w:rPr>
          <w:b/>
          <w:bCs/>
          <w:sz w:val="18"/>
          <w:szCs w:val="18"/>
          <w:lang w:val="en-US"/>
        </w:rPr>
      </w:pPr>
    </w:p>
    <w:p w14:paraId="330B0AEE" w14:textId="3BB39FCA" w:rsidR="00D5579B" w:rsidRPr="004E15AA" w:rsidRDefault="00D5579B" w:rsidP="00D5579B">
      <w:pPr>
        <w:rPr>
          <w:b/>
          <w:bCs/>
          <w:sz w:val="24"/>
          <w:szCs w:val="24"/>
          <w:u w:val="single"/>
          <w:lang w:val="en-US"/>
        </w:rPr>
      </w:pPr>
      <w:r w:rsidRPr="004E15AA">
        <w:rPr>
          <w:b/>
          <w:bCs/>
          <w:sz w:val="24"/>
          <w:szCs w:val="24"/>
          <w:u w:val="single"/>
          <w:lang w:val="en-US"/>
        </w:rPr>
        <w:t>Figure 1</w:t>
      </w:r>
    </w:p>
    <w:p w14:paraId="49AF2C38" w14:textId="5847972F" w:rsidR="00D5579B" w:rsidRPr="00C75DA1" w:rsidRDefault="00D5579B" w:rsidP="00D5579B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Supplementary </w:t>
      </w:r>
      <w:r w:rsidRPr="00C75DA1">
        <w:rPr>
          <w:b/>
          <w:bCs/>
          <w:sz w:val="18"/>
          <w:szCs w:val="18"/>
          <w:lang w:val="en-US"/>
        </w:rPr>
        <w:t xml:space="preserve">Table </w:t>
      </w:r>
      <w:r>
        <w:rPr>
          <w:b/>
          <w:bCs/>
          <w:sz w:val="18"/>
          <w:szCs w:val="18"/>
          <w:lang w:val="en-US"/>
        </w:rPr>
        <w:t>1.1</w:t>
      </w:r>
      <w:r w:rsidRPr="00C75DA1">
        <w:rPr>
          <w:b/>
          <w:bCs/>
          <w:sz w:val="18"/>
          <w:szCs w:val="18"/>
          <w:lang w:val="en-US"/>
        </w:rPr>
        <w:t>: Joinpoint analys</w:t>
      </w:r>
      <w:r>
        <w:rPr>
          <w:b/>
          <w:bCs/>
          <w:sz w:val="18"/>
          <w:szCs w:val="18"/>
          <w:lang w:val="en-US"/>
        </w:rPr>
        <w:t xml:space="preserve">is, </w:t>
      </w:r>
      <w:r w:rsidR="003F49E7">
        <w:rPr>
          <w:b/>
          <w:bCs/>
          <w:sz w:val="18"/>
          <w:szCs w:val="18"/>
          <w:lang w:val="en-US"/>
        </w:rPr>
        <w:t xml:space="preserve">percent of </w:t>
      </w:r>
      <w:r w:rsidR="00BE7400">
        <w:rPr>
          <w:b/>
          <w:bCs/>
          <w:sz w:val="18"/>
          <w:szCs w:val="18"/>
          <w:lang w:val="en-US"/>
        </w:rPr>
        <w:t xml:space="preserve">inhaler prescriptions for </w:t>
      </w:r>
      <w:r>
        <w:rPr>
          <w:b/>
          <w:bCs/>
          <w:sz w:val="18"/>
          <w:szCs w:val="18"/>
          <w:lang w:val="en-US"/>
        </w:rPr>
        <w:t>low GWP inhalers</w:t>
      </w:r>
    </w:p>
    <w:tbl>
      <w:tblPr>
        <w:tblStyle w:val="TableGrid"/>
        <w:tblW w:w="49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850"/>
        <w:gridCol w:w="853"/>
        <w:gridCol w:w="853"/>
        <w:gridCol w:w="710"/>
        <w:gridCol w:w="569"/>
        <w:gridCol w:w="1274"/>
        <w:gridCol w:w="569"/>
        <w:gridCol w:w="237"/>
        <w:gridCol w:w="748"/>
        <w:gridCol w:w="517"/>
        <w:gridCol w:w="1161"/>
        <w:gridCol w:w="743"/>
        <w:gridCol w:w="237"/>
        <w:gridCol w:w="756"/>
        <w:gridCol w:w="710"/>
        <w:gridCol w:w="1279"/>
        <w:gridCol w:w="701"/>
      </w:tblGrid>
      <w:tr w:rsidR="00F722CB" w:rsidRPr="00C75DA1" w14:paraId="747E04B5" w14:textId="6C791945" w:rsidTr="003B3483">
        <w:tc>
          <w:tcPr>
            <w:tcW w:w="359" w:type="pct"/>
          </w:tcPr>
          <w:p w14:paraId="60403F6D" w14:textId="77777777" w:rsidR="00F722CB" w:rsidRPr="00C75DA1" w:rsidRDefault="00F722CB" w:rsidP="000F58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8" w:type="pct"/>
            <w:gridSpan w:val="3"/>
            <w:vMerge w:val="restart"/>
          </w:tcPr>
          <w:p w14:paraId="1BCE25B2" w14:textId="41F8849F" w:rsidR="00F722CB" w:rsidRPr="00C75DA1" w:rsidRDefault="00F722CB" w:rsidP="000F5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Low GWP inhalers </w:t>
            </w:r>
            <w:r>
              <w:rPr>
                <w:sz w:val="20"/>
                <w:szCs w:val="20"/>
                <w:lang w:val="en-US"/>
              </w:rPr>
              <w:br/>
              <w:t>(period %)</w:t>
            </w:r>
          </w:p>
        </w:tc>
        <w:tc>
          <w:tcPr>
            <w:tcW w:w="3713" w:type="pct"/>
            <w:gridSpan w:val="14"/>
            <w:tcBorders>
              <w:bottom w:val="single" w:sz="4" w:space="0" w:color="auto"/>
            </w:tcBorders>
          </w:tcPr>
          <w:p w14:paraId="7CCB5689" w14:textId="54BC87E0" w:rsidR="00F722CB" w:rsidRPr="00C75DA1" w:rsidRDefault="00F722CB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Joinpoint analyses (</w:t>
            </w:r>
            <w:r>
              <w:rPr>
                <w:sz w:val="20"/>
                <w:szCs w:val="20"/>
                <w:lang w:val="en-US"/>
              </w:rPr>
              <w:t xml:space="preserve">Apr18 </w:t>
            </w:r>
            <w:r w:rsidRPr="00C75DA1"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Jun</w:t>
            </w:r>
            <w:r w:rsidRPr="00C75DA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C75DA1">
              <w:rPr>
                <w:sz w:val="20"/>
                <w:szCs w:val="20"/>
                <w:lang w:val="en-US"/>
              </w:rPr>
              <w:t>)</w:t>
            </w:r>
          </w:p>
        </w:tc>
      </w:tr>
      <w:tr w:rsidR="003B3483" w:rsidRPr="00C75DA1" w14:paraId="37CA4582" w14:textId="7EB62D84" w:rsidTr="003B3483">
        <w:tc>
          <w:tcPr>
            <w:tcW w:w="359" w:type="pct"/>
          </w:tcPr>
          <w:p w14:paraId="21879BE7" w14:textId="77777777" w:rsidR="007173E0" w:rsidRPr="00C75DA1" w:rsidRDefault="007173E0" w:rsidP="000F58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8" w:type="pct"/>
            <w:gridSpan w:val="3"/>
            <w:vMerge/>
            <w:tcMar>
              <w:left w:w="28" w:type="dxa"/>
              <w:right w:w="57" w:type="dxa"/>
            </w:tcMar>
          </w:tcPr>
          <w:p w14:paraId="6A74A20A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926C5" w14:textId="0DC5F050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Trend 1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4993C7F6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pct"/>
            <w:gridSpan w:val="4"/>
            <w:tcBorders>
              <w:top w:val="single" w:sz="4" w:space="0" w:color="auto"/>
            </w:tcBorders>
            <w:vAlign w:val="center"/>
          </w:tcPr>
          <w:p w14:paraId="3F066646" w14:textId="32E3006B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Trend 2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4DE92349" w14:textId="77777777" w:rsidR="007173E0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FD183E" w14:textId="7BC84AC3" w:rsidR="007173E0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Overall</w:t>
            </w:r>
          </w:p>
        </w:tc>
      </w:tr>
      <w:tr w:rsidR="00F722CB" w:rsidRPr="00C75DA1" w14:paraId="7F92A22E" w14:textId="2984D941" w:rsidTr="003B3483">
        <w:tc>
          <w:tcPr>
            <w:tcW w:w="359" w:type="pct"/>
            <w:tcBorders>
              <w:bottom w:val="single" w:sz="4" w:space="0" w:color="auto"/>
            </w:tcBorders>
            <w:vAlign w:val="bottom"/>
          </w:tcPr>
          <w:p w14:paraId="65D95D12" w14:textId="77777777" w:rsidR="007173E0" w:rsidRPr="00C75DA1" w:rsidRDefault="007173E0" w:rsidP="000F58D7">
            <w:pPr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5ED47B5D" w14:textId="5E35A49F" w:rsidR="007173E0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Apr18 to Jun18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88D9A58" w14:textId="155AF02D" w:rsidR="007173E0" w:rsidRPr="006A464A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Apr24 to Jun24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0B66E99B" w14:textId="7604A57E" w:rsidR="007173E0" w:rsidRPr="006A464A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061C854D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0F3291F9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2216BD5F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5D6BBD07" w14:textId="75167F27" w:rsidR="007173E0" w:rsidRPr="00C75DA1" w:rsidRDefault="007173E0" w:rsidP="004167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2A3F76CE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093F9561" w14:textId="5835FD33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675269ED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5FB69212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14:paraId="7A0EA8BB" w14:textId="00444BCB" w:rsidR="007173E0" w:rsidRPr="00C75DA1" w:rsidRDefault="007173E0" w:rsidP="004167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50CDAA78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F6C193A" w14:textId="1FFD3B03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1109353" w14:textId="768D3A0F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43F0950B" w14:textId="77777777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</w:tcPr>
          <w:p w14:paraId="688F5B71" w14:textId="0D067383" w:rsidR="007173E0" w:rsidRPr="00C75DA1" w:rsidRDefault="007173E0" w:rsidP="000F58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</w:tr>
      <w:tr w:rsidR="00F722CB" w:rsidRPr="00C75DA1" w14:paraId="07535E7C" w14:textId="54A5DBD6" w:rsidTr="003B3483">
        <w:tc>
          <w:tcPr>
            <w:tcW w:w="359" w:type="pct"/>
            <w:tcBorders>
              <w:top w:val="single" w:sz="4" w:space="0" w:color="auto"/>
            </w:tcBorders>
          </w:tcPr>
          <w:p w14:paraId="3764C116" w14:textId="77777777" w:rsidR="007173E0" w:rsidRPr="009E7373" w:rsidRDefault="007173E0" w:rsidP="007E3CB3">
            <w:pPr>
              <w:rPr>
                <w:sz w:val="20"/>
                <w:szCs w:val="20"/>
                <w:lang w:val="en-US"/>
              </w:rPr>
            </w:pPr>
            <w:r w:rsidRPr="009E7373">
              <w:rPr>
                <w:sz w:val="20"/>
                <w:szCs w:val="20"/>
                <w:lang w:val="en-US"/>
              </w:rPr>
              <w:t>England</w:t>
            </w:r>
          </w:p>
        </w:tc>
        <w:tc>
          <w:tcPr>
            <w:tcW w:w="309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2F5044EE" w14:textId="6D71F302" w:rsidR="007173E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31.01</w:t>
            </w:r>
          </w:p>
        </w:tc>
        <w:tc>
          <w:tcPr>
            <w:tcW w:w="310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3571336E" w14:textId="5DCD8A86" w:rsidR="007173E0" w:rsidRPr="00EC59BE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30.81</w:t>
            </w:r>
          </w:p>
        </w:tc>
        <w:tc>
          <w:tcPr>
            <w:tcW w:w="310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52CEDC0D" w14:textId="7873EF19" w:rsidR="007173E0" w:rsidRPr="00870BF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-0.20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64DCB770" w14:textId="47557565" w:rsidR="007173E0" w:rsidRPr="00870BF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Apr18 -</w:t>
            </w:r>
            <w:r w:rsidRPr="00D8165E">
              <w:rPr>
                <w:sz w:val="20"/>
                <w:szCs w:val="20"/>
                <w:lang w:val="en-US"/>
              </w:rPr>
              <w:br/>
              <w:t xml:space="preserve">  </w:t>
            </w:r>
            <w:r>
              <w:rPr>
                <w:sz w:val="20"/>
                <w:szCs w:val="20"/>
                <w:lang w:val="en-US"/>
              </w:rPr>
              <w:t>Dec21</w:t>
            </w: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02761FEE" w14:textId="5EC5DB36" w:rsidR="007173E0" w:rsidRPr="00870BF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-0.2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</w:tcBorders>
            <w:tcMar>
              <w:left w:w="28" w:type="dxa"/>
              <w:right w:w="113" w:type="dxa"/>
            </w:tcMar>
          </w:tcPr>
          <w:p w14:paraId="5FC57ACE" w14:textId="77777777" w:rsidR="007173E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-0.4</w:t>
            </w:r>
            <w:r>
              <w:rPr>
                <w:sz w:val="20"/>
                <w:szCs w:val="20"/>
                <w:lang w:val="en-US"/>
              </w:rPr>
              <w:t>2</w:t>
            </w:r>
            <w:r w:rsidRPr="00D8165E">
              <w:rPr>
                <w:sz w:val="20"/>
                <w:szCs w:val="20"/>
                <w:lang w:val="en-US"/>
              </w:rPr>
              <w:t xml:space="preserve"> to -0.13</w:t>
            </w:r>
          </w:p>
          <w:p w14:paraId="08B39195" w14:textId="0833E00E" w:rsidR="007173E0" w:rsidRPr="00870BF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6BE4A35F" w14:textId="195AC48A" w:rsidR="007173E0" w:rsidRPr="00870BF0" w:rsidRDefault="007173E0" w:rsidP="007E3C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60DBD274" w14:textId="77777777" w:rsidR="007173E0" w:rsidRPr="00D8165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3D5C64B8" w14:textId="740E3A34" w:rsidR="007173E0" w:rsidRPr="00870BF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Dec21 -</w:t>
            </w:r>
            <w:r w:rsidRPr="00D8165E">
              <w:rPr>
                <w:sz w:val="20"/>
                <w:szCs w:val="20"/>
                <w:lang w:val="en-US"/>
              </w:rPr>
              <w:br/>
              <w:t xml:space="preserve">  </w:t>
            </w:r>
            <w:r>
              <w:rPr>
                <w:sz w:val="20"/>
                <w:szCs w:val="20"/>
                <w:lang w:val="en-US"/>
              </w:rPr>
              <w:t>Ju</w:t>
            </w:r>
            <w:r w:rsidRPr="00D8165E">
              <w:rPr>
                <w:sz w:val="20"/>
                <w:szCs w:val="20"/>
                <w:lang w:val="en-US"/>
              </w:rPr>
              <w:t>n24</w:t>
            </w:r>
          </w:p>
        </w:tc>
        <w:tc>
          <w:tcPr>
            <w:tcW w:w="188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1C90C315" w14:textId="458349C4" w:rsidR="007173E0" w:rsidRPr="00870BF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0.4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left w:w="28" w:type="dxa"/>
              <w:right w:w="113" w:type="dxa"/>
            </w:tcMar>
          </w:tcPr>
          <w:p w14:paraId="7898C71B" w14:textId="3FFFE052" w:rsidR="007173E0" w:rsidRPr="00870BF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en-US"/>
              </w:rPr>
              <w:t>23</w:t>
            </w:r>
            <w:r w:rsidRPr="00D8165E">
              <w:rPr>
                <w:sz w:val="20"/>
                <w:szCs w:val="20"/>
                <w:lang w:val="en-US"/>
              </w:rPr>
              <w:t xml:space="preserve"> to </w:t>
            </w:r>
            <w:r>
              <w:rPr>
                <w:sz w:val="20"/>
                <w:szCs w:val="20"/>
                <w:lang w:val="en-US"/>
              </w:rPr>
              <w:t>0.86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14:paraId="181B45C8" w14:textId="3C7A9E78" w:rsidR="007173E0" w:rsidRPr="00EC59BE" w:rsidRDefault="007173E0" w:rsidP="007E3CB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7052A7"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1B437907" w14:textId="77777777" w:rsidR="007173E0" w:rsidRPr="00D8165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6950BD94" w14:textId="31B8D801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Apr18 -</w:t>
            </w:r>
            <w:r w:rsidRPr="00D8165E">
              <w:rPr>
                <w:sz w:val="20"/>
                <w:szCs w:val="20"/>
                <w:lang w:val="en-US"/>
              </w:rPr>
              <w:br/>
              <w:t xml:space="preserve">  J</w:t>
            </w:r>
            <w:r>
              <w:rPr>
                <w:sz w:val="20"/>
                <w:szCs w:val="20"/>
                <w:lang w:val="en-US"/>
              </w:rPr>
              <w:t>u</w:t>
            </w:r>
            <w:r w:rsidRPr="00D8165E">
              <w:rPr>
                <w:sz w:val="20"/>
                <w:szCs w:val="20"/>
                <w:lang w:val="en-US"/>
              </w:rPr>
              <w:t>n24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5985D23F" w14:textId="456659B2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0.02</w:t>
            </w:r>
          </w:p>
        </w:tc>
        <w:tc>
          <w:tcPr>
            <w:tcW w:w="46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DDFA1E9" w14:textId="12780CC0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-0.04 to 0.08</w:t>
            </w:r>
          </w:p>
        </w:tc>
        <w:tc>
          <w:tcPr>
            <w:tcW w:w="258" w:type="pct"/>
            <w:tcBorders>
              <w:top w:val="single" w:sz="4" w:space="0" w:color="auto"/>
            </w:tcBorders>
          </w:tcPr>
          <w:p w14:paraId="79EF8CA3" w14:textId="4328BDCF" w:rsidR="007173E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0.42</w:t>
            </w:r>
          </w:p>
        </w:tc>
      </w:tr>
      <w:tr w:rsidR="00F722CB" w:rsidRPr="00C75DA1" w14:paraId="19060D20" w14:textId="6F486952" w:rsidTr="003B3483">
        <w:tc>
          <w:tcPr>
            <w:tcW w:w="359" w:type="pct"/>
          </w:tcPr>
          <w:p w14:paraId="245C71D2" w14:textId="77777777" w:rsidR="007173E0" w:rsidRPr="00A25EFE" w:rsidRDefault="007173E0" w:rsidP="007E3CB3">
            <w:pPr>
              <w:rPr>
                <w:sz w:val="20"/>
                <w:szCs w:val="20"/>
                <w:lang w:val="en-US"/>
              </w:rPr>
            </w:pPr>
            <w:r w:rsidRPr="00A25EFE">
              <w:rPr>
                <w:sz w:val="20"/>
                <w:szCs w:val="20"/>
                <w:lang w:val="en-US"/>
              </w:rPr>
              <w:t>Wales</w:t>
            </w:r>
          </w:p>
        </w:tc>
        <w:tc>
          <w:tcPr>
            <w:tcW w:w="309" w:type="pct"/>
            <w:tcMar>
              <w:left w:w="28" w:type="dxa"/>
              <w:right w:w="142" w:type="dxa"/>
            </w:tcMar>
          </w:tcPr>
          <w:p w14:paraId="098756AA" w14:textId="41351B17" w:rsidR="007173E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30.81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28147547" w14:textId="10E6F472" w:rsidR="007173E0" w:rsidRPr="00EC59BE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41.07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33E3DD24" w14:textId="1613B7FE" w:rsidR="007173E0" w:rsidRPr="005D2F1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10.26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47A77855" w14:textId="0F0B4FDA" w:rsidR="007173E0" w:rsidRPr="005D2F1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BD19FE">
              <w:rPr>
                <w:sz w:val="20"/>
                <w:szCs w:val="20"/>
                <w:lang w:val="en-US"/>
              </w:rPr>
              <w:t>Apr18 -</w:t>
            </w:r>
            <w:r w:rsidRPr="00BD19FE">
              <w:rPr>
                <w:sz w:val="20"/>
                <w:szCs w:val="20"/>
                <w:lang w:val="en-US"/>
              </w:rPr>
              <w:br/>
              <w:t xml:space="preserve"> Mar22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7EC02EF0" w14:textId="40361817" w:rsidR="007173E0" w:rsidRPr="005D2F1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-0.16</w:t>
            </w:r>
          </w:p>
        </w:tc>
        <w:tc>
          <w:tcPr>
            <w:tcW w:w="463" w:type="pct"/>
            <w:tcMar>
              <w:left w:w="28" w:type="dxa"/>
              <w:right w:w="113" w:type="dxa"/>
            </w:tcMar>
          </w:tcPr>
          <w:p w14:paraId="2DD5BA21" w14:textId="254DAB2F" w:rsidR="007173E0" w:rsidRPr="005D2F10" w:rsidRDefault="007173E0" w:rsidP="00B2007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-0.25 to -0.09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7B525116" w14:textId="37999150" w:rsidR="007173E0" w:rsidRPr="005D2F10" w:rsidRDefault="007173E0" w:rsidP="007E3C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</w:tcPr>
          <w:p w14:paraId="601AEEF5" w14:textId="77777777" w:rsidR="007173E0" w:rsidRPr="00BD19F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Mar>
              <w:left w:w="28" w:type="dxa"/>
              <w:right w:w="57" w:type="dxa"/>
            </w:tcMar>
          </w:tcPr>
          <w:p w14:paraId="1FFDB5AD" w14:textId="4417CCDC" w:rsidR="007173E0" w:rsidRPr="005D2F1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BD19FE">
              <w:rPr>
                <w:sz w:val="20"/>
                <w:szCs w:val="20"/>
                <w:lang w:val="en-US"/>
              </w:rPr>
              <w:t>Mar22 -</w:t>
            </w:r>
            <w:r w:rsidRPr="00BD19FE">
              <w:rPr>
                <w:sz w:val="20"/>
                <w:szCs w:val="20"/>
                <w:lang w:val="en-US"/>
              </w:rPr>
              <w:br/>
              <w:t xml:space="preserve">  J</w:t>
            </w:r>
            <w:r>
              <w:rPr>
                <w:sz w:val="20"/>
                <w:szCs w:val="20"/>
                <w:lang w:val="en-US"/>
              </w:rPr>
              <w:t>u</w:t>
            </w:r>
            <w:r w:rsidRPr="00BD19FE">
              <w:rPr>
                <w:sz w:val="20"/>
                <w:szCs w:val="20"/>
                <w:lang w:val="en-US"/>
              </w:rPr>
              <w:t>n24</w:t>
            </w:r>
          </w:p>
        </w:tc>
        <w:tc>
          <w:tcPr>
            <w:tcW w:w="188" w:type="pct"/>
            <w:tcMar>
              <w:left w:w="28" w:type="dxa"/>
              <w:right w:w="57" w:type="dxa"/>
            </w:tcMar>
          </w:tcPr>
          <w:p w14:paraId="632F6AEA" w14:textId="2B888254" w:rsidR="007173E0" w:rsidRPr="005D2F1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1.11</w:t>
            </w:r>
          </w:p>
        </w:tc>
        <w:tc>
          <w:tcPr>
            <w:tcW w:w="422" w:type="pct"/>
            <w:tcMar>
              <w:left w:w="28" w:type="dxa"/>
              <w:right w:w="113" w:type="dxa"/>
            </w:tcMar>
          </w:tcPr>
          <w:p w14:paraId="2D256E46" w14:textId="5472D258" w:rsidR="007173E0" w:rsidRPr="005D2F1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0.93 to 1.35</w:t>
            </w:r>
          </w:p>
        </w:tc>
        <w:tc>
          <w:tcPr>
            <w:tcW w:w="270" w:type="pct"/>
          </w:tcPr>
          <w:p w14:paraId="1004300D" w14:textId="041C4046" w:rsidR="007173E0" w:rsidRPr="00EC59BE" w:rsidRDefault="007173E0" w:rsidP="007E3CB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B6EC2"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</w:tcPr>
          <w:p w14:paraId="512F9E49" w14:textId="77777777" w:rsidR="007173E0" w:rsidRPr="00D8165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Mar>
              <w:left w:w="28" w:type="dxa"/>
              <w:right w:w="57" w:type="dxa"/>
            </w:tcMar>
          </w:tcPr>
          <w:p w14:paraId="0BB4142E" w14:textId="3B8AA6D9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Apr18 -</w:t>
            </w:r>
            <w:r w:rsidRPr="00D8165E">
              <w:rPr>
                <w:sz w:val="20"/>
                <w:szCs w:val="20"/>
                <w:lang w:val="en-US"/>
              </w:rPr>
              <w:br/>
              <w:t xml:space="preserve">  J</w:t>
            </w:r>
            <w:r>
              <w:rPr>
                <w:sz w:val="20"/>
                <w:szCs w:val="20"/>
                <w:lang w:val="en-US"/>
              </w:rPr>
              <w:t>u</w:t>
            </w:r>
            <w:r w:rsidRPr="00D8165E">
              <w:rPr>
                <w:sz w:val="20"/>
                <w:szCs w:val="20"/>
                <w:lang w:val="en-US"/>
              </w:rPr>
              <w:t>n24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1676D7B2" w14:textId="3792F504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0.30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14:paraId="683D76DE" w14:textId="38F5C8C2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0.25 to 0.34</w:t>
            </w:r>
          </w:p>
        </w:tc>
        <w:tc>
          <w:tcPr>
            <w:tcW w:w="258" w:type="pct"/>
          </w:tcPr>
          <w:p w14:paraId="47FD5F08" w14:textId="727B068E" w:rsidR="007173E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</w:tr>
      <w:tr w:rsidR="00F722CB" w:rsidRPr="00C75DA1" w14:paraId="2C06EC1A" w14:textId="3E3EEF27" w:rsidTr="003B3483">
        <w:tc>
          <w:tcPr>
            <w:tcW w:w="359" w:type="pct"/>
          </w:tcPr>
          <w:p w14:paraId="18323C60" w14:textId="77777777" w:rsidR="007173E0" w:rsidRPr="00982937" w:rsidRDefault="007173E0" w:rsidP="007E3CB3">
            <w:pPr>
              <w:rPr>
                <w:sz w:val="20"/>
                <w:szCs w:val="20"/>
                <w:lang w:val="en-US"/>
              </w:rPr>
            </w:pPr>
            <w:r w:rsidRPr="00982937">
              <w:rPr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309" w:type="pct"/>
            <w:tcMar>
              <w:left w:w="28" w:type="dxa"/>
              <w:right w:w="142" w:type="dxa"/>
            </w:tcMar>
          </w:tcPr>
          <w:p w14:paraId="5A42E7BF" w14:textId="763E908F" w:rsidR="007173E0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36.57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53C15F0E" w14:textId="51DC3377" w:rsidR="007173E0" w:rsidRPr="00EC59BE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31.02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3C687FAB" w14:textId="361AD5CA" w:rsidR="007173E0" w:rsidRPr="00F306F3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-5.55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0FF685F6" w14:textId="41C67B41" w:rsidR="007173E0" w:rsidRPr="00EC59BE" w:rsidRDefault="007173E0" w:rsidP="007E3CB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E6252">
              <w:rPr>
                <w:sz w:val="20"/>
                <w:szCs w:val="20"/>
                <w:lang w:val="en-US"/>
              </w:rPr>
              <w:t>Apr18 -</w:t>
            </w:r>
            <w:r w:rsidRPr="007E6252">
              <w:rPr>
                <w:sz w:val="20"/>
                <w:szCs w:val="20"/>
                <w:lang w:val="en-US"/>
              </w:rPr>
              <w:br/>
              <w:t xml:space="preserve">  Dec22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7F7DE2BD" w14:textId="36B7741F" w:rsidR="007173E0" w:rsidRPr="00A37FE5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-0.32</w:t>
            </w:r>
          </w:p>
        </w:tc>
        <w:tc>
          <w:tcPr>
            <w:tcW w:w="463" w:type="pct"/>
            <w:tcMar>
              <w:left w:w="28" w:type="dxa"/>
              <w:right w:w="113" w:type="dxa"/>
            </w:tcMar>
          </w:tcPr>
          <w:p w14:paraId="1B706B97" w14:textId="21C820ED" w:rsidR="007173E0" w:rsidRPr="00A37FE5" w:rsidRDefault="007173E0" w:rsidP="007E3CB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-0.57 to -0.23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42DC4E4E" w14:textId="29E8FE2C" w:rsidR="007173E0" w:rsidRPr="0004643B" w:rsidRDefault="007173E0" w:rsidP="007E3CB3">
            <w:pPr>
              <w:rPr>
                <w:sz w:val="20"/>
                <w:szCs w:val="20"/>
                <w:lang w:val="en-US"/>
              </w:rPr>
            </w:pPr>
            <w:r w:rsidRPr="0004643B">
              <w:rPr>
                <w:sz w:val="20"/>
                <w:szCs w:val="20"/>
                <w:lang w:val="en-US"/>
              </w:rPr>
              <w:t>0.04</w:t>
            </w:r>
          </w:p>
        </w:tc>
        <w:tc>
          <w:tcPr>
            <w:tcW w:w="86" w:type="pct"/>
          </w:tcPr>
          <w:p w14:paraId="37E755CD" w14:textId="77777777" w:rsidR="007173E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Mar>
              <w:left w:w="28" w:type="dxa"/>
              <w:right w:w="57" w:type="dxa"/>
            </w:tcMar>
          </w:tcPr>
          <w:p w14:paraId="18B4E6FF" w14:textId="10F23BA8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Dec</w:t>
            </w:r>
            <w:r w:rsidRPr="00BD19FE">
              <w:rPr>
                <w:sz w:val="20"/>
                <w:szCs w:val="20"/>
                <w:lang w:val="en-US"/>
              </w:rPr>
              <w:t>22 -</w:t>
            </w:r>
            <w:r w:rsidRPr="00BD19FE">
              <w:rPr>
                <w:sz w:val="20"/>
                <w:szCs w:val="20"/>
                <w:lang w:val="en-US"/>
              </w:rPr>
              <w:br/>
              <w:t xml:space="preserve">  Jan24</w:t>
            </w:r>
          </w:p>
        </w:tc>
        <w:tc>
          <w:tcPr>
            <w:tcW w:w="188" w:type="pct"/>
            <w:tcMar>
              <w:left w:w="28" w:type="dxa"/>
              <w:right w:w="57" w:type="dxa"/>
            </w:tcMar>
          </w:tcPr>
          <w:p w14:paraId="6F0E8440" w14:textId="00578DFC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0.09</w:t>
            </w:r>
          </w:p>
        </w:tc>
        <w:tc>
          <w:tcPr>
            <w:tcW w:w="422" w:type="pct"/>
            <w:tcMar>
              <w:left w:w="57" w:type="dxa"/>
              <w:right w:w="57" w:type="dxa"/>
            </w:tcMar>
          </w:tcPr>
          <w:p w14:paraId="1AF46D42" w14:textId="3A1C04AB" w:rsidR="007173E0" w:rsidRPr="00D60342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60342">
              <w:rPr>
                <w:sz w:val="20"/>
                <w:szCs w:val="20"/>
                <w:lang w:val="en-US"/>
              </w:rPr>
              <w:t>-0.27 to 2.44</w:t>
            </w:r>
          </w:p>
        </w:tc>
        <w:tc>
          <w:tcPr>
            <w:tcW w:w="270" w:type="pct"/>
          </w:tcPr>
          <w:p w14:paraId="2E1046EF" w14:textId="63B73517" w:rsidR="007173E0" w:rsidRPr="00D60342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60342">
              <w:rPr>
                <w:sz w:val="20"/>
                <w:szCs w:val="20"/>
                <w:lang w:val="en-US"/>
              </w:rPr>
              <w:t>0.47</w:t>
            </w:r>
          </w:p>
        </w:tc>
        <w:tc>
          <w:tcPr>
            <w:tcW w:w="86" w:type="pct"/>
          </w:tcPr>
          <w:p w14:paraId="2997F446" w14:textId="77777777" w:rsidR="007173E0" w:rsidRPr="00D8165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Mar>
              <w:left w:w="28" w:type="dxa"/>
              <w:right w:w="57" w:type="dxa"/>
            </w:tcMar>
          </w:tcPr>
          <w:p w14:paraId="417DFD04" w14:textId="1389D408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Apr18 -</w:t>
            </w:r>
            <w:r w:rsidRPr="00D8165E">
              <w:rPr>
                <w:sz w:val="20"/>
                <w:szCs w:val="20"/>
                <w:lang w:val="en-US"/>
              </w:rPr>
              <w:br/>
              <w:t xml:space="preserve">  Jan24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19605327" w14:textId="69BDA6DB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-0.22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14:paraId="1F62CAB3" w14:textId="25AAA01C" w:rsidR="007173E0" w:rsidRPr="00EC59BE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-0.31 to -0.15</w:t>
            </w:r>
          </w:p>
        </w:tc>
        <w:tc>
          <w:tcPr>
            <w:tcW w:w="258" w:type="pct"/>
          </w:tcPr>
          <w:p w14:paraId="0F698CF4" w14:textId="054ED6DD" w:rsidR="007173E0" w:rsidRDefault="007173E0" w:rsidP="007E3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</w:tr>
      <w:tr w:rsidR="00F722CB" w:rsidRPr="00C75DA1" w14:paraId="34F5B421" w14:textId="29659A22" w:rsidTr="003B3483">
        <w:tc>
          <w:tcPr>
            <w:tcW w:w="359" w:type="pct"/>
          </w:tcPr>
          <w:p w14:paraId="209C6854" w14:textId="77777777" w:rsidR="007173E0" w:rsidRPr="00AB11D5" w:rsidRDefault="007173E0" w:rsidP="00A03525">
            <w:pPr>
              <w:rPr>
                <w:sz w:val="20"/>
                <w:szCs w:val="20"/>
                <w:lang w:val="en-US"/>
              </w:rPr>
            </w:pPr>
            <w:r w:rsidRPr="00AB11D5">
              <w:rPr>
                <w:sz w:val="20"/>
                <w:szCs w:val="20"/>
                <w:lang w:val="en-US"/>
              </w:rPr>
              <w:t>Northern Ireland</w:t>
            </w:r>
          </w:p>
        </w:tc>
        <w:tc>
          <w:tcPr>
            <w:tcW w:w="309" w:type="pct"/>
            <w:tcMar>
              <w:left w:w="28" w:type="dxa"/>
              <w:right w:w="142" w:type="dxa"/>
            </w:tcMar>
          </w:tcPr>
          <w:p w14:paraId="2B5B31EA" w14:textId="7F8233E7" w:rsidR="007173E0" w:rsidRDefault="007173E0" w:rsidP="00A0352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36.73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649697DA" w14:textId="6E8D73A5" w:rsidR="007173E0" w:rsidRPr="00EC59BE" w:rsidRDefault="007173E0" w:rsidP="00A0352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33.20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004C68BB" w14:textId="507400F8" w:rsidR="007173E0" w:rsidRPr="00F306F3" w:rsidRDefault="007173E0" w:rsidP="00A0352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-3.53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0E5A7BF1" w14:textId="2A55FC90" w:rsidR="007173E0" w:rsidRPr="00EC59BE" w:rsidRDefault="007173E0" w:rsidP="00A0352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3609C">
              <w:rPr>
                <w:sz w:val="20"/>
                <w:szCs w:val="20"/>
                <w:lang w:val="en-US"/>
              </w:rPr>
              <w:t>Apr18 -</w:t>
            </w:r>
            <w:r w:rsidRPr="0073609C">
              <w:rPr>
                <w:sz w:val="20"/>
                <w:szCs w:val="20"/>
                <w:lang w:val="en-US"/>
              </w:rPr>
              <w:br/>
              <w:t xml:space="preserve">  Ju</w:t>
            </w:r>
            <w:r>
              <w:rPr>
                <w:sz w:val="20"/>
                <w:szCs w:val="20"/>
                <w:lang w:val="en-US"/>
              </w:rPr>
              <w:t>n</w:t>
            </w:r>
            <w:r w:rsidRPr="0073609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40519442" w14:textId="6FF357EF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-0.16</w:t>
            </w:r>
          </w:p>
        </w:tc>
        <w:tc>
          <w:tcPr>
            <w:tcW w:w="463" w:type="pct"/>
            <w:tcMar>
              <w:left w:w="28" w:type="dxa"/>
              <w:right w:w="113" w:type="dxa"/>
            </w:tcMar>
          </w:tcPr>
          <w:p w14:paraId="14B189AB" w14:textId="6E886B4A" w:rsidR="007173E0" w:rsidRPr="00B81817" w:rsidRDefault="007173E0" w:rsidP="00A0352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-0.23 to -0.09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79FB1B11" w14:textId="2383939E" w:rsidR="007173E0" w:rsidRPr="00B81817" w:rsidRDefault="007173E0" w:rsidP="00A035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</w:tcPr>
          <w:p w14:paraId="633030D3" w14:textId="77777777" w:rsidR="007173E0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Mar>
              <w:left w:w="28" w:type="dxa"/>
              <w:right w:w="57" w:type="dxa"/>
            </w:tcMar>
          </w:tcPr>
          <w:p w14:paraId="314A52FD" w14:textId="58FFAA2C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8" w:type="pct"/>
            <w:tcMar>
              <w:left w:w="28" w:type="dxa"/>
              <w:right w:w="57" w:type="dxa"/>
            </w:tcMar>
          </w:tcPr>
          <w:p w14:paraId="0B5E7879" w14:textId="38DA78B9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Mar>
              <w:left w:w="28" w:type="dxa"/>
              <w:right w:w="113" w:type="dxa"/>
            </w:tcMar>
          </w:tcPr>
          <w:p w14:paraId="42407527" w14:textId="30561551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14:paraId="3DDB1FAD" w14:textId="717CA288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" w:type="pct"/>
          </w:tcPr>
          <w:p w14:paraId="4CD7236A" w14:textId="77777777" w:rsidR="007173E0" w:rsidRPr="0073609C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Mar>
              <w:left w:w="28" w:type="dxa"/>
              <w:right w:w="57" w:type="dxa"/>
            </w:tcMar>
          </w:tcPr>
          <w:p w14:paraId="1A5B06C4" w14:textId="4F60BA47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 w:rsidRPr="0073609C">
              <w:rPr>
                <w:sz w:val="20"/>
                <w:szCs w:val="20"/>
                <w:lang w:val="en-US"/>
              </w:rPr>
              <w:t>Apr18 -</w:t>
            </w:r>
            <w:r w:rsidRPr="0073609C">
              <w:rPr>
                <w:sz w:val="20"/>
                <w:szCs w:val="20"/>
                <w:lang w:val="en-US"/>
              </w:rPr>
              <w:br/>
              <w:t xml:space="preserve">  Ju</w:t>
            </w:r>
            <w:r>
              <w:rPr>
                <w:sz w:val="20"/>
                <w:szCs w:val="20"/>
                <w:lang w:val="en-US"/>
              </w:rPr>
              <w:t>n</w:t>
            </w:r>
            <w:r w:rsidRPr="0073609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311F5BA7" w14:textId="4BC859A9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-0.16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14:paraId="1B0BF654" w14:textId="60247E43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-0.23 to -0.09</w:t>
            </w:r>
          </w:p>
        </w:tc>
        <w:tc>
          <w:tcPr>
            <w:tcW w:w="258" w:type="pct"/>
          </w:tcPr>
          <w:p w14:paraId="39D6E072" w14:textId="730CB052" w:rsidR="007173E0" w:rsidRPr="00B81817" w:rsidRDefault="007173E0" w:rsidP="00A03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</w:tr>
    </w:tbl>
    <w:p w14:paraId="1E44ACA8" w14:textId="77777777" w:rsidR="00D5579B" w:rsidRDefault="00D5579B">
      <w:pPr>
        <w:rPr>
          <w:b/>
          <w:bCs/>
          <w:lang w:val="en-US"/>
        </w:rPr>
      </w:pPr>
    </w:p>
    <w:p w14:paraId="54EE63BB" w14:textId="77777777" w:rsidR="005D6519" w:rsidRPr="002565C9" w:rsidRDefault="005D6519" w:rsidP="005D6519">
      <w:pPr>
        <w:rPr>
          <w:b/>
          <w:bCs/>
          <w:lang w:val="en-US"/>
        </w:rPr>
      </w:pPr>
      <w:r w:rsidRPr="002565C9">
        <w:rPr>
          <w:b/>
          <w:bCs/>
          <w:lang w:val="en-US"/>
        </w:rPr>
        <w:t>NOTES</w:t>
      </w:r>
    </w:p>
    <w:p w14:paraId="36701DA0" w14:textId="77777777" w:rsidR="00C70D06" w:rsidRDefault="008B24B4" w:rsidP="008E6E88">
      <w:r>
        <w:t xml:space="preserve">The </w:t>
      </w:r>
      <w:r w:rsidR="008E6E88" w:rsidRPr="008E6E88">
        <w:t xml:space="preserve">MPC (monthly percentage change) and AMPC (average monthly percentage change) are calculated by the JoinPoint software. They are both estimates of the </w:t>
      </w:r>
      <w:r w:rsidR="001E72A5">
        <w:t xml:space="preserve">rate of </w:t>
      </w:r>
      <w:r w:rsidR="008E6E88" w:rsidRPr="008E6E88">
        <w:t xml:space="preserve">linear change in the observed trends. The MPC is the </w:t>
      </w:r>
      <w:r w:rsidR="001E72A5">
        <w:t xml:space="preserve">rate of </w:t>
      </w:r>
      <w:r w:rsidR="008E6E88" w:rsidRPr="008E6E88">
        <w:t xml:space="preserve">linear change within each separate JoinPoint segment. The AMPC is the </w:t>
      </w:r>
      <w:r w:rsidR="001E72A5">
        <w:t xml:space="preserve">rate of </w:t>
      </w:r>
      <w:r w:rsidR="008E6E88" w:rsidRPr="008E6E88">
        <w:t xml:space="preserve">linear change across all the data points. </w:t>
      </w:r>
    </w:p>
    <w:p w14:paraId="1F962D51" w14:textId="3306B46C" w:rsidR="008E6E88" w:rsidRPr="008E6E88" w:rsidRDefault="008E6E88" w:rsidP="008E6E88">
      <w:r w:rsidRPr="008E6E88">
        <w:t xml:space="preserve">Therefore, a positive MPC or AMPC indicates an increase over time, a negative one indicates a decrease. The confidence intervals and p value indicate whether the </w:t>
      </w:r>
      <w:r w:rsidR="007B0C85">
        <w:t>increase/decrease</w:t>
      </w:r>
      <w:r w:rsidRPr="008E6E88">
        <w:t xml:space="preserve"> is truly different from zero.</w:t>
      </w:r>
    </w:p>
    <w:p w14:paraId="5874CDB5" w14:textId="0E72F647" w:rsidR="005D6519" w:rsidRDefault="005D6519" w:rsidP="005D6519">
      <w:pPr>
        <w:rPr>
          <w:lang w:val="en-US"/>
        </w:rPr>
      </w:pPr>
      <w:r w:rsidRPr="006509EF">
        <w:rPr>
          <w:lang w:val="en-US"/>
        </w:rPr>
        <w:t>The MPC</w:t>
      </w:r>
      <w:r w:rsidR="008B24B4">
        <w:rPr>
          <w:lang w:val="en-US"/>
        </w:rPr>
        <w:t xml:space="preserve"> and AMPC </w:t>
      </w:r>
      <w:r w:rsidR="007B1F41">
        <w:rPr>
          <w:lang w:val="en-US"/>
        </w:rPr>
        <w:t xml:space="preserve">are relative rather than absolute </w:t>
      </w:r>
      <w:r w:rsidR="007D0892">
        <w:rPr>
          <w:lang w:val="en-US"/>
        </w:rPr>
        <w:t>measures of the rate of change</w:t>
      </w:r>
      <w:r>
        <w:rPr>
          <w:lang w:val="en-US"/>
        </w:rPr>
        <w:t xml:space="preserve">. </w:t>
      </w:r>
      <w:r w:rsidR="007D0892">
        <w:rPr>
          <w:lang w:val="en-US"/>
        </w:rPr>
        <w:t xml:space="preserve">As an illustration, </w:t>
      </w:r>
      <w:r>
        <w:rPr>
          <w:lang w:val="en-US"/>
        </w:rPr>
        <w:t xml:space="preserve">in Wales </w:t>
      </w:r>
      <w:r w:rsidR="000B42C4">
        <w:rPr>
          <w:lang w:val="en-US"/>
        </w:rPr>
        <w:t>between</w:t>
      </w:r>
      <w:r>
        <w:rPr>
          <w:lang w:val="en-US"/>
        </w:rPr>
        <w:t xml:space="preserve"> March 2022 </w:t>
      </w:r>
      <w:r w:rsidR="000B42C4">
        <w:rPr>
          <w:lang w:val="en-US"/>
        </w:rPr>
        <w:t xml:space="preserve">and June 2024 </w:t>
      </w:r>
      <w:r>
        <w:rPr>
          <w:lang w:val="en-US"/>
        </w:rPr>
        <w:t>the MPC of 1.</w:t>
      </w:r>
      <w:r w:rsidR="00164EDA">
        <w:rPr>
          <w:lang w:val="en-US"/>
        </w:rPr>
        <w:t>11</w:t>
      </w:r>
      <w:r>
        <w:rPr>
          <w:lang w:val="en-US"/>
        </w:rPr>
        <w:t xml:space="preserve"> indicate</w:t>
      </w:r>
      <w:r w:rsidR="000B42C4">
        <w:rPr>
          <w:lang w:val="en-US"/>
        </w:rPr>
        <w:t xml:space="preserve">s that </w:t>
      </w:r>
      <w:r>
        <w:rPr>
          <w:lang w:val="en-US"/>
        </w:rPr>
        <w:t>the percent</w:t>
      </w:r>
      <w:r w:rsidR="007B0C85">
        <w:rPr>
          <w:lang w:val="en-US"/>
        </w:rPr>
        <w:t>age</w:t>
      </w:r>
      <w:r>
        <w:rPr>
          <w:lang w:val="en-US"/>
        </w:rPr>
        <w:t xml:space="preserve"> of low GWP inhalers for any one month </w:t>
      </w:r>
      <w:r w:rsidR="00681943">
        <w:rPr>
          <w:lang w:val="en-US"/>
        </w:rPr>
        <w:t xml:space="preserve">in that period would be </w:t>
      </w:r>
      <w:r w:rsidR="00120440">
        <w:rPr>
          <w:lang w:val="en-US"/>
        </w:rPr>
        <w:t xml:space="preserve">1.00 + </w:t>
      </w:r>
      <w:r w:rsidR="00BD22C8">
        <w:rPr>
          <w:lang w:val="en-US"/>
        </w:rPr>
        <w:t xml:space="preserve">(1.11/100) = </w:t>
      </w:r>
      <w:r>
        <w:rPr>
          <w:lang w:val="en-US"/>
        </w:rPr>
        <w:t>1.01</w:t>
      </w:r>
      <w:r w:rsidR="00164EDA">
        <w:rPr>
          <w:lang w:val="en-US"/>
        </w:rPr>
        <w:t>11</w:t>
      </w:r>
      <w:r w:rsidR="00681943">
        <w:rPr>
          <w:lang w:val="en-US"/>
        </w:rPr>
        <w:t xml:space="preserve"> times </w:t>
      </w:r>
      <w:r w:rsidR="005644BC">
        <w:rPr>
          <w:lang w:val="en-US"/>
        </w:rPr>
        <w:t xml:space="preserve">the </w:t>
      </w:r>
      <w:r w:rsidR="009A455F">
        <w:rPr>
          <w:lang w:val="en-US"/>
        </w:rPr>
        <w:t xml:space="preserve">percentage of the </w:t>
      </w:r>
      <w:r w:rsidR="00681943">
        <w:rPr>
          <w:lang w:val="en-US"/>
        </w:rPr>
        <w:t>preceding month</w:t>
      </w:r>
      <w:r>
        <w:rPr>
          <w:lang w:val="en-US"/>
        </w:rPr>
        <w:t>.</w:t>
      </w:r>
    </w:p>
    <w:p w14:paraId="633A6B30" w14:textId="77777777" w:rsidR="00D5579B" w:rsidRPr="0041262F" w:rsidRDefault="00D5579B">
      <w:pPr>
        <w:rPr>
          <w:b/>
          <w:bCs/>
          <w:lang w:val="en-US"/>
        </w:rPr>
      </w:pPr>
    </w:p>
    <w:p w14:paraId="4207547A" w14:textId="77777777" w:rsidR="001C2C25" w:rsidRDefault="001C2C25">
      <w:pPr>
        <w:rPr>
          <w:b/>
          <w:bCs/>
          <w:sz w:val="18"/>
          <w:szCs w:val="18"/>
          <w:lang w:val="en-US"/>
        </w:rPr>
      </w:pPr>
    </w:p>
    <w:p w14:paraId="6D0D8E14" w14:textId="77777777" w:rsidR="00D5579B" w:rsidRDefault="00D5579B">
      <w:pPr>
        <w:rPr>
          <w:b/>
          <w:bCs/>
          <w:sz w:val="18"/>
          <w:szCs w:val="18"/>
          <w:lang w:val="en-US"/>
        </w:rPr>
      </w:pPr>
    </w:p>
    <w:p w14:paraId="2195FA60" w14:textId="5E35CE8B" w:rsidR="00D5579B" w:rsidRPr="004E15AA" w:rsidRDefault="00D5579B">
      <w:pPr>
        <w:rPr>
          <w:b/>
          <w:bCs/>
          <w:sz w:val="24"/>
          <w:szCs w:val="24"/>
          <w:u w:val="single"/>
          <w:lang w:val="en-US"/>
        </w:rPr>
      </w:pPr>
      <w:r w:rsidRPr="004E15AA">
        <w:rPr>
          <w:b/>
          <w:bCs/>
          <w:sz w:val="24"/>
          <w:szCs w:val="24"/>
          <w:u w:val="single"/>
          <w:lang w:val="en-US"/>
        </w:rPr>
        <w:lastRenderedPageBreak/>
        <w:t>Figure 2</w:t>
      </w:r>
    </w:p>
    <w:p w14:paraId="7F090DD5" w14:textId="239E05FB" w:rsidR="00601F4B" w:rsidRDefault="0028466E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Supplementary </w:t>
      </w:r>
      <w:r w:rsidR="00267CA8" w:rsidRPr="00C75DA1">
        <w:rPr>
          <w:b/>
          <w:bCs/>
          <w:sz w:val="18"/>
          <w:szCs w:val="18"/>
          <w:lang w:val="en-US"/>
        </w:rPr>
        <w:t xml:space="preserve">Table </w:t>
      </w:r>
      <w:r>
        <w:rPr>
          <w:b/>
          <w:bCs/>
          <w:sz w:val="18"/>
          <w:szCs w:val="18"/>
          <w:lang w:val="en-US"/>
        </w:rPr>
        <w:t>2.1</w:t>
      </w:r>
      <w:r w:rsidR="00267CA8" w:rsidRPr="00C75DA1">
        <w:rPr>
          <w:b/>
          <w:bCs/>
          <w:sz w:val="18"/>
          <w:szCs w:val="18"/>
          <w:lang w:val="en-US"/>
        </w:rPr>
        <w:t>: Joinpoint analys</w:t>
      </w:r>
      <w:r w:rsidR="008E0497">
        <w:rPr>
          <w:b/>
          <w:bCs/>
          <w:sz w:val="18"/>
          <w:szCs w:val="18"/>
          <w:lang w:val="en-US"/>
        </w:rPr>
        <w:t>is</w:t>
      </w:r>
      <w:r w:rsidR="001C2C25">
        <w:rPr>
          <w:b/>
          <w:bCs/>
          <w:sz w:val="18"/>
          <w:szCs w:val="18"/>
          <w:lang w:val="en-US"/>
        </w:rPr>
        <w:t>,</w:t>
      </w:r>
      <w:r w:rsidR="008E0497">
        <w:rPr>
          <w:b/>
          <w:bCs/>
          <w:sz w:val="18"/>
          <w:szCs w:val="18"/>
          <w:lang w:val="en-US"/>
        </w:rPr>
        <w:t xml:space="preserve"> </w:t>
      </w:r>
      <w:r w:rsidR="00EF547E">
        <w:rPr>
          <w:b/>
          <w:bCs/>
          <w:sz w:val="18"/>
          <w:szCs w:val="18"/>
          <w:lang w:val="en-US"/>
        </w:rPr>
        <w:t>low GWP inhalers</w:t>
      </w:r>
      <w:r w:rsidR="00BE4F77">
        <w:rPr>
          <w:b/>
          <w:bCs/>
          <w:sz w:val="18"/>
          <w:szCs w:val="18"/>
          <w:lang w:val="en-US"/>
        </w:rPr>
        <w:t xml:space="preserve"> – </w:t>
      </w:r>
      <w:r w:rsidR="004E15AA">
        <w:rPr>
          <w:b/>
          <w:bCs/>
          <w:sz w:val="18"/>
          <w:szCs w:val="18"/>
          <w:lang w:val="en-US"/>
        </w:rPr>
        <w:t>trends in numbers</w:t>
      </w:r>
    </w:p>
    <w:p w14:paraId="1B861323" w14:textId="77777777" w:rsidR="0004796E" w:rsidRDefault="0004796E">
      <w:pPr>
        <w:rPr>
          <w:b/>
          <w:bCs/>
          <w:sz w:val="18"/>
          <w:szCs w:val="18"/>
          <w:lang w:val="en-US"/>
        </w:rPr>
      </w:pPr>
    </w:p>
    <w:tbl>
      <w:tblPr>
        <w:tblStyle w:val="TableGrid"/>
        <w:tblW w:w="49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850"/>
        <w:gridCol w:w="853"/>
        <w:gridCol w:w="853"/>
        <w:gridCol w:w="710"/>
        <w:gridCol w:w="569"/>
        <w:gridCol w:w="1274"/>
        <w:gridCol w:w="569"/>
        <w:gridCol w:w="237"/>
        <w:gridCol w:w="748"/>
        <w:gridCol w:w="517"/>
        <w:gridCol w:w="1161"/>
        <w:gridCol w:w="743"/>
        <w:gridCol w:w="237"/>
        <w:gridCol w:w="756"/>
        <w:gridCol w:w="710"/>
        <w:gridCol w:w="1279"/>
        <w:gridCol w:w="701"/>
      </w:tblGrid>
      <w:tr w:rsidR="0024642B" w:rsidRPr="00C75DA1" w14:paraId="58E2DB6D" w14:textId="77777777" w:rsidTr="0024642B">
        <w:tc>
          <w:tcPr>
            <w:tcW w:w="359" w:type="pct"/>
          </w:tcPr>
          <w:p w14:paraId="2A1A9A32" w14:textId="77777777" w:rsidR="0024642B" w:rsidRPr="00C75DA1" w:rsidRDefault="0024642B" w:rsidP="0024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pct"/>
            <w:gridSpan w:val="3"/>
            <w:vMerge w:val="restart"/>
          </w:tcPr>
          <w:p w14:paraId="599A322D" w14:textId="2B466098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Low GWP inhalers </w:t>
            </w:r>
            <w:r>
              <w:rPr>
                <w:sz w:val="20"/>
                <w:szCs w:val="20"/>
                <w:lang w:val="en-US"/>
              </w:rPr>
              <w:br/>
              <w:t>(daily average)</w:t>
            </w:r>
          </w:p>
        </w:tc>
        <w:tc>
          <w:tcPr>
            <w:tcW w:w="3712" w:type="pct"/>
            <w:gridSpan w:val="14"/>
            <w:tcBorders>
              <w:bottom w:val="single" w:sz="4" w:space="0" w:color="auto"/>
            </w:tcBorders>
          </w:tcPr>
          <w:p w14:paraId="0B83C32A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Joinpoint analyses (</w:t>
            </w:r>
            <w:r>
              <w:rPr>
                <w:sz w:val="20"/>
                <w:szCs w:val="20"/>
                <w:lang w:val="en-US"/>
              </w:rPr>
              <w:t xml:space="preserve">Apr18 </w:t>
            </w:r>
            <w:r w:rsidRPr="00C75DA1"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Jun</w:t>
            </w:r>
            <w:r w:rsidRPr="00C75DA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C75DA1">
              <w:rPr>
                <w:sz w:val="20"/>
                <w:szCs w:val="20"/>
                <w:lang w:val="en-US"/>
              </w:rPr>
              <w:t>)</w:t>
            </w:r>
          </w:p>
        </w:tc>
      </w:tr>
      <w:tr w:rsidR="0024642B" w:rsidRPr="00C75DA1" w14:paraId="06FA084C" w14:textId="77777777" w:rsidTr="0024642B">
        <w:tc>
          <w:tcPr>
            <w:tcW w:w="359" w:type="pct"/>
          </w:tcPr>
          <w:p w14:paraId="1208D525" w14:textId="77777777" w:rsidR="0024642B" w:rsidRPr="00C75DA1" w:rsidRDefault="0024642B" w:rsidP="0024642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9" w:type="pct"/>
            <w:gridSpan w:val="3"/>
            <w:vMerge/>
            <w:tcMar>
              <w:left w:w="28" w:type="dxa"/>
              <w:right w:w="57" w:type="dxa"/>
            </w:tcMar>
          </w:tcPr>
          <w:p w14:paraId="77E5992C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217AF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Trend 1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22C3613A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pct"/>
            <w:gridSpan w:val="4"/>
            <w:tcBorders>
              <w:top w:val="single" w:sz="4" w:space="0" w:color="auto"/>
            </w:tcBorders>
            <w:vAlign w:val="center"/>
          </w:tcPr>
          <w:p w14:paraId="3C75C0F1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Trend 2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0C77B359" w14:textId="77777777" w:rsidR="0024642B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280FFB" w14:textId="6DF20B9B" w:rsidR="0024642B" w:rsidRDefault="005030FA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 xml:space="preserve">Trend 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4642B" w:rsidRPr="00C75DA1" w14:paraId="6988D81C" w14:textId="77777777" w:rsidTr="0024642B">
        <w:tc>
          <w:tcPr>
            <w:tcW w:w="359" w:type="pct"/>
            <w:tcBorders>
              <w:bottom w:val="single" w:sz="4" w:space="0" w:color="auto"/>
            </w:tcBorders>
            <w:vAlign w:val="bottom"/>
          </w:tcPr>
          <w:p w14:paraId="411D059B" w14:textId="77777777" w:rsidR="0024642B" w:rsidRPr="00C75DA1" w:rsidRDefault="0024642B" w:rsidP="0024642B">
            <w:pPr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16CD56A" w14:textId="77777777" w:rsidR="0024642B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Apr18 to Jun18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7440FA3" w14:textId="77777777" w:rsidR="0024642B" w:rsidRPr="006A464A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Apr24 to Jun24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2918A8AC" w14:textId="27FA5B9F" w:rsidR="0024642B" w:rsidRPr="006A464A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 change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320B9AC3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023D013C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79651ED4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375CA886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78B9F0AC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052E814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579E08D4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64C58461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14:paraId="08747580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86" w:type="pct"/>
            <w:tcBorders>
              <w:bottom w:val="single" w:sz="4" w:space="0" w:color="auto"/>
            </w:tcBorders>
          </w:tcPr>
          <w:p w14:paraId="76CC776E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D0E9F30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54FDC163" w14:textId="60976522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25F0E1B6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</w:tcPr>
          <w:p w14:paraId="250FC86E" w14:textId="77777777" w:rsidR="0024642B" w:rsidRPr="00C75DA1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</w:tr>
      <w:tr w:rsidR="00521761" w:rsidRPr="00C75DA1" w14:paraId="6ED49AE5" w14:textId="77777777" w:rsidTr="0024642B">
        <w:tc>
          <w:tcPr>
            <w:tcW w:w="359" w:type="pct"/>
            <w:tcBorders>
              <w:top w:val="single" w:sz="4" w:space="0" w:color="auto"/>
            </w:tcBorders>
          </w:tcPr>
          <w:p w14:paraId="41D79432" w14:textId="77777777" w:rsidR="00521761" w:rsidRPr="009E7373" w:rsidRDefault="00521761" w:rsidP="00521761">
            <w:pPr>
              <w:rPr>
                <w:sz w:val="20"/>
                <w:szCs w:val="20"/>
                <w:lang w:val="en-US"/>
              </w:rPr>
            </w:pPr>
            <w:r w:rsidRPr="009E7373">
              <w:rPr>
                <w:sz w:val="20"/>
                <w:szCs w:val="20"/>
                <w:lang w:val="en-US"/>
              </w:rPr>
              <w:t>England</w:t>
            </w:r>
          </w:p>
        </w:tc>
        <w:tc>
          <w:tcPr>
            <w:tcW w:w="309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065D1CD5" w14:textId="785069B9" w:rsidR="00521761" w:rsidRDefault="00FC6E90" w:rsidP="0052176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61,709</w:t>
            </w:r>
          </w:p>
        </w:tc>
        <w:tc>
          <w:tcPr>
            <w:tcW w:w="310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3D27C29D" w14:textId="553198A4" w:rsidR="00521761" w:rsidRPr="00EC59BE" w:rsidRDefault="00B5245D" w:rsidP="0052176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63,532</w:t>
            </w:r>
          </w:p>
        </w:tc>
        <w:tc>
          <w:tcPr>
            <w:tcW w:w="310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3961D375" w14:textId="29EC1F42" w:rsidR="00521761" w:rsidRPr="00870BF0" w:rsidRDefault="00405BD4" w:rsidP="0052176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2.95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78FA01D9" w14:textId="0615316B" w:rsidR="00521761" w:rsidRPr="00870BF0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Apr18 -</w:t>
            </w:r>
            <w:r w:rsidRPr="00D8165E">
              <w:rPr>
                <w:sz w:val="20"/>
                <w:szCs w:val="20"/>
                <w:lang w:val="en-US"/>
              </w:rPr>
              <w:br/>
              <w:t xml:space="preserve">  </w:t>
            </w:r>
            <w:r w:rsidR="00476286">
              <w:rPr>
                <w:sz w:val="20"/>
                <w:szCs w:val="20"/>
                <w:lang w:val="en-US"/>
              </w:rPr>
              <w:t>Oct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2A25D393" w14:textId="719C0F41" w:rsidR="00521761" w:rsidRPr="00870BF0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-0.22</w:t>
            </w:r>
          </w:p>
        </w:tc>
        <w:tc>
          <w:tcPr>
            <w:tcW w:w="463" w:type="pct"/>
            <w:tcBorders>
              <w:top w:val="single" w:sz="4" w:space="0" w:color="auto"/>
            </w:tcBorders>
            <w:tcMar>
              <w:left w:w="28" w:type="dxa"/>
              <w:right w:w="113" w:type="dxa"/>
            </w:tcMar>
          </w:tcPr>
          <w:p w14:paraId="141A95C9" w14:textId="168E1B6D" w:rsidR="00521761" w:rsidRPr="00870BF0" w:rsidRDefault="00521761" w:rsidP="0052176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-0.45 to -0.08</w:t>
            </w:r>
          </w:p>
        </w:tc>
        <w:tc>
          <w:tcPr>
            <w:tcW w:w="207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5AF10A6C" w14:textId="488060AE" w:rsidR="00521761" w:rsidRPr="00870BF0" w:rsidRDefault="00521761" w:rsidP="005217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6C29B93C" w14:textId="77777777" w:rsidR="00521761" w:rsidRPr="00D8165E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17B41122" w14:textId="586CAB00" w:rsidR="00521761" w:rsidRPr="00870BF0" w:rsidRDefault="00476286" w:rsidP="005217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Oct</w:t>
            </w:r>
            <w:r w:rsidR="00521761" w:rsidRPr="00D8165E">
              <w:rPr>
                <w:sz w:val="20"/>
                <w:szCs w:val="20"/>
                <w:lang w:val="en-US"/>
              </w:rPr>
              <w:t>21 -</w:t>
            </w:r>
            <w:r w:rsidR="00521761" w:rsidRPr="00D8165E">
              <w:rPr>
                <w:sz w:val="20"/>
                <w:szCs w:val="20"/>
                <w:lang w:val="en-US"/>
              </w:rPr>
              <w:br/>
              <w:t xml:space="preserve">  </w:t>
            </w:r>
            <w:r w:rsidR="00521761">
              <w:rPr>
                <w:sz w:val="20"/>
                <w:szCs w:val="20"/>
                <w:lang w:val="en-US"/>
              </w:rPr>
              <w:t>Ju</w:t>
            </w:r>
            <w:r w:rsidR="00521761" w:rsidRPr="00D8165E">
              <w:rPr>
                <w:sz w:val="20"/>
                <w:szCs w:val="20"/>
                <w:lang w:val="en-US"/>
              </w:rPr>
              <w:t>n24</w:t>
            </w:r>
          </w:p>
        </w:tc>
        <w:tc>
          <w:tcPr>
            <w:tcW w:w="188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72021333" w14:textId="3F903462" w:rsidR="00521761" w:rsidRPr="00870BF0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0.42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left w:w="28" w:type="dxa"/>
              <w:right w:w="113" w:type="dxa"/>
            </w:tcMar>
          </w:tcPr>
          <w:p w14:paraId="54A7812A" w14:textId="54FD4E67" w:rsidR="00521761" w:rsidRPr="00870BF0" w:rsidRDefault="00521761" w:rsidP="0052176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0.22 to 0.82</w:t>
            </w:r>
          </w:p>
        </w:tc>
        <w:tc>
          <w:tcPr>
            <w:tcW w:w="270" w:type="pct"/>
            <w:tcBorders>
              <w:top w:val="single" w:sz="4" w:space="0" w:color="auto"/>
            </w:tcBorders>
          </w:tcPr>
          <w:p w14:paraId="391308FE" w14:textId="5C24795F" w:rsidR="00521761" w:rsidRPr="00EC59BE" w:rsidRDefault="00521761" w:rsidP="00521761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521761"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  <w:tcBorders>
              <w:top w:val="single" w:sz="4" w:space="0" w:color="auto"/>
            </w:tcBorders>
          </w:tcPr>
          <w:p w14:paraId="2A4CBEDC" w14:textId="77777777" w:rsidR="00521761" w:rsidRPr="00D8165E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5D42B571" w14:textId="433F9FDF" w:rsidR="00521761" w:rsidRPr="00EC59BE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6337A0BE" w14:textId="7AE4F4BE" w:rsidR="00521761" w:rsidRPr="00EC59BE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81E7A0E" w14:textId="3C8E08D9" w:rsidR="00521761" w:rsidRPr="00EC59BE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</w:tcBorders>
          </w:tcPr>
          <w:p w14:paraId="743D4D8A" w14:textId="2FF62EFF" w:rsidR="00521761" w:rsidRDefault="00521761" w:rsidP="00521761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  <w:tr w:rsidR="001530D5" w:rsidRPr="00C75DA1" w14:paraId="073B5D4E" w14:textId="77777777" w:rsidTr="0024642B">
        <w:tc>
          <w:tcPr>
            <w:tcW w:w="359" w:type="pct"/>
          </w:tcPr>
          <w:p w14:paraId="6D473574" w14:textId="77777777" w:rsidR="001530D5" w:rsidRPr="00A25EFE" w:rsidRDefault="001530D5" w:rsidP="001530D5">
            <w:pPr>
              <w:rPr>
                <w:sz w:val="20"/>
                <w:szCs w:val="20"/>
                <w:lang w:val="en-US"/>
              </w:rPr>
            </w:pPr>
            <w:r w:rsidRPr="00A25EFE">
              <w:rPr>
                <w:sz w:val="20"/>
                <w:szCs w:val="20"/>
                <w:lang w:val="en-US"/>
              </w:rPr>
              <w:t>Wales</w:t>
            </w:r>
          </w:p>
        </w:tc>
        <w:tc>
          <w:tcPr>
            <w:tcW w:w="309" w:type="pct"/>
            <w:tcMar>
              <w:left w:w="28" w:type="dxa"/>
              <w:right w:w="142" w:type="dxa"/>
            </w:tcMar>
          </w:tcPr>
          <w:p w14:paraId="5FDAA37E" w14:textId="093E7DC9" w:rsidR="001530D5" w:rsidRDefault="00A70556" w:rsidP="001530D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5,419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61BEF875" w14:textId="529F94F9" w:rsidR="001530D5" w:rsidRPr="00EC59BE" w:rsidRDefault="00B36EEE" w:rsidP="001530D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6,739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764E789E" w14:textId="3F884CF0" w:rsidR="001530D5" w:rsidRPr="005D2F10" w:rsidRDefault="00EF1189" w:rsidP="001530D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</w:t>
            </w:r>
            <w:r w:rsidR="00E915EB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3B76369E" w14:textId="77777777" w:rsidR="001530D5" w:rsidRPr="005D2F10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  <w:r w:rsidRPr="00BD19FE">
              <w:rPr>
                <w:sz w:val="20"/>
                <w:szCs w:val="20"/>
                <w:lang w:val="en-US"/>
              </w:rPr>
              <w:t>Apr18 -</w:t>
            </w:r>
            <w:r w:rsidRPr="00BD19FE">
              <w:rPr>
                <w:sz w:val="20"/>
                <w:szCs w:val="20"/>
                <w:lang w:val="en-US"/>
              </w:rPr>
              <w:br/>
              <w:t xml:space="preserve"> Mar22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411A108F" w14:textId="7ED05D57" w:rsidR="001530D5" w:rsidRPr="005D2F10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-0.09</w:t>
            </w:r>
          </w:p>
        </w:tc>
        <w:tc>
          <w:tcPr>
            <w:tcW w:w="463" w:type="pct"/>
            <w:tcMar>
              <w:left w:w="28" w:type="dxa"/>
              <w:right w:w="113" w:type="dxa"/>
            </w:tcMar>
          </w:tcPr>
          <w:p w14:paraId="1FFA0A87" w14:textId="043987ED" w:rsidR="001530D5" w:rsidRPr="005D2F10" w:rsidRDefault="001530D5" w:rsidP="001530D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-0.27 to 0.04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5672A8F2" w14:textId="196CA630" w:rsidR="001530D5" w:rsidRPr="005D2F10" w:rsidRDefault="001530D5" w:rsidP="001530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0.18</w:t>
            </w:r>
          </w:p>
        </w:tc>
        <w:tc>
          <w:tcPr>
            <w:tcW w:w="86" w:type="pct"/>
          </w:tcPr>
          <w:p w14:paraId="07C825D5" w14:textId="77777777" w:rsidR="001530D5" w:rsidRPr="00BD19FE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Mar>
              <w:left w:w="28" w:type="dxa"/>
              <w:right w:w="57" w:type="dxa"/>
            </w:tcMar>
          </w:tcPr>
          <w:p w14:paraId="24600EA8" w14:textId="77777777" w:rsidR="001530D5" w:rsidRPr="005D2F10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  <w:r w:rsidRPr="00BD19FE">
              <w:rPr>
                <w:sz w:val="20"/>
                <w:szCs w:val="20"/>
                <w:lang w:val="en-US"/>
              </w:rPr>
              <w:t>Mar22 -</w:t>
            </w:r>
            <w:r w:rsidRPr="00BD19FE">
              <w:rPr>
                <w:sz w:val="20"/>
                <w:szCs w:val="20"/>
                <w:lang w:val="en-US"/>
              </w:rPr>
              <w:br/>
              <w:t xml:space="preserve">  J</w:t>
            </w:r>
            <w:r>
              <w:rPr>
                <w:sz w:val="20"/>
                <w:szCs w:val="20"/>
                <w:lang w:val="en-US"/>
              </w:rPr>
              <w:t>u</w:t>
            </w:r>
            <w:r w:rsidRPr="00BD19FE">
              <w:rPr>
                <w:sz w:val="20"/>
                <w:szCs w:val="20"/>
                <w:lang w:val="en-US"/>
              </w:rPr>
              <w:t>n24</w:t>
            </w:r>
          </w:p>
        </w:tc>
        <w:tc>
          <w:tcPr>
            <w:tcW w:w="188" w:type="pct"/>
            <w:tcMar>
              <w:left w:w="28" w:type="dxa"/>
              <w:right w:w="57" w:type="dxa"/>
            </w:tcMar>
          </w:tcPr>
          <w:p w14:paraId="141F184D" w14:textId="72E3E770" w:rsidR="001530D5" w:rsidRPr="005D2F10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0.96</w:t>
            </w:r>
          </w:p>
        </w:tc>
        <w:tc>
          <w:tcPr>
            <w:tcW w:w="422" w:type="pct"/>
            <w:tcMar>
              <w:left w:w="28" w:type="dxa"/>
              <w:right w:w="113" w:type="dxa"/>
            </w:tcMar>
          </w:tcPr>
          <w:p w14:paraId="07F41094" w14:textId="320B8F2E" w:rsidR="001530D5" w:rsidRPr="005D2F10" w:rsidRDefault="001530D5" w:rsidP="001530D5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0.67 to 1.45</w:t>
            </w:r>
          </w:p>
        </w:tc>
        <w:tc>
          <w:tcPr>
            <w:tcW w:w="270" w:type="pct"/>
          </w:tcPr>
          <w:p w14:paraId="392C9FA2" w14:textId="03DB3737" w:rsidR="001530D5" w:rsidRPr="001530D5" w:rsidRDefault="001530D5" w:rsidP="001530D5">
            <w:pPr>
              <w:jc w:val="right"/>
              <w:rPr>
                <w:sz w:val="20"/>
                <w:szCs w:val="20"/>
                <w:lang w:val="en-US"/>
              </w:rPr>
            </w:pPr>
            <w:r w:rsidRPr="001530D5"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</w:tcPr>
          <w:p w14:paraId="7FF4E795" w14:textId="77777777" w:rsidR="001530D5" w:rsidRPr="00D8165E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Mar>
              <w:left w:w="28" w:type="dxa"/>
              <w:right w:w="57" w:type="dxa"/>
            </w:tcMar>
          </w:tcPr>
          <w:p w14:paraId="7165483F" w14:textId="0E6D7684" w:rsidR="001530D5" w:rsidRPr="00EC59BE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5591824F" w14:textId="18684EB8" w:rsidR="001530D5" w:rsidRPr="00EC59BE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14:paraId="4A41006B" w14:textId="74A09520" w:rsidR="001530D5" w:rsidRPr="00EC59BE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" w:type="pct"/>
          </w:tcPr>
          <w:p w14:paraId="3AB9DC0B" w14:textId="4F85D3E0" w:rsidR="001530D5" w:rsidRDefault="001530D5" w:rsidP="001530D5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  <w:tr w:rsidR="009F2697" w:rsidRPr="00C75DA1" w14:paraId="20852F8C" w14:textId="77777777" w:rsidTr="0024642B">
        <w:tc>
          <w:tcPr>
            <w:tcW w:w="359" w:type="pct"/>
          </w:tcPr>
          <w:p w14:paraId="0B771B82" w14:textId="77777777" w:rsidR="009F2697" w:rsidRPr="00982937" w:rsidRDefault="009F2697" w:rsidP="009F2697">
            <w:pPr>
              <w:rPr>
                <w:sz w:val="20"/>
                <w:szCs w:val="20"/>
                <w:lang w:val="en-US"/>
              </w:rPr>
            </w:pPr>
            <w:r w:rsidRPr="00982937">
              <w:rPr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309" w:type="pct"/>
            <w:tcMar>
              <w:left w:w="28" w:type="dxa"/>
              <w:right w:w="142" w:type="dxa"/>
            </w:tcMar>
          </w:tcPr>
          <w:p w14:paraId="7366F71B" w14:textId="2BEB2F00" w:rsidR="009F2697" w:rsidRDefault="00F61ACD" w:rsidP="009F269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7,419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5022BF71" w14:textId="4C6552EE" w:rsidR="009F2697" w:rsidRPr="00EC59BE" w:rsidRDefault="00B24B6A" w:rsidP="009F269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6,573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60173CF9" w14:textId="478984B7" w:rsidR="009F2697" w:rsidRPr="00F306F3" w:rsidRDefault="0025614D" w:rsidP="009F269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-11.4</w:t>
            </w:r>
            <w:r w:rsidR="009216D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768AFE03" w14:textId="3B3814F4" w:rsidR="009F2697" w:rsidRPr="00EC59BE" w:rsidRDefault="009F2697" w:rsidP="009F26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E6252">
              <w:rPr>
                <w:sz w:val="20"/>
                <w:szCs w:val="20"/>
                <w:lang w:val="en-US"/>
              </w:rPr>
              <w:t>Apr18 -</w:t>
            </w:r>
            <w:r w:rsidRPr="007E6252">
              <w:rPr>
                <w:sz w:val="20"/>
                <w:szCs w:val="20"/>
                <w:lang w:val="en-US"/>
              </w:rPr>
              <w:br/>
              <w:t xml:space="preserve">  </w:t>
            </w:r>
            <w:r>
              <w:rPr>
                <w:sz w:val="20"/>
                <w:szCs w:val="20"/>
                <w:lang w:val="en-US"/>
              </w:rPr>
              <w:t>Jun24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4D3FA5F6" w14:textId="418FC3BF" w:rsidR="009F2697" w:rsidRPr="00A37FE5" w:rsidRDefault="007B2B11" w:rsidP="009F26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-0.20</w:t>
            </w:r>
          </w:p>
        </w:tc>
        <w:tc>
          <w:tcPr>
            <w:tcW w:w="463" w:type="pct"/>
            <w:tcMar>
              <w:left w:w="28" w:type="dxa"/>
              <w:right w:w="113" w:type="dxa"/>
            </w:tcMar>
          </w:tcPr>
          <w:p w14:paraId="1DCEA55D" w14:textId="7532A9D1" w:rsidR="009F2697" w:rsidRPr="00A37FE5" w:rsidRDefault="007B2B11" w:rsidP="009F269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-0.27 to -0.12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1BAA8FD8" w14:textId="2E7350CC" w:rsidR="009F2697" w:rsidRPr="0004643B" w:rsidRDefault="007B2B11" w:rsidP="009F26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</w:tcPr>
          <w:p w14:paraId="795D07A4" w14:textId="77777777" w:rsidR="009F2697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Mar>
              <w:left w:w="28" w:type="dxa"/>
              <w:right w:w="57" w:type="dxa"/>
            </w:tcMar>
          </w:tcPr>
          <w:p w14:paraId="00FB04EF" w14:textId="5BC407EB" w:rsidR="009F2697" w:rsidRPr="00EC59BE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8" w:type="pct"/>
            <w:tcMar>
              <w:left w:w="28" w:type="dxa"/>
              <w:right w:w="57" w:type="dxa"/>
            </w:tcMar>
          </w:tcPr>
          <w:p w14:paraId="38F8FD19" w14:textId="0A70A37B" w:rsidR="009F2697" w:rsidRPr="00EC59BE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tcMar>
              <w:left w:w="57" w:type="dxa"/>
              <w:right w:w="57" w:type="dxa"/>
            </w:tcMar>
          </w:tcPr>
          <w:p w14:paraId="43126B5E" w14:textId="1E3C68BF" w:rsidR="009F2697" w:rsidRPr="00D60342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0" w:type="pct"/>
          </w:tcPr>
          <w:p w14:paraId="34ADDECC" w14:textId="0E8B30AC" w:rsidR="009F2697" w:rsidRPr="001530D5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" w:type="pct"/>
          </w:tcPr>
          <w:p w14:paraId="0D49164C" w14:textId="1A9CCA75" w:rsidR="009F2697" w:rsidRPr="00D8165E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Mar>
              <w:left w:w="28" w:type="dxa"/>
              <w:right w:w="57" w:type="dxa"/>
            </w:tcMar>
          </w:tcPr>
          <w:p w14:paraId="47E92173" w14:textId="29CF2B94" w:rsidR="009F2697" w:rsidRPr="00EC59BE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55B50953" w14:textId="0BC794ED" w:rsidR="009F2697" w:rsidRPr="00EC59BE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14:paraId="1D33991C" w14:textId="02A8F881" w:rsidR="009F2697" w:rsidRPr="00EC59BE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" w:type="pct"/>
          </w:tcPr>
          <w:p w14:paraId="5F85867C" w14:textId="27522D61" w:rsidR="009F2697" w:rsidRDefault="009F2697" w:rsidP="009F2697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  <w:tr w:rsidR="0024642B" w:rsidRPr="00C75DA1" w14:paraId="1652CC13" w14:textId="77777777" w:rsidTr="0024642B">
        <w:tc>
          <w:tcPr>
            <w:tcW w:w="359" w:type="pct"/>
          </w:tcPr>
          <w:p w14:paraId="307DC1F0" w14:textId="77777777" w:rsidR="0024642B" w:rsidRPr="00AB11D5" w:rsidRDefault="0024642B" w:rsidP="0024642B">
            <w:pPr>
              <w:rPr>
                <w:sz w:val="20"/>
                <w:szCs w:val="20"/>
                <w:lang w:val="en-US"/>
              </w:rPr>
            </w:pPr>
            <w:r w:rsidRPr="00AB11D5">
              <w:rPr>
                <w:sz w:val="20"/>
                <w:szCs w:val="20"/>
                <w:lang w:val="en-US"/>
              </w:rPr>
              <w:t>Northern Ireland</w:t>
            </w:r>
          </w:p>
        </w:tc>
        <w:tc>
          <w:tcPr>
            <w:tcW w:w="309" w:type="pct"/>
            <w:tcMar>
              <w:left w:w="28" w:type="dxa"/>
              <w:right w:w="142" w:type="dxa"/>
            </w:tcMar>
          </w:tcPr>
          <w:p w14:paraId="6385D0E1" w14:textId="5E3137D1" w:rsidR="0024642B" w:rsidRDefault="006D07E3" w:rsidP="0024642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</w:t>
            </w:r>
            <w:r w:rsidR="00A57299">
              <w:rPr>
                <w:sz w:val="20"/>
                <w:szCs w:val="20"/>
                <w:lang w:val="en-US"/>
              </w:rPr>
              <w:t>838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1FAB2686" w14:textId="0E2CCB14" w:rsidR="0024642B" w:rsidRPr="00EC59BE" w:rsidRDefault="00F41E50" w:rsidP="0024642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2,665</w:t>
            </w:r>
          </w:p>
        </w:tc>
        <w:tc>
          <w:tcPr>
            <w:tcW w:w="310" w:type="pct"/>
            <w:tcMar>
              <w:left w:w="28" w:type="dxa"/>
              <w:right w:w="142" w:type="dxa"/>
            </w:tcMar>
          </w:tcPr>
          <w:p w14:paraId="03F1B3E8" w14:textId="574DCFF1" w:rsidR="0024642B" w:rsidRPr="00F306F3" w:rsidRDefault="002211A0" w:rsidP="0024642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-6.10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6A8F7ADC" w14:textId="59DEB71B" w:rsidR="0024642B" w:rsidRPr="00EC59BE" w:rsidRDefault="0024642B" w:rsidP="0024642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3609C">
              <w:rPr>
                <w:sz w:val="20"/>
                <w:szCs w:val="20"/>
                <w:lang w:val="en-US"/>
              </w:rPr>
              <w:t>Apr18 -</w:t>
            </w:r>
            <w:r w:rsidRPr="0073609C">
              <w:rPr>
                <w:sz w:val="20"/>
                <w:szCs w:val="20"/>
                <w:lang w:val="en-US"/>
              </w:rPr>
              <w:br/>
              <w:t xml:space="preserve">  </w:t>
            </w:r>
            <w:r w:rsidR="00036857">
              <w:rPr>
                <w:sz w:val="20"/>
                <w:szCs w:val="20"/>
                <w:lang w:val="en-US"/>
              </w:rPr>
              <w:t>Dec</w:t>
            </w:r>
            <w:r w:rsidR="00B22E1C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1D6930E0" w14:textId="4624093D" w:rsidR="0024642B" w:rsidRPr="00B81817" w:rsidRDefault="003A4871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-0.10</w:t>
            </w:r>
          </w:p>
        </w:tc>
        <w:tc>
          <w:tcPr>
            <w:tcW w:w="463" w:type="pct"/>
            <w:tcMar>
              <w:left w:w="28" w:type="dxa"/>
              <w:right w:w="113" w:type="dxa"/>
            </w:tcMar>
          </w:tcPr>
          <w:p w14:paraId="6784CAE1" w14:textId="0B0C9E1C" w:rsidR="0024642B" w:rsidRPr="00B81817" w:rsidRDefault="00886614" w:rsidP="0024642B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-0.46 to 0.15</w:t>
            </w:r>
          </w:p>
        </w:tc>
        <w:tc>
          <w:tcPr>
            <w:tcW w:w="207" w:type="pct"/>
            <w:tcMar>
              <w:left w:w="28" w:type="dxa"/>
              <w:right w:w="57" w:type="dxa"/>
            </w:tcMar>
          </w:tcPr>
          <w:p w14:paraId="6C67FAD8" w14:textId="493BC9D3" w:rsidR="0024642B" w:rsidRPr="00B81817" w:rsidRDefault="00886614" w:rsidP="0024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0.37</w:t>
            </w:r>
          </w:p>
        </w:tc>
        <w:tc>
          <w:tcPr>
            <w:tcW w:w="86" w:type="pct"/>
          </w:tcPr>
          <w:p w14:paraId="6C0F19E4" w14:textId="77777777" w:rsidR="0024642B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Mar>
              <w:left w:w="28" w:type="dxa"/>
              <w:right w:w="57" w:type="dxa"/>
            </w:tcMar>
          </w:tcPr>
          <w:p w14:paraId="1A612F8D" w14:textId="24E7E19B" w:rsidR="0024642B" w:rsidRPr="00B81817" w:rsidRDefault="00B22E1C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Dec19 - Mar20</w:t>
            </w:r>
          </w:p>
        </w:tc>
        <w:tc>
          <w:tcPr>
            <w:tcW w:w="188" w:type="pct"/>
            <w:tcMar>
              <w:left w:w="28" w:type="dxa"/>
              <w:right w:w="57" w:type="dxa"/>
            </w:tcMar>
          </w:tcPr>
          <w:p w14:paraId="1D69E11B" w14:textId="23E1635C" w:rsidR="0024642B" w:rsidRPr="00B81817" w:rsidRDefault="00886614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6.89</w:t>
            </w:r>
          </w:p>
        </w:tc>
        <w:tc>
          <w:tcPr>
            <w:tcW w:w="422" w:type="pct"/>
            <w:tcMar>
              <w:left w:w="28" w:type="dxa"/>
              <w:right w:w="113" w:type="dxa"/>
            </w:tcMar>
          </w:tcPr>
          <w:p w14:paraId="01ED9B15" w14:textId="66D7BDEF" w:rsidR="0024642B" w:rsidRPr="00B81817" w:rsidRDefault="00A330F9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2.70 to 9.24</w:t>
            </w:r>
          </w:p>
        </w:tc>
        <w:tc>
          <w:tcPr>
            <w:tcW w:w="270" w:type="pct"/>
          </w:tcPr>
          <w:p w14:paraId="1363390B" w14:textId="41437E8E" w:rsidR="0024642B" w:rsidRPr="00B81817" w:rsidRDefault="00A330F9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86" w:type="pct"/>
          </w:tcPr>
          <w:p w14:paraId="60900841" w14:textId="77777777" w:rsidR="0024642B" w:rsidRPr="0073609C" w:rsidRDefault="0024642B" w:rsidP="0024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tcMar>
              <w:left w:w="28" w:type="dxa"/>
              <w:right w:w="57" w:type="dxa"/>
            </w:tcMar>
          </w:tcPr>
          <w:p w14:paraId="10998B5E" w14:textId="295F2DC7" w:rsidR="0024642B" w:rsidRPr="00B81817" w:rsidRDefault="00B22E1C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Mar20</w:t>
            </w:r>
            <w:r w:rsidR="0024642B" w:rsidRPr="0073609C">
              <w:rPr>
                <w:sz w:val="20"/>
                <w:szCs w:val="20"/>
                <w:lang w:val="en-US"/>
              </w:rPr>
              <w:t xml:space="preserve"> -</w:t>
            </w:r>
            <w:r w:rsidR="0024642B" w:rsidRPr="0073609C">
              <w:rPr>
                <w:sz w:val="20"/>
                <w:szCs w:val="20"/>
                <w:lang w:val="en-US"/>
              </w:rPr>
              <w:br/>
              <w:t xml:space="preserve">  Ju</w:t>
            </w:r>
            <w:r w:rsidR="0024642B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58" w:type="pct"/>
            <w:tcMar>
              <w:left w:w="28" w:type="dxa"/>
              <w:right w:w="57" w:type="dxa"/>
            </w:tcMar>
          </w:tcPr>
          <w:p w14:paraId="6D84623F" w14:textId="4988F908" w:rsidR="0024642B" w:rsidRPr="00B81817" w:rsidRDefault="00A330F9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-7.54</w:t>
            </w:r>
          </w:p>
        </w:tc>
        <w:tc>
          <w:tcPr>
            <w:tcW w:w="465" w:type="pct"/>
            <w:tcMar>
              <w:left w:w="57" w:type="dxa"/>
              <w:right w:w="57" w:type="dxa"/>
            </w:tcMar>
          </w:tcPr>
          <w:p w14:paraId="0ABA0792" w14:textId="433523D8" w:rsidR="0024642B" w:rsidRPr="00B81817" w:rsidRDefault="005141EF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-9.28 to -3.52</w:t>
            </w:r>
          </w:p>
        </w:tc>
        <w:tc>
          <w:tcPr>
            <w:tcW w:w="255" w:type="pct"/>
          </w:tcPr>
          <w:p w14:paraId="1DC1291C" w14:textId="415F113F" w:rsidR="0024642B" w:rsidRPr="00B81817" w:rsidRDefault="005141EF" w:rsidP="0024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</w:tr>
    </w:tbl>
    <w:p w14:paraId="46C17FBE" w14:textId="77777777" w:rsidR="0004796E" w:rsidRDefault="0004796E">
      <w:pPr>
        <w:rPr>
          <w:b/>
          <w:bCs/>
          <w:sz w:val="18"/>
          <w:szCs w:val="18"/>
          <w:lang w:val="en-US"/>
        </w:rPr>
      </w:pPr>
    </w:p>
    <w:p w14:paraId="424C30A4" w14:textId="77777777" w:rsidR="0004796E" w:rsidRDefault="0004796E">
      <w:pPr>
        <w:rPr>
          <w:b/>
          <w:bCs/>
          <w:sz w:val="18"/>
          <w:szCs w:val="18"/>
          <w:lang w:val="en-US"/>
        </w:rPr>
      </w:pPr>
    </w:p>
    <w:tbl>
      <w:tblPr>
        <w:tblStyle w:val="TableGrid"/>
        <w:tblW w:w="14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10"/>
        <w:gridCol w:w="569"/>
        <w:gridCol w:w="1274"/>
        <w:gridCol w:w="569"/>
      </w:tblGrid>
      <w:tr w:rsidR="00B22E1C" w:rsidRPr="00C75DA1" w14:paraId="7581B8E8" w14:textId="77777777" w:rsidTr="00B22E1C">
        <w:tc>
          <w:tcPr>
            <w:tcW w:w="1202" w:type="pct"/>
          </w:tcPr>
          <w:p w14:paraId="27732ADC" w14:textId="77777777" w:rsidR="00B22E1C" w:rsidRPr="00C75DA1" w:rsidRDefault="00B22E1C" w:rsidP="007367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pct"/>
            <w:gridSpan w:val="4"/>
            <w:tcBorders>
              <w:bottom w:val="single" w:sz="4" w:space="0" w:color="auto"/>
            </w:tcBorders>
          </w:tcPr>
          <w:p w14:paraId="09FC6B9C" w14:textId="77777777" w:rsidR="00B22E1C" w:rsidRPr="00C75DA1" w:rsidRDefault="00B22E1C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Joinpoint analyses (</w:t>
            </w:r>
            <w:r>
              <w:rPr>
                <w:sz w:val="20"/>
                <w:szCs w:val="20"/>
                <w:lang w:val="en-US"/>
              </w:rPr>
              <w:t xml:space="preserve">Apr18 </w:t>
            </w:r>
            <w:r w:rsidRPr="00C75DA1"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Jun</w:t>
            </w:r>
            <w:r w:rsidRPr="00C75DA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C75DA1">
              <w:rPr>
                <w:sz w:val="20"/>
                <w:szCs w:val="20"/>
                <w:lang w:val="en-US"/>
              </w:rPr>
              <w:t>)</w:t>
            </w:r>
          </w:p>
        </w:tc>
      </w:tr>
      <w:tr w:rsidR="00B22E1C" w:rsidRPr="00C75DA1" w14:paraId="48BA3991" w14:textId="77777777" w:rsidTr="00B22E1C">
        <w:tc>
          <w:tcPr>
            <w:tcW w:w="1202" w:type="pct"/>
          </w:tcPr>
          <w:p w14:paraId="0C9F882E" w14:textId="77777777" w:rsidR="00B22E1C" w:rsidRPr="00C75DA1" w:rsidRDefault="00B22E1C" w:rsidP="007367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9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7DDDE" w14:textId="73EA05DC" w:rsidR="00B22E1C" w:rsidRPr="00C75DA1" w:rsidRDefault="00B22E1C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 xml:space="preserve">Trend 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B22E1C" w:rsidRPr="00C75DA1" w14:paraId="550911F9" w14:textId="77777777" w:rsidTr="00B22E1C">
        <w:tc>
          <w:tcPr>
            <w:tcW w:w="1202" w:type="pct"/>
            <w:tcBorders>
              <w:bottom w:val="single" w:sz="4" w:space="0" w:color="auto"/>
            </w:tcBorders>
            <w:vAlign w:val="bottom"/>
          </w:tcPr>
          <w:p w14:paraId="2B3F4AF1" w14:textId="77777777" w:rsidR="00B22E1C" w:rsidRPr="00C75DA1" w:rsidRDefault="00B22E1C" w:rsidP="007367ED">
            <w:pPr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36036B7A" w14:textId="77777777" w:rsidR="00B22E1C" w:rsidRPr="00C75DA1" w:rsidRDefault="00B22E1C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3C3EEB6E" w14:textId="77777777" w:rsidR="00B22E1C" w:rsidRPr="00C75DA1" w:rsidRDefault="00B22E1C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155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54DAB912" w14:textId="77777777" w:rsidR="00B22E1C" w:rsidRPr="00C75DA1" w:rsidRDefault="00B22E1C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65FAC6C5" w14:textId="77777777" w:rsidR="00B22E1C" w:rsidRPr="00C75DA1" w:rsidRDefault="00B22E1C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</w:tr>
      <w:tr w:rsidR="00B22E1C" w:rsidRPr="00C75DA1" w14:paraId="18783E84" w14:textId="77777777" w:rsidTr="00B22E1C">
        <w:tc>
          <w:tcPr>
            <w:tcW w:w="1202" w:type="pct"/>
            <w:tcBorders>
              <w:top w:val="single" w:sz="4" w:space="0" w:color="auto"/>
            </w:tcBorders>
          </w:tcPr>
          <w:p w14:paraId="5831C24F" w14:textId="77777777" w:rsidR="00B22E1C" w:rsidRDefault="00B22E1C" w:rsidP="00B22E1C">
            <w:pPr>
              <w:rPr>
                <w:sz w:val="20"/>
                <w:szCs w:val="20"/>
                <w:lang w:val="en-US"/>
              </w:rPr>
            </w:pPr>
            <w:r w:rsidRPr="009E7373">
              <w:rPr>
                <w:sz w:val="20"/>
                <w:szCs w:val="20"/>
                <w:lang w:val="en-US"/>
              </w:rPr>
              <w:t>England</w:t>
            </w:r>
          </w:p>
          <w:p w14:paraId="58036D06" w14:textId="77777777" w:rsidR="00B22E1C" w:rsidRPr="009E7373" w:rsidRDefault="00B22E1C" w:rsidP="00B22E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04E220E8" w14:textId="372789DA" w:rsidR="00B22E1C" w:rsidRPr="00870BF0" w:rsidRDefault="00B22E1C" w:rsidP="00B22E1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721520F8" w14:textId="70BEB5DD" w:rsidR="00B22E1C" w:rsidRPr="00870BF0" w:rsidRDefault="00B22E1C" w:rsidP="00B22E1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0" w:type="pct"/>
            <w:tcBorders>
              <w:top w:val="single" w:sz="4" w:space="0" w:color="auto"/>
            </w:tcBorders>
            <w:tcMar>
              <w:left w:w="28" w:type="dxa"/>
              <w:right w:w="113" w:type="dxa"/>
            </w:tcMar>
          </w:tcPr>
          <w:p w14:paraId="2F9ECF3E" w14:textId="2C3F2EDD" w:rsidR="00B22E1C" w:rsidRPr="00870BF0" w:rsidRDefault="00B22E1C" w:rsidP="00B22E1C">
            <w:pPr>
              <w:jc w:val="right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7A814ED1" w14:textId="01A4791F" w:rsidR="00B22E1C" w:rsidRPr="00870BF0" w:rsidRDefault="00B22E1C" w:rsidP="00B22E1C">
            <w:pPr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  <w:tr w:rsidR="00B22E1C" w:rsidRPr="00C75DA1" w14:paraId="443043B3" w14:textId="77777777" w:rsidTr="00B22E1C">
        <w:tc>
          <w:tcPr>
            <w:tcW w:w="1202" w:type="pct"/>
          </w:tcPr>
          <w:p w14:paraId="5587CD2F" w14:textId="77777777" w:rsidR="00B22E1C" w:rsidRDefault="00B22E1C" w:rsidP="00B22E1C">
            <w:pPr>
              <w:rPr>
                <w:sz w:val="20"/>
                <w:szCs w:val="20"/>
                <w:lang w:val="en-US"/>
              </w:rPr>
            </w:pPr>
            <w:r w:rsidRPr="00A25EFE">
              <w:rPr>
                <w:sz w:val="20"/>
                <w:szCs w:val="20"/>
                <w:lang w:val="en-US"/>
              </w:rPr>
              <w:t>Wales</w:t>
            </w:r>
          </w:p>
          <w:p w14:paraId="58031954" w14:textId="77777777" w:rsidR="00B22E1C" w:rsidRPr="00A25EFE" w:rsidRDefault="00B22E1C" w:rsidP="00B22E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pct"/>
            <w:tcMar>
              <w:left w:w="28" w:type="dxa"/>
              <w:right w:w="57" w:type="dxa"/>
            </w:tcMar>
          </w:tcPr>
          <w:p w14:paraId="27881A37" w14:textId="00F8891B" w:rsidR="00B22E1C" w:rsidRPr="005D2F10" w:rsidRDefault="00B22E1C" w:rsidP="00B22E1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pct"/>
            <w:tcMar>
              <w:left w:w="28" w:type="dxa"/>
              <w:right w:w="57" w:type="dxa"/>
            </w:tcMar>
          </w:tcPr>
          <w:p w14:paraId="2B626EFF" w14:textId="642D21FD" w:rsidR="00B22E1C" w:rsidRPr="005D2F10" w:rsidRDefault="00B22E1C" w:rsidP="00B22E1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0" w:type="pct"/>
            <w:tcMar>
              <w:left w:w="28" w:type="dxa"/>
              <w:right w:w="113" w:type="dxa"/>
            </w:tcMar>
          </w:tcPr>
          <w:p w14:paraId="7A48FD42" w14:textId="1F0D43C4" w:rsidR="00B22E1C" w:rsidRPr="005D2F10" w:rsidRDefault="00B22E1C" w:rsidP="00B22E1C">
            <w:pPr>
              <w:jc w:val="right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pct"/>
            <w:tcMar>
              <w:left w:w="28" w:type="dxa"/>
              <w:right w:w="57" w:type="dxa"/>
            </w:tcMar>
          </w:tcPr>
          <w:p w14:paraId="5D28B7E6" w14:textId="64C79E2B" w:rsidR="00B22E1C" w:rsidRPr="005D2F10" w:rsidRDefault="00B22E1C" w:rsidP="00B22E1C">
            <w:pPr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  <w:tr w:rsidR="00B22E1C" w:rsidRPr="00C75DA1" w14:paraId="714DB4CD" w14:textId="77777777" w:rsidTr="00B22E1C">
        <w:tc>
          <w:tcPr>
            <w:tcW w:w="1202" w:type="pct"/>
          </w:tcPr>
          <w:p w14:paraId="44C44E74" w14:textId="77777777" w:rsidR="00B22E1C" w:rsidRDefault="00B22E1C" w:rsidP="00B22E1C">
            <w:pPr>
              <w:rPr>
                <w:sz w:val="20"/>
                <w:szCs w:val="20"/>
                <w:lang w:val="en-US"/>
              </w:rPr>
            </w:pPr>
            <w:r w:rsidRPr="00982937">
              <w:rPr>
                <w:sz w:val="20"/>
                <w:szCs w:val="20"/>
                <w:lang w:val="en-US"/>
              </w:rPr>
              <w:t>Scotland</w:t>
            </w:r>
          </w:p>
          <w:p w14:paraId="0AA20645" w14:textId="77777777" w:rsidR="00B22E1C" w:rsidRPr="00982937" w:rsidRDefault="00B22E1C" w:rsidP="00B22E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" w:type="pct"/>
            <w:tcMar>
              <w:left w:w="28" w:type="dxa"/>
              <w:right w:w="57" w:type="dxa"/>
            </w:tcMar>
          </w:tcPr>
          <w:p w14:paraId="0D02B4C0" w14:textId="348C2089" w:rsidR="00B22E1C" w:rsidRPr="00EC59BE" w:rsidRDefault="00B22E1C" w:rsidP="00B22E1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pct"/>
            <w:tcMar>
              <w:left w:w="28" w:type="dxa"/>
              <w:right w:w="57" w:type="dxa"/>
            </w:tcMar>
          </w:tcPr>
          <w:p w14:paraId="3BDCEE89" w14:textId="7E0AE977" w:rsidR="00B22E1C" w:rsidRPr="00A37FE5" w:rsidRDefault="00B22E1C" w:rsidP="00B22E1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0" w:type="pct"/>
            <w:tcMar>
              <w:left w:w="28" w:type="dxa"/>
              <w:right w:w="113" w:type="dxa"/>
            </w:tcMar>
          </w:tcPr>
          <w:p w14:paraId="25B7CDDF" w14:textId="62B8DAC3" w:rsidR="00B22E1C" w:rsidRPr="00A37FE5" w:rsidRDefault="00B22E1C" w:rsidP="00B22E1C">
            <w:pPr>
              <w:jc w:val="right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2" w:type="pct"/>
            <w:tcMar>
              <w:left w:w="28" w:type="dxa"/>
              <w:right w:w="57" w:type="dxa"/>
            </w:tcMar>
          </w:tcPr>
          <w:p w14:paraId="17619E29" w14:textId="5C3EA137" w:rsidR="00B22E1C" w:rsidRPr="0004643B" w:rsidRDefault="00B22E1C" w:rsidP="00B22E1C">
            <w:pPr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  <w:tr w:rsidR="00B22E1C" w:rsidRPr="00C75DA1" w14:paraId="14D342BF" w14:textId="77777777" w:rsidTr="00B22E1C">
        <w:tc>
          <w:tcPr>
            <w:tcW w:w="1202" w:type="pct"/>
          </w:tcPr>
          <w:p w14:paraId="4D1E1435" w14:textId="77777777" w:rsidR="00B22E1C" w:rsidRPr="00AB11D5" w:rsidRDefault="00B22E1C" w:rsidP="007367ED">
            <w:pPr>
              <w:rPr>
                <w:sz w:val="20"/>
                <w:szCs w:val="20"/>
                <w:lang w:val="en-US"/>
              </w:rPr>
            </w:pPr>
            <w:r w:rsidRPr="00AB11D5">
              <w:rPr>
                <w:sz w:val="20"/>
                <w:szCs w:val="20"/>
                <w:lang w:val="en-US"/>
              </w:rPr>
              <w:t>Northern Ireland</w:t>
            </w:r>
          </w:p>
        </w:tc>
        <w:tc>
          <w:tcPr>
            <w:tcW w:w="864" w:type="pct"/>
            <w:tcMar>
              <w:left w:w="28" w:type="dxa"/>
              <w:right w:w="57" w:type="dxa"/>
            </w:tcMar>
          </w:tcPr>
          <w:p w14:paraId="712CE2A4" w14:textId="3985FB7B" w:rsidR="00B22E1C" w:rsidRPr="00EC59BE" w:rsidRDefault="00B22E1C" w:rsidP="007367E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Jun20</w:t>
            </w:r>
            <w:r w:rsidRPr="0073609C">
              <w:rPr>
                <w:sz w:val="20"/>
                <w:szCs w:val="20"/>
                <w:lang w:val="en-US"/>
              </w:rPr>
              <w:t xml:space="preserve"> -</w:t>
            </w:r>
            <w:r w:rsidRPr="0073609C">
              <w:rPr>
                <w:sz w:val="20"/>
                <w:szCs w:val="20"/>
                <w:lang w:val="en-US"/>
              </w:rPr>
              <w:br/>
              <w:t xml:space="preserve">  </w:t>
            </w:r>
            <w:r>
              <w:rPr>
                <w:sz w:val="20"/>
                <w:szCs w:val="20"/>
                <w:lang w:val="en-US"/>
              </w:rPr>
              <w:t>Jun24</w:t>
            </w:r>
          </w:p>
        </w:tc>
        <w:tc>
          <w:tcPr>
            <w:tcW w:w="692" w:type="pct"/>
            <w:tcMar>
              <w:left w:w="28" w:type="dxa"/>
              <w:right w:w="57" w:type="dxa"/>
            </w:tcMar>
          </w:tcPr>
          <w:p w14:paraId="61FFB379" w14:textId="2E33F972" w:rsidR="00B22E1C" w:rsidRPr="00B81817" w:rsidRDefault="00B22E1C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</w:t>
            </w:r>
            <w:r w:rsidR="00357E68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0" w:type="pct"/>
            <w:tcMar>
              <w:left w:w="28" w:type="dxa"/>
              <w:right w:w="113" w:type="dxa"/>
            </w:tcMar>
          </w:tcPr>
          <w:p w14:paraId="29951993" w14:textId="29D43DBB" w:rsidR="00B22E1C" w:rsidRPr="00B81817" w:rsidRDefault="00B22E1C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</w:t>
            </w:r>
            <w:r w:rsidR="00357E68">
              <w:rPr>
                <w:sz w:val="20"/>
                <w:szCs w:val="20"/>
                <w:lang w:val="en-US"/>
              </w:rPr>
              <w:t>07</w:t>
            </w:r>
            <w:r>
              <w:rPr>
                <w:sz w:val="20"/>
                <w:szCs w:val="20"/>
                <w:lang w:val="en-US"/>
              </w:rPr>
              <w:t xml:space="preserve"> to 0.</w:t>
            </w:r>
            <w:r w:rsidR="00357E68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692" w:type="pct"/>
            <w:tcMar>
              <w:left w:w="28" w:type="dxa"/>
              <w:right w:w="57" w:type="dxa"/>
            </w:tcMar>
          </w:tcPr>
          <w:p w14:paraId="5802F677" w14:textId="2F8550E3" w:rsidR="00B22E1C" w:rsidRPr="00B81817" w:rsidRDefault="00B22E1C" w:rsidP="007367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</w:t>
            </w:r>
            <w:r w:rsidR="00357E68">
              <w:rPr>
                <w:sz w:val="20"/>
                <w:szCs w:val="20"/>
                <w:lang w:val="en-US"/>
              </w:rPr>
              <w:t>84</w:t>
            </w:r>
          </w:p>
        </w:tc>
      </w:tr>
    </w:tbl>
    <w:p w14:paraId="24E86F3E" w14:textId="77777777" w:rsidR="0004796E" w:rsidRDefault="0004796E">
      <w:pPr>
        <w:rPr>
          <w:b/>
          <w:bCs/>
          <w:sz w:val="18"/>
          <w:szCs w:val="18"/>
          <w:lang w:val="en-US"/>
        </w:rPr>
      </w:pPr>
    </w:p>
    <w:p w14:paraId="1BE83666" w14:textId="287CE7C9" w:rsidR="00357E68" w:rsidRDefault="00357E68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br w:type="page"/>
      </w:r>
    </w:p>
    <w:p w14:paraId="5AD4E342" w14:textId="77777777" w:rsidR="0004796E" w:rsidRPr="00C75DA1" w:rsidRDefault="0004796E">
      <w:pPr>
        <w:rPr>
          <w:b/>
          <w:bCs/>
          <w:sz w:val="18"/>
          <w:szCs w:val="18"/>
          <w:lang w:val="en-US"/>
        </w:rPr>
      </w:pPr>
    </w:p>
    <w:p w14:paraId="66852FC8" w14:textId="7AA2BE90" w:rsidR="001C2C25" w:rsidRDefault="001C2C25" w:rsidP="008B64B5">
      <w:pPr>
        <w:rPr>
          <w:b/>
          <w:bCs/>
          <w:sz w:val="18"/>
          <w:szCs w:val="18"/>
          <w:lang w:val="en-US"/>
        </w:rPr>
      </w:pPr>
    </w:p>
    <w:p w14:paraId="3FB05BD1" w14:textId="62356CE0" w:rsidR="008B64B5" w:rsidRDefault="0028466E" w:rsidP="008B64B5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Supplementary </w:t>
      </w:r>
      <w:r w:rsidR="008B64B5" w:rsidRPr="00C75DA1">
        <w:rPr>
          <w:b/>
          <w:bCs/>
          <w:sz w:val="18"/>
          <w:szCs w:val="18"/>
          <w:lang w:val="en-US"/>
        </w:rPr>
        <w:t xml:space="preserve">Table </w:t>
      </w:r>
      <w:r>
        <w:rPr>
          <w:b/>
          <w:bCs/>
          <w:sz w:val="18"/>
          <w:szCs w:val="18"/>
          <w:lang w:val="en-US"/>
        </w:rPr>
        <w:t>2.2</w:t>
      </w:r>
      <w:r w:rsidR="008B64B5" w:rsidRPr="00C75DA1">
        <w:rPr>
          <w:b/>
          <w:bCs/>
          <w:sz w:val="18"/>
          <w:szCs w:val="18"/>
          <w:lang w:val="en-US"/>
        </w:rPr>
        <w:t>: Joinpoint analys</w:t>
      </w:r>
      <w:r w:rsidR="008B64B5">
        <w:rPr>
          <w:b/>
          <w:bCs/>
          <w:sz w:val="18"/>
          <w:szCs w:val="18"/>
          <w:lang w:val="en-US"/>
        </w:rPr>
        <w:t>is</w:t>
      </w:r>
      <w:r w:rsidR="001C2C25">
        <w:rPr>
          <w:b/>
          <w:bCs/>
          <w:sz w:val="18"/>
          <w:szCs w:val="18"/>
          <w:lang w:val="en-US"/>
        </w:rPr>
        <w:t>,</w:t>
      </w:r>
      <w:r w:rsidR="008B64B5">
        <w:rPr>
          <w:b/>
          <w:bCs/>
          <w:sz w:val="18"/>
          <w:szCs w:val="18"/>
          <w:lang w:val="en-US"/>
        </w:rPr>
        <w:t xml:space="preserve"> </w:t>
      </w:r>
      <w:r w:rsidR="00B24819">
        <w:rPr>
          <w:b/>
          <w:bCs/>
          <w:sz w:val="18"/>
          <w:szCs w:val="18"/>
          <w:lang w:val="en-US"/>
        </w:rPr>
        <w:t xml:space="preserve">high GWP inhalers </w:t>
      </w:r>
      <w:r w:rsidR="004E15AA">
        <w:rPr>
          <w:b/>
          <w:bCs/>
          <w:sz w:val="18"/>
          <w:szCs w:val="18"/>
          <w:lang w:val="en-US"/>
        </w:rPr>
        <w:t>– trends in numbers</w:t>
      </w:r>
    </w:p>
    <w:tbl>
      <w:tblPr>
        <w:tblStyle w:val="TableGrid"/>
        <w:tblW w:w="36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49"/>
        <w:gridCol w:w="853"/>
        <w:gridCol w:w="855"/>
        <w:gridCol w:w="708"/>
        <w:gridCol w:w="567"/>
        <w:gridCol w:w="1274"/>
        <w:gridCol w:w="571"/>
        <w:gridCol w:w="239"/>
        <w:gridCol w:w="749"/>
        <w:gridCol w:w="565"/>
        <w:gridCol w:w="1282"/>
        <w:gridCol w:w="700"/>
      </w:tblGrid>
      <w:tr w:rsidR="007429BE" w:rsidRPr="00C75DA1" w14:paraId="3C41A4CF" w14:textId="77777777" w:rsidTr="007429BE">
        <w:tc>
          <w:tcPr>
            <w:tcW w:w="486" w:type="pct"/>
          </w:tcPr>
          <w:p w14:paraId="186A44A5" w14:textId="77777777" w:rsidR="007429BE" w:rsidRPr="00C75DA1" w:rsidRDefault="007429BE" w:rsidP="007367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pct"/>
            <w:gridSpan w:val="3"/>
            <w:vMerge w:val="restart"/>
          </w:tcPr>
          <w:p w14:paraId="3FD822D7" w14:textId="62E1A69D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High GWP inhalers </w:t>
            </w:r>
            <w:r>
              <w:rPr>
                <w:sz w:val="20"/>
                <w:szCs w:val="20"/>
                <w:lang w:val="en-US"/>
              </w:rPr>
              <w:br/>
              <w:t>(daily average)</w:t>
            </w:r>
          </w:p>
        </w:tc>
        <w:tc>
          <w:tcPr>
            <w:tcW w:w="3262" w:type="pct"/>
            <w:gridSpan w:val="9"/>
            <w:tcBorders>
              <w:bottom w:val="single" w:sz="4" w:space="0" w:color="auto"/>
            </w:tcBorders>
          </w:tcPr>
          <w:p w14:paraId="3A61A1DA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Joinpoint analyses (</w:t>
            </w:r>
            <w:r>
              <w:rPr>
                <w:sz w:val="20"/>
                <w:szCs w:val="20"/>
                <w:lang w:val="en-US"/>
              </w:rPr>
              <w:t xml:space="preserve">Apr18 </w:t>
            </w:r>
            <w:r w:rsidRPr="00C75DA1">
              <w:rPr>
                <w:sz w:val="20"/>
                <w:szCs w:val="20"/>
                <w:lang w:val="en-US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Jun</w:t>
            </w:r>
            <w:r w:rsidRPr="00C75DA1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C75DA1">
              <w:rPr>
                <w:sz w:val="20"/>
                <w:szCs w:val="20"/>
                <w:lang w:val="en-US"/>
              </w:rPr>
              <w:t>)</w:t>
            </w:r>
          </w:p>
        </w:tc>
      </w:tr>
      <w:tr w:rsidR="007429BE" w:rsidRPr="00C75DA1" w14:paraId="71592BD6" w14:textId="77777777" w:rsidTr="007429BE">
        <w:tc>
          <w:tcPr>
            <w:tcW w:w="486" w:type="pct"/>
          </w:tcPr>
          <w:p w14:paraId="3D5C6E8B" w14:textId="77777777" w:rsidR="007429BE" w:rsidRPr="00C75DA1" w:rsidRDefault="007429BE" w:rsidP="007367E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pct"/>
            <w:gridSpan w:val="3"/>
            <w:vMerge/>
            <w:tcMar>
              <w:left w:w="28" w:type="dxa"/>
              <w:right w:w="57" w:type="dxa"/>
            </w:tcMar>
          </w:tcPr>
          <w:p w14:paraId="1E09A011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E7048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Trend 1</w:t>
            </w:r>
          </w:p>
        </w:tc>
        <w:tc>
          <w:tcPr>
            <w:tcW w:w="117" w:type="pct"/>
            <w:tcBorders>
              <w:top w:val="single" w:sz="4" w:space="0" w:color="auto"/>
            </w:tcBorders>
          </w:tcPr>
          <w:p w14:paraId="46367EA1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6" w:type="pct"/>
            <w:gridSpan w:val="4"/>
            <w:tcBorders>
              <w:top w:val="single" w:sz="4" w:space="0" w:color="auto"/>
            </w:tcBorders>
            <w:vAlign w:val="center"/>
          </w:tcPr>
          <w:p w14:paraId="33A4C5B9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Trend 2</w:t>
            </w:r>
          </w:p>
        </w:tc>
      </w:tr>
      <w:tr w:rsidR="007429BE" w:rsidRPr="00C75DA1" w14:paraId="49A652AB" w14:textId="77777777" w:rsidTr="007429BE">
        <w:tc>
          <w:tcPr>
            <w:tcW w:w="486" w:type="pct"/>
            <w:tcBorders>
              <w:bottom w:val="single" w:sz="4" w:space="0" w:color="auto"/>
            </w:tcBorders>
            <w:vAlign w:val="bottom"/>
          </w:tcPr>
          <w:p w14:paraId="04F3B1D9" w14:textId="77777777" w:rsidR="007429BE" w:rsidRPr="00C75DA1" w:rsidRDefault="007429BE" w:rsidP="007367ED">
            <w:pPr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3FA841D" w14:textId="77777777" w:rsidR="007429BE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Apr18 to Jun18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0CAAFB72" w14:textId="77777777" w:rsidR="007429BE" w:rsidRPr="006A464A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Apr24 to Jun24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167CECA7" w14:textId="77777777" w:rsidR="007429BE" w:rsidRPr="006A464A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 change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518F8AE6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0AD0774B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7A7D34A3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30593A7E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17" w:type="pct"/>
            <w:tcBorders>
              <w:bottom w:val="single" w:sz="4" w:space="0" w:color="auto"/>
            </w:tcBorders>
          </w:tcPr>
          <w:p w14:paraId="6A25AF30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42BEC637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Period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2BC6F689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MPC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57" w:type="dxa"/>
            </w:tcMar>
          </w:tcPr>
          <w:p w14:paraId="0AECB559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C75DA1">
              <w:rPr>
                <w:sz w:val="20"/>
                <w:szCs w:val="20"/>
                <w:lang w:val="en-US"/>
              </w:rPr>
              <w:t>95% CI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5F5C710" w14:textId="77777777" w:rsidR="007429BE" w:rsidRPr="00C75DA1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</w:p>
        </w:tc>
      </w:tr>
      <w:tr w:rsidR="007429BE" w:rsidRPr="00C75DA1" w14:paraId="17C39482" w14:textId="77777777" w:rsidTr="007429BE">
        <w:tc>
          <w:tcPr>
            <w:tcW w:w="486" w:type="pct"/>
            <w:tcBorders>
              <w:top w:val="single" w:sz="4" w:space="0" w:color="auto"/>
            </w:tcBorders>
          </w:tcPr>
          <w:p w14:paraId="0CBE4B62" w14:textId="77777777" w:rsidR="007429BE" w:rsidRPr="009E7373" w:rsidRDefault="007429BE" w:rsidP="00756A8D">
            <w:pPr>
              <w:rPr>
                <w:sz w:val="20"/>
                <w:szCs w:val="20"/>
                <w:lang w:val="en-US"/>
              </w:rPr>
            </w:pPr>
            <w:r w:rsidRPr="009E7373">
              <w:rPr>
                <w:sz w:val="20"/>
                <w:szCs w:val="20"/>
                <w:lang w:val="en-US"/>
              </w:rPr>
              <w:t>England</w:t>
            </w:r>
          </w:p>
        </w:tc>
        <w:tc>
          <w:tcPr>
            <w:tcW w:w="416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7B5E993C" w14:textId="6F8D0D79" w:rsidR="007429BE" w:rsidRDefault="001F675B" w:rsidP="00756A8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138,676</w:t>
            </w:r>
          </w:p>
        </w:tc>
        <w:tc>
          <w:tcPr>
            <w:tcW w:w="418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77297A32" w14:textId="2A651FBB" w:rsidR="007429BE" w:rsidRPr="00EC59BE" w:rsidRDefault="00ED0B0A" w:rsidP="00756A8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142,663</w:t>
            </w:r>
          </w:p>
        </w:tc>
        <w:tc>
          <w:tcPr>
            <w:tcW w:w="419" w:type="pct"/>
            <w:tcBorders>
              <w:top w:val="single" w:sz="4" w:space="0" w:color="auto"/>
            </w:tcBorders>
            <w:tcMar>
              <w:left w:w="28" w:type="dxa"/>
              <w:right w:w="142" w:type="dxa"/>
            </w:tcMar>
          </w:tcPr>
          <w:p w14:paraId="0D41C37B" w14:textId="37F2315C" w:rsidR="007429BE" w:rsidRPr="00870BF0" w:rsidRDefault="00CF448D" w:rsidP="00756A8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2.88</w:t>
            </w:r>
          </w:p>
        </w:tc>
        <w:tc>
          <w:tcPr>
            <w:tcW w:w="347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2EF50E24" w14:textId="5F59EF50" w:rsidR="007429BE" w:rsidRPr="00870BF0" w:rsidRDefault="007429BE" w:rsidP="00756A8D">
            <w:pPr>
              <w:jc w:val="center"/>
              <w:rPr>
                <w:sz w:val="20"/>
                <w:szCs w:val="20"/>
                <w:lang w:val="en-US"/>
              </w:rPr>
            </w:pPr>
            <w:r w:rsidRPr="00D8165E">
              <w:rPr>
                <w:sz w:val="20"/>
                <w:szCs w:val="20"/>
                <w:lang w:val="en-US"/>
              </w:rPr>
              <w:t>Apr18 -</w:t>
            </w:r>
            <w:r w:rsidRPr="00D8165E">
              <w:rPr>
                <w:sz w:val="20"/>
                <w:szCs w:val="20"/>
                <w:lang w:val="en-US"/>
              </w:rPr>
              <w:br/>
              <w:t xml:space="preserve">  </w:t>
            </w:r>
            <w:r>
              <w:rPr>
                <w:sz w:val="20"/>
                <w:szCs w:val="20"/>
                <w:lang w:val="en-US"/>
              </w:rPr>
              <w:t>Jun24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0A2C475C" w14:textId="778AC62A" w:rsidR="007429BE" w:rsidRPr="00870BF0" w:rsidRDefault="007429BE" w:rsidP="00756A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624" w:type="pct"/>
            <w:tcBorders>
              <w:top w:val="single" w:sz="4" w:space="0" w:color="auto"/>
            </w:tcBorders>
            <w:tcMar>
              <w:left w:w="28" w:type="dxa"/>
              <w:right w:w="113" w:type="dxa"/>
            </w:tcMar>
          </w:tcPr>
          <w:p w14:paraId="5FBA4473" w14:textId="74484391" w:rsidR="007429BE" w:rsidRPr="00870BF0" w:rsidRDefault="007429BE" w:rsidP="00756A8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-0.04 to 0.13</w:t>
            </w:r>
          </w:p>
        </w:tc>
        <w:tc>
          <w:tcPr>
            <w:tcW w:w="280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07E0DA2E" w14:textId="24F232DF" w:rsidR="007429BE" w:rsidRPr="00870BF0" w:rsidRDefault="007429BE" w:rsidP="00756A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0.32</w:t>
            </w:r>
          </w:p>
        </w:tc>
        <w:tc>
          <w:tcPr>
            <w:tcW w:w="117" w:type="pct"/>
            <w:tcBorders>
              <w:top w:val="single" w:sz="4" w:space="0" w:color="auto"/>
            </w:tcBorders>
          </w:tcPr>
          <w:p w14:paraId="581EC77D" w14:textId="77777777" w:rsidR="007429BE" w:rsidRPr="00D8165E" w:rsidRDefault="007429BE" w:rsidP="00756A8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2FD7E9C4" w14:textId="2A84A32F" w:rsidR="007429BE" w:rsidRPr="00870BF0" w:rsidRDefault="007429BE" w:rsidP="00756A8D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</w:tcBorders>
            <w:tcMar>
              <w:left w:w="28" w:type="dxa"/>
              <w:right w:w="57" w:type="dxa"/>
            </w:tcMar>
          </w:tcPr>
          <w:p w14:paraId="092FD880" w14:textId="504C96B9" w:rsidR="007429BE" w:rsidRPr="00870BF0" w:rsidRDefault="007429BE" w:rsidP="00756A8D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pct"/>
            <w:tcBorders>
              <w:top w:val="single" w:sz="4" w:space="0" w:color="auto"/>
            </w:tcBorders>
            <w:tcMar>
              <w:left w:w="28" w:type="dxa"/>
              <w:right w:w="113" w:type="dxa"/>
            </w:tcMar>
          </w:tcPr>
          <w:p w14:paraId="0B91673E" w14:textId="00835F44" w:rsidR="007429BE" w:rsidRPr="00870BF0" w:rsidRDefault="007429BE" w:rsidP="00756A8D">
            <w:pPr>
              <w:jc w:val="right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14:paraId="64326699" w14:textId="1EBE734A" w:rsidR="007429BE" w:rsidRPr="00EC59BE" w:rsidRDefault="007429BE" w:rsidP="00756A8D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  <w:tr w:rsidR="007429BE" w:rsidRPr="00C75DA1" w14:paraId="42468F08" w14:textId="77777777" w:rsidTr="007429BE">
        <w:tc>
          <w:tcPr>
            <w:tcW w:w="486" w:type="pct"/>
          </w:tcPr>
          <w:p w14:paraId="45250FB3" w14:textId="77777777" w:rsidR="007429BE" w:rsidRPr="00A25EFE" w:rsidRDefault="007429BE" w:rsidP="007367ED">
            <w:pPr>
              <w:rPr>
                <w:sz w:val="20"/>
                <w:szCs w:val="20"/>
                <w:lang w:val="en-US"/>
              </w:rPr>
            </w:pPr>
            <w:r w:rsidRPr="00A25EFE">
              <w:rPr>
                <w:sz w:val="20"/>
                <w:szCs w:val="20"/>
                <w:lang w:val="en-US"/>
              </w:rPr>
              <w:t>Wales</w:t>
            </w:r>
          </w:p>
        </w:tc>
        <w:tc>
          <w:tcPr>
            <w:tcW w:w="416" w:type="pct"/>
            <w:tcMar>
              <w:left w:w="28" w:type="dxa"/>
              <w:right w:w="142" w:type="dxa"/>
            </w:tcMar>
          </w:tcPr>
          <w:p w14:paraId="39D82304" w14:textId="6A6181C2" w:rsidR="007429BE" w:rsidRDefault="00693E5C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11,128</w:t>
            </w:r>
          </w:p>
        </w:tc>
        <w:tc>
          <w:tcPr>
            <w:tcW w:w="418" w:type="pct"/>
            <w:tcMar>
              <w:left w:w="28" w:type="dxa"/>
              <w:right w:w="142" w:type="dxa"/>
            </w:tcMar>
          </w:tcPr>
          <w:p w14:paraId="33C413E4" w14:textId="1B9FCA4D" w:rsidR="007429BE" w:rsidRPr="00EC59BE" w:rsidRDefault="001B6872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9,668</w:t>
            </w:r>
          </w:p>
        </w:tc>
        <w:tc>
          <w:tcPr>
            <w:tcW w:w="419" w:type="pct"/>
            <w:tcMar>
              <w:left w:w="28" w:type="dxa"/>
              <w:right w:w="142" w:type="dxa"/>
            </w:tcMar>
          </w:tcPr>
          <w:p w14:paraId="043BD797" w14:textId="4564C87C" w:rsidR="007429BE" w:rsidRPr="005D2F10" w:rsidRDefault="006872FE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-13.11</w:t>
            </w:r>
          </w:p>
        </w:tc>
        <w:tc>
          <w:tcPr>
            <w:tcW w:w="347" w:type="pct"/>
            <w:tcMar>
              <w:left w:w="28" w:type="dxa"/>
              <w:right w:w="57" w:type="dxa"/>
            </w:tcMar>
          </w:tcPr>
          <w:p w14:paraId="06CA7375" w14:textId="7A50179A" w:rsidR="007429BE" w:rsidRPr="005D2F10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BD19FE">
              <w:rPr>
                <w:sz w:val="20"/>
                <w:szCs w:val="20"/>
                <w:lang w:val="en-US"/>
              </w:rPr>
              <w:t>Apr18 -</w:t>
            </w:r>
            <w:r w:rsidRPr="00BD19FE">
              <w:rPr>
                <w:sz w:val="20"/>
                <w:szCs w:val="20"/>
                <w:lang w:val="en-US"/>
              </w:rPr>
              <w:br/>
              <w:t xml:space="preserve"> Ma</w:t>
            </w:r>
            <w:r>
              <w:rPr>
                <w:sz w:val="20"/>
                <w:szCs w:val="20"/>
                <w:lang w:val="en-US"/>
              </w:rPr>
              <w:t>y</w:t>
            </w:r>
            <w:r w:rsidRPr="00BD19F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78" w:type="pct"/>
            <w:tcMar>
              <w:left w:w="28" w:type="dxa"/>
              <w:right w:w="57" w:type="dxa"/>
            </w:tcMar>
          </w:tcPr>
          <w:p w14:paraId="1FBBFA71" w14:textId="19D0E432" w:rsidR="007429BE" w:rsidRPr="005D2F10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0.14</w:t>
            </w:r>
          </w:p>
        </w:tc>
        <w:tc>
          <w:tcPr>
            <w:tcW w:w="624" w:type="pct"/>
            <w:tcMar>
              <w:left w:w="28" w:type="dxa"/>
              <w:right w:w="113" w:type="dxa"/>
            </w:tcMar>
          </w:tcPr>
          <w:p w14:paraId="0983779A" w14:textId="3830D01B" w:rsidR="007429BE" w:rsidRPr="005D2F10" w:rsidRDefault="007429BE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-0.03 to 0.51</w:t>
            </w:r>
          </w:p>
        </w:tc>
        <w:tc>
          <w:tcPr>
            <w:tcW w:w="280" w:type="pct"/>
            <w:tcMar>
              <w:left w:w="28" w:type="dxa"/>
              <w:right w:w="57" w:type="dxa"/>
            </w:tcMar>
          </w:tcPr>
          <w:p w14:paraId="13900B6A" w14:textId="08895FDE" w:rsidR="007429BE" w:rsidRPr="005D2F10" w:rsidRDefault="007429BE" w:rsidP="007367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0.10</w:t>
            </w:r>
          </w:p>
        </w:tc>
        <w:tc>
          <w:tcPr>
            <w:tcW w:w="117" w:type="pct"/>
          </w:tcPr>
          <w:p w14:paraId="1812AB64" w14:textId="77777777" w:rsidR="007429BE" w:rsidRPr="00BD19FE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tcMar>
              <w:left w:w="28" w:type="dxa"/>
              <w:right w:w="57" w:type="dxa"/>
            </w:tcMar>
          </w:tcPr>
          <w:p w14:paraId="1F45D28D" w14:textId="5033EE09" w:rsidR="007429BE" w:rsidRPr="005D2F10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BD19FE">
              <w:rPr>
                <w:sz w:val="20"/>
                <w:szCs w:val="20"/>
                <w:lang w:val="en-US"/>
              </w:rPr>
              <w:t>Ma</w:t>
            </w:r>
            <w:r>
              <w:rPr>
                <w:sz w:val="20"/>
                <w:szCs w:val="20"/>
                <w:lang w:val="en-US"/>
              </w:rPr>
              <w:t>y</w:t>
            </w:r>
            <w:r w:rsidRPr="00BD19FE">
              <w:rPr>
                <w:sz w:val="20"/>
                <w:szCs w:val="20"/>
                <w:lang w:val="en-US"/>
              </w:rPr>
              <w:t>22 -</w:t>
            </w:r>
            <w:r w:rsidRPr="00BD19FE">
              <w:rPr>
                <w:sz w:val="20"/>
                <w:szCs w:val="20"/>
                <w:lang w:val="en-US"/>
              </w:rPr>
              <w:br/>
              <w:t xml:space="preserve">  J</w:t>
            </w:r>
            <w:r>
              <w:rPr>
                <w:sz w:val="20"/>
                <w:szCs w:val="20"/>
                <w:lang w:val="en-US"/>
              </w:rPr>
              <w:t>u</w:t>
            </w:r>
            <w:r w:rsidRPr="00BD19FE">
              <w:rPr>
                <w:sz w:val="20"/>
                <w:szCs w:val="20"/>
                <w:lang w:val="en-US"/>
              </w:rPr>
              <w:t>n24</w:t>
            </w:r>
          </w:p>
        </w:tc>
        <w:tc>
          <w:tcPr>
            <w:tcW w:w="277" w:type="pct"/>
            <w:tcMar>
              <w:left w:w="28" w:type="dxa"/>
              <w:right w:w="57" w:type="dxa"/>
            </w:tcMar>
          </w:tcPr>
          <w:p w14:paraId="54AB400A" w14:textId="53074155" w:rsidR="007429BE" w:rsidRPr="005D2F10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-0.80</w:t>
            </w:r>
          </w:p>
        </w:tc>
        <w:tc>
          <w:tcPr>
            <w:tcW w:w="628" w:type="pct"/>
            <w:tcMar>
              <w:left w:w="28" w:type="dxa"/>
              <w:right w:w="113" w:type="dxa"/>
            </w:tcMar>
          </w:tcPr>
          <w:p w14:paraId="48C4B126" w14:textId="68966584" w:rsidR="007429BE" w:rsidRPr="005D2F10" w:rsidRDefault="007429BE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-2.26 to -0.33</w:t>
            </w:r>
          </w:p>
        </w:tc>
        <w:tc>
          <w:tcPr>
            <w:tcW w:w="344" w:type="pct"/>
          </w:tcPr>
          <w:p w14:paraId="3CCCDFC3" w14:textId="77777777" w:rsidR="007429BE" w:rsidRPr="001530D5" w:rsidRDefault="007429BE" w:rsidP="007367ED">
            <w:pPr>
              <w:jc w:val="right"/>
              <w:rPr>
                <w:sz w:val="20"/>
                <w:szCs w:val="20"/>
                <w:lang w:val="en-US"/>
              </w:rPr>
            </w:pPr>
            <w:r w:rsidRPr="001530D5">
              <w:rPr>
                <w:sz w:val="20"/>
                <w:szCs w:val="20"/>
                <w:lang w:val="en-US"/>
              </w:rPr>
              <w:t>&lt;0.01</w:t>
            </w:r>
          </w:p>
        </w:tc>
      </w:tr>
      <w:tr w:rsidR="007429BE" w:rsidRPr="00C75DA1" w14:paraId="461C23E3" w14:textId="77777777" w:rsidTr="007429BE">
        <w:tc>
          <w:tcPr>
            <w:tcW w:w="486" w:type="pct"/>
          </w:tcPr>
          <w:p w14:paraId="27EA09A3" w14:textId="77777777" w:rsidR="007429BE" w:rsidRPr="00982937" w:rsidRDefault="007429BE" w:rsidP="007367ED">
            <w:pPr>
              <w:rPr>
                <w:sz w:val="20"/>
                <w:szCs w:val="20"/>
                <w:lang w:val="en-US"/>
              </w:rPr>
            </w:pPr>
            <w:r w:rsidRPr="00982937">
              <w:rPr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416" w:type="pct"/>
            <w:tcMar>
              <w:left w:w="28" w:type="dxa"/>
              <w:right w:w="142" w:type="dxa"/>
            </w:tcMar>
          </w:tcPr>
          <w:p w14:paraId="588082FD" w14:textId="24078D9B" w:rsidR="007429BE" w:rsidRDefault="009216D9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12,869</w:t>
            </w:r>
          </w:p>
        </w:tc>
        <w:tc>
          <w:tcPr>
            <w:tcW w:w="418" w:type="pct"/>
            <w:tcMar>
              <w:left w:w="28" w:type="dxa"/>
              <w:right w:w="142" w:type="dxa"/>
            </w:tcMar>
          </w:tcPr>
          <w:p w14:paraId="552DF668" w14:textId="34BACA1B" w:rsidR="007429BE" w:rsidRPr="00EC59BE" w:rsidRDefault="00B81052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14,617</w:t>
            </w:r>
          </w:p>
        </w:tc>
        <w:tc>
          <w:tcPr>
            <w:tcW w:w="419" w:type="pct"/>
            <w:tcMar>
              <w:left w:w="28" w:type="dxa"/>
              <w:right w:w="142" w:type="dxa"/>
            </w:tcMar>
          </w:tcPr>
          <w:p w14:paraId="5F52CD18" w14:textId="39F33675" w:rsidR="007429BE" w:rsidRPr="00F306F3" w:rsidRDefault="00256195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13.58</w:t>
            </w:r>
          </w:p>
        </w:tc>
        <w:tc>
          <w:tcPr>
            <w:tcW w:w="347" w:type="pct"/>
            <w:tcMar>
              <w:left w:w="28" w:type="dxa"/>
              <w:right w:w="57" w:type="dxa"/>
            </w:tcMar>
          </w:tcPr>
          <w:p w14:paraId="0692FF58" w14:textId="77777777" w:rsidR="007429BE" w:rsidRPr="00EC59BE" w:rsidRDefault="007429BE" w:rsidP="007367E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E6252">
              <w:rPr>
                <w:sz w:val="20"/>
                <w:szCs w:val="20"/>
                <w:lang w:val="en-US"/>
              </w:rPr>
              <w:t>Apr18 -</w:t>
            </w:r>
            <w:r w:rsidRPr="007E6252">
              <w:rPr>
                <w:sz w:val="20"/>
                <w:szCs w:val="20"/>
                <w:lang w:val="en-US"/>
              </w:rPr>
              <w:br/>
              <w:t xml:space="preserve">  </w:t>
            </w:r>
            <w:r>
              <w:rPr>
                <w:sz w:val="20"/>
                <w:szCs w:val="20"/>
                <w:lang w:val="en-US"/>
              </w:rPr>
              <w:t>Jun24</w:t>
            </w:r>
          </w:p>
        </w:tc>
        <w:tc>
          <w:tcPr>
            <w:tcW w:w="278" w:type="pct"/>
            <w:tcMar>
              <w:left w:w="28" w:type="dxa"/>
              <w:right w:w="57" w:type="dxa"/>
            </w:tcMar>
          </w:tcPr>
          <w:p w14:paraId="505A7C7A" w14:textId="0EC0E39C" w:rsidR="007429BE" w:rsidRPr="00A37FE5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0.19</w:t>
            </w:r>
          </w:p>
        </w:tc>
        <w:tc>
          <w:tcPr>
            <w:tcW w:w="624" w:type="pct"/>
            <w:tcMar>
              <w:left w:w="28" w:type="dxa"/>
              <w:right w:w="113" w:type="dxa"/>
            </w:tcMar>
          </w:tcPr>
          <w:p w14:paraId="3A664649" w14:textId="7DE25105" w:rsidR="007429BE" w:rsidRPr="00A37FE5" w:rsidRDefault="007429BE" w:rsidP="007367ED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0.08 to 0.29</w:t>
            </w:r>
          </w:p>
        </w:tc>
        <w:tc>
          <w:tcPr>
            <w:tcW w:w="280" w:type="pct"/>
            <w:tcMar>
              <w:left w:w="28" w:type="dxa"/>
              <w:right w:w="57" w:type="dxa"/>
            </w:tcMar>
          </w:tcPr>
          <w:p w14:paraId="00A342ED" w14:textId="77777777" w:rsidR="007429BE" w:rsidRPr="0004643B" w:rsidRDefault="007429BE" w:rsidP="007367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&lt;0.01</w:t>
            </w:r>
          </w:p>
        </w:tc>
        <w:tc>
          <w:tcPr>
            <w:tcW w:w="117" w:type="pct"/>
          </w:tcPr>
          <w:p w14:paraId="124B40DD" w14:textId="77777777" w:rsidR="007429BE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tcMar>
              <w:left w:w="28" w:type="dxa"/>
              <w:right w:w="57" w:type="dxa"/>
            </w:tcMar>
          </w:tcPr>
          <w:p w14:paraId="6C040BB1" w14:textId="77777777" w:rsidR="007429BE" w:rsidRPr="00EC59BE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7" w:type="pct"/>
            <w:tcMar>
              <w:left w:w="28" w:type="dxa"/>
              <w:right w:w="57" w:type="dxa"/>
            </w:tcMar>
          </w:tcPr>
          <w:p w14:paraId="72416D7C" w14:textId="77777777" w:rsidR="007429BE" w:rsidRPr="00EC59BE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pct"/>
            <w:tcMar>
              <w:left w:w="57" w:type="dxa"/>
              <w:right w:w="57" w:type="dxa"/>
            </w:tcMar>
          </w:tcPr>
          <w:p w14:paraId="53123118" w14:textId="77777777" w:rsidR="007429BE" w:rsidRPr="00D60342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4" w:type="pct"/>
          </w:tcPr>
          <w:p w14:paraId="7BF25A14" w14:textId="77777777" w:rsidR="007429BE" w:rsidRPr="001530D5" w:rsidRDefault="007429BE" w:rsidP="007367ED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  <w:tr w:rsidR="007429BE" w:rsidRPr="00C75DA1" w14:paraId="593BBDE4" w14:textId="77777777" w:rsidTr="007429BE">
        <w:tc>
          <w:tcPr>
            <w:tcW w:w="486" w:type="pct"/>
          </w:tcPr>
          <w:p w14:paraId="4099A3EA" w14:textId="77777777" w:rsidR="007429BE" w:rsidRPr="00AB11D5" w:rsidRDefault="007429BE" w:rsidP="00D3442C">
            <w:pPr>
              <w:rPr>
                <w:sz w:val="20"/>
                <w:szCs w:val="20"/>
                <w:lang w:val="en-US"/>
              </w:rPr>
            </w:pPr>
            <w:r w:rsidRPr="00AB11D5">
              <w:rPr>
                <w:sz w:val="20"/>
                <w:szCs w:val="20"/>
                <w:lang w:val="en-US"/>
              </w:rPr>
              <w:t>Northern Ireland</w:t>
            </w:r>
          </w:p>
        </w:tc>
        <w:tc>
          <w:tcPr>
            <w:tcW w:w="416" w:type="pct"/>
            <w:tcMar>
              <w:left w:w="28" w:type="dxa"/>
              <w:right w:w="142" w:type="dxa"/>
            </w:tcMar>
          </w:tcPr>
          <w:p w14:paraId="613229CA" w14:textId="2FBD995C" w:rsidR="007429BE" w:rsidRDefault="00A57299" w:rsidP="00D3442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4,889</w:t>
            </w:r>
          </w:p>
        </w:tc>
        <w:tc>
          <w:tcPr>
            <w:tcW w:w="418" w:type="pct"/>
            <w:tcMar>
              <w:left w:w="28" w:type="dxa"/>
              <w:right w:w="142" w:type="dxa"/>
            </w:tcMar>
          </w:tcPr>
          <w:p w14:paraId="5C7A05CB" w14:textId="3C2AC357" w:rsidR="007429BE" w:rsidRPr="00EC59BE" w:rsidRDefault="00124576" w:rsidP="00D3442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5,362</w:t>
            </w:r>
          </w:p>
        </w:tc>
        <w:tc>
          <w:tcPr>
            <w:tcW w:w="419" w:type="pct"/>
            <w:tcMar>
              <w:left w:w="28" w:type="dxa"/>
              <w:right w:w="142" w:type="dxa"/>
            </w:tcMar>
          </w:tcPr>
          <w:p w14:paraId="503D2DAA" w14:textId="43F3CA8E" w:rsidR="007429BE" w:rsidRPr="00F306F3" w:rsidRDefault="00124576" w:rsidP="00D3442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9.67</w:t>
            </w:r>
          </w:p>
        </w:tc>
        <w:tc>
          <w:tcPr>
            <w:tcW w:w="347" w:type="pct"/>
            <w:tcMar>
              <w:left w:w="28" w:type="dxa"/>
              <w:right w:w="57" w:type="dxa"/>
            </w:tcMar>
          </w:tcPr>
          <w:p w14:paraId="560DA255" w14:textId="600722FD" w:rsidR="007429BE" w:rsidRPr="00EC59BE" w:rsidRDefault="007429BE" w:rsidP="00D3442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3609C">
              <w:rPr>
                <w:sz w:val="20"/>
                <w:szCs w:val="20"/>
                <w:lang w:val="en-US"/>
              </w:rPr>
              <w:t>Apr18 -</w:t>
            </w:r>
            <w:r w:rsidRPr="0073609C">
              <w:rPr>
                <w:sz w:val="20"/>
                <w:szCs w:val="20"/>
                <w:lang w:val="en-US"/>
              </w:rPr>
              <w:br/>
              <w:t xml:space="preserve">  </w:t>
            </w:r>
            <w:r>
              <w:rPr>
                <w:sz w:val="20"/>
                <w:szCs w:val="20"/>
                <w:lang w:val="en-US"/>
              </w:rPr>
              <w:t>Jun24</w:t>
            </w:r>
          </w:p>
        </w:tc>
        <w:tc>
          <w:tcPr>
            <w:tcW w:w="278" w:type="pct"/>
            <w:tcMar>
              <w:left w:w="28" w:type="dxa"/>
              <w:right w:w="57" w:type="dxa"/>
            </w:tcMar>
          </w:tcPr>
          <w:p w14:paraId="64196CF8" w14:textId="699A30AF" w:rsidR="007429BE" w:rsidRPr="00B81817" w:rsidRDefault="007429BE" w:rsidP="00D344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0.15</w:t>
            </w:r>
          </w:p>
        </w:tc>
        <w:tc>
          <w:tcPr>
            <w:tcW w:w="624" w:type="pct"/>
            <w:tcMar>
              <w:left w:w="28" w:type="dxa"/>
              <w:right w:w="113" w:type="dxa"/>
            </w:tcMar>
          </w:tcPr>
          <w:p w14:paraId="3E765AFB" w14:textId="2686C3A6" w:rsidR="007429BE" w:rsidRPr="00B81817" w:rsidRDefault="007429BE" w:rsidP="00D3442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0.04 to 0.26</w:t>
            </w:r>
          </w:p>
        </w:tc>
        <w:tc>
          <w:tcPr>
            <w:tcW w:w="280" w:type="pct"/>
            <w:tcMar>
              <w:left w:w="28" w:type="dxa"/>
              <w:right w:w="57" w:type="dxa"/>
            </w:tcMar>
          </w:tcPr>
          <w:p w14:paraId="5D8D36CF" w14:textId="001561C0" w:rsidR="007429BE" w:rsidRPr="00B81817" w:rsidRDefault="007429BE" w:rsidP="00D344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</w:t>
            </w:r>
          </w:p>
        </w:tc>
        <w:tc>
          <w:tcPr>
            <w:tcW w:w="117" w:type="pct"/>
          </w:tcPr>
          <w:p w14:paraId="0D7C850F" w14:textId="77777777" w:rsidR="007429BE" w:rsidRDefault="007429BE" w:rsidP="00D344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tcMar>
              <w:left w:w="28" w:type="dxa"/>
              <w:right w:w="57" w:type="dxa"/>
            </w:tcMar>
          </w:tcPr>
          <w:p w14:paraId="7D094C77" w14:textId="576980D3" w:rsidR="007429BE" w:rsidRPr="00B81817" w:rsidRDefault="007429BE" w:rsidP="00D3442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7" w:type="pct"/>
            <w:tcMar>
              <w:left w:w="28" w:type="dxa"/>
              <w:right w:w="57" w:type="dxa"/>
            </w:tcMar>
          </w:tcPr>
          <w:p w14:paraId="68C75E06" w14:textId="1955CC7C" w:rsidR="007429BE" w:rsidRPr="00B81817" w:rsidRDefault="007429BE" w:rsidP="00D3442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8" w:type="pct"/>
            <w:tcMar>
              <w:left w:w="28" w:type="dxa"/>
              <w:right w:w="113" w:type="dxa"/>
            </w:tcMar>
          </w:tcPr>
          <w:p w14:paraId="436F027E" w14:textId="09470471" w:rsidR="007429BE" w:rsidRPr="00B81817" w:rsidRDefault="007429BE" w:rsidP="00D3442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4" w:type="pct"/>
          </w:tcPr>
          <w:p w14:paraId="14BF6E59" w14:textId="0FC37268" w:rsidR="007429BE" w:rsidRPr="00B81817" w:rsidRDefault="007429BE" w:rsidP="00D3442C">
            <w:pPr>
              <w:jc w:val="center"/>
              <w:rPr>
                <w:sz w:val="20"/>
                <w:szCs w:val="20"/>
                <w:lang w:val="en-US"/>
              </w:rPr>
            </w:pPr>
            <w:r w:rsidRPr="00EC59BE">
              <w:rPr>
                <w:sz w:val="20"/>
                <w:szCs w:val="20"/>
                <w:lang w:val="en-US"/>
              </w:rPr>
              <w:t>-</w:t>
            </w:r>
          </w:p>
        </w:tc>
      </w:tr>
    </w:tbl>
    <w:p w14:paraId="647EEE9C" w14:textId="77777777" w:rsidR="003612B0" w:rsidRDefault="003612B0" w:rsidP="008B64B5">
      <w:pPr>
        <w:rPr>
          <w:b/>
          <w:bCs/>
          <w:sz w:val="18"/>
          <w:szCs w:val="18"/>
          <w:lang w:val="en-US"/>
        </w:rPr>
      </w:pPr>
    </w:p>
    <w:p w14:paraId="09BFA6AF" w14:textId="77777777" w:rsidR="003612B0" w:rsidRPr="00C75DA1" w:rsidRDefault="003612B0" w:rsidP="008B64B5">
      <w:pPr>
        <w:rPr>
          <w:b/>
          <w:bCs/>
          <w:sz w:val="18"/>
          <w:szCs w:val="18"/>
          <w:lang w:val="en-US"/>
        </w:rPr>
      </w:pPr>
    </w:p>
    <w:p w14:paraId="3CE0EAB5" w14:textId="77777777" w:rsidR="00E530E7" w:rsidRDefault="00E530E7" w:rsidP="002A5A99">
      <w:pPr>
        <w:rPr>
          <w:lang w:val="en-US"/>
        </w:rPr>
      </w:pPr>
    </w:p>
    <w:sectPr w:rsidR="00E530E7" w:rsidSect="00DB0DEC">
      <w:footerReference w:type="default" r:id="rId10"/>
      <w:pgSz w:w="16838" w:h="11906" w:orient="landscape"/>
      <w:pgMar w:top="964" w:right="1440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571A" w14:textId="77777777" w:rsidR="00D251F2" w:rsidRDefault="00D251F2" w:rsidP="00542F39">
      <w:pPr>
        <w:spacing w:after="0" w:line="240" w:lineRule="auto"/>
      </w:pPr>
      <w:r>
        <w:separator/>
      </w:r>
    </w:p>
  </w:endnote>
  <w:endnote w:type="continuationSeparator" w:id="0">
    <w:p w14:paraId="4AEA36FB" w14:textId="77777777" w:rsidR="00D251F2" w:rsidRDefault="00D251F2" w:rsidP="0054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627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EC42DA" w14:textId="1698C8AB" w:rsidR="00542F39" w:rsidRDefault="00542F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C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C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672F1" w14:textId="77777777" w:rsidR="00542F39" w:rsidRDefault="00542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A766" w14:textId="77777777" w:rsidR="00D251F2" w:rsidRDefault="00D251F2" w:rsidP="00542F39">
      <w:pPr>
        <w:spacing w:after="0" w:line="240" w:lineRule="auto"/>
      </w:pPr>
      <w:r>
        <w:separator/>
      </w:r>
    </w:p>
  </w:footnote>
  <w:footnote w:type="continuationSeparator" w:id="0">
    <w:p w14:paraId="7D480EC2" w14:textId="77777777" w:rsidR="00D251F2" w:rsidRDefault="00D251F2" w:rsidP="00542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5631E"/>
    <w:multiLevelType w:val="hybridMultilevel"/>
    <w:tmpl w:val="0A10638A"/>
    <w:lvl w:ilvl="0" w:tplc="4120C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4B"/>
    <w:rsid w:val="00005B49"/>
    <w:rsid w:val="0000708E"/>
    <w:rsid w:val="00012E30"/>
    <w:rsid w:val="0001540B"/>
    <w:rsid w:val="00020DF5"/>
    <w:rsid w:val="00025E7B"/>
    <w:rsid w:val="00036857"/>
    <w:rsid w:val="00041B1D"/>
    <w:rsid w:val="0004643B"/>
    <w:rsid w:val="0004796E"/>
    <w:rsid w:val="00054C6A"/>
    <w:rsid w:val="00054D95"/>
    <w:rsid w:val="000579F5"/>
    <w:rsid w:val="00061734"/>
    <w:rsid w:val="000622C1"/>
    <w:rsid w:val="00072F3D"/>
    <w:rsid w:val="00077909"/>
    <w:rsid w:val="00084E3B"/>
    <w:rsid w:val="0008504C"/>
    <w:rsid w:val="00086754"/>
    <w:rsid w:val="000A34E6"/>
    <w:rsid w:val="000B42C4"/>
    <w:rsid w:val="000B64C5"/>
    <w:rsid w:val="0010478A"/>
    <w:rsid w:val="001141D4"/>
    <w:rsid w:val="00114D6C"/>
    <w:rsid w:val="00120440"/>
    <w:rsid w:val="00121EF6"/>
    <w:rsid w:val="00122E44"/>
    <w:rsid w:val="00124576"/>
    <w:rsid w:val="001530D5"/>
    <w:rsid w:val="0015346C"/>
    <w:rsid w:val="00156740"/>
    <w:rsid w:val="00156D61"/>
    <w:rsid w:val="00164CBC"/>
    <w:rsid w:val="00164D19"/>
    <w:rsid w:val="00164EDA"/>
    <w:rsid w:val="001652AB"/>
    <w:rsid w:val="001710DA"/>
    <w:rsid w:val="001713FF"/>
    <w:rsid w:val="00171C1E"/>
    <w:rsid w:val="0019220D"/>
    <w:rsid w:val="001A5691"/>
    <w:rsid w:val="001A5E5C"/>
    <w:rsid w:val="001B15AF"/>
    <w:rsid w:val="001B21E3"/>
    <w:rsid w:val="001B6872"/>
    <w:rsid w:val="001C2C25"/>
    <w:rsid w:val="001D0ECF"/>
    <w:rsid w:val="001D517A"/>
    <w:rsid w:val="001E0E52"/>
    <w:rsid w:val="001E2CF0"/>
    <w:rsid w:val="001E3DD1"/>
    <w:rsid w:val="001E72A5"/>
    <w:rsid w:val="001F20ED"/>
    <w:rsid w:val="001F24C6"/>
    <w:rsid w:val="001F675B"/>
    <w:rsid w:val="002101D3"/>
    <w:rsid w:val="00212858"/>
    <w:rsid w:val="002211A0"/>
    <w:rsid w:val="00226C00"/>
    <w:rsid w:val="002301A4"/>
    <w:rsid w:val="00234AC6"/>
    <w:rsid w:val="00245BF2"/>
    <w:rsid w:val="0024642B"/>
    <w:rsid w:val="002508FA"/>
    <w:rsid w:val="00252F7B"/>
    <w:rsid w:val="002546AB"/>
    <w:rsid w:val="0025614D"/>
    <w:rsid w:val="00256195"/>
    <w:rsid w:val="002609A7"/>
    <w:rsid w:val="00267CA8"/>
    <w:rsid w:val="0028466E"/>
    <w:rsid w:val="00286004"/>
    <w:rsid w:val="002956A9"/>
    <w:rsid w:val="00295A43"/>
    <w:rsid w:val="002A0CE0"/>
    <w:rsid w:val="002A13B4"/>
    <w:rsid w:val="002A4903"/>
    <w:rsid w:val="002A5A99"/>
    <w:rsid w:val="002B0A75"/>
    <w:rsid w:val="002B442F"/>
    <w:rsid w:val="002B6D44"/>
    <w:rsid w:val="002D0D8E"/>
    <w:rsid w:val="002D2754"/>
    <w:rsid w:val="002D360A"/>
    <w:rsid w:val="002D6912"/>
    <w:rsid w:val="002D6F01"/>
    <w:rsid w:val="002F4DF5"/>
    <w:rsid w:val="00304A78"/>
    <w:rsid w:val="00304D61"/>
    <w:rsid w:val="00337B7C"/>
    <w:rsid w:val="00343FA3"/>
    <w:rsid w:val="0035071B"/>
    <w:rsid w:val="00357E68"/>
    <w:rsid w:val="003612B0"/>
    <w:rsid w:val="00362C6B"/>
    <w:rsid w:val="00365848"/>
    <w:rsid w:val="00373BB8"/>
    <w:rsid w:val="00384DE0"/>
    <w:rsid w:val="00392DAB"/>
    <w:rsid w:val="003A4871"/>
    <w:rsid w:val="003B3483"/>
    <w:rsid w:val="003B426E"/>
    <w:rsid w:val="003C2419"/>
    <w:rsid w:val="003C7936"/>
    <w:rsid w:val="003C7D1A"/>
    <w:rsid w:val="003D1E04"/>
    <w:rsid w:val="003D4272"/>
    <w:rsid w:val="003D6854"/>
    <w:rsid w:val="003F0264"/>
    <w:rsid w:val="003F09FB"/>
    <w:rsid w:val="003F49E7"/>
    <w:rsid w:val="00405BD4"/>
    <w:rsid w:val="0041262F"/>
    <w:rsid w:val="00412F24"/>
    <w:rsid w:val="0041673D"/>
    <w:rsid w:val="00417516"/>
    <w:rsid w:val="00436119"/>
    <w:rsid w:val="00446E50"/>
    <w:rsid w:val="004528CF"/>
    <w:rsid w:val="00453BCF"/>
    <w:rsid w:val="004611CA"/>
    <w:rsid w:val="0046337A"/>
    <w:rsid w:val="00465C47"/>
    <w:rsid w:val="00476286"/>
    <w:rsid w:val="00481330"/>
    <w:rsid w:val="00484BC6"/>
    <w:rsid w:val="0048696C"/>
    <w:rsid w:val="00492474"/>
    <w:rsid w:val="004C0040"/>
    <w:rsid w:val="004D4C79"/>
    <w:rsid w:val="004D7B45"/>
    <w:rsid w:val="004E15AA"/>
    <w:rsid w:val="004F3F42"/>
    <w:rsid w:val="005030FA"/>
    <w:rsid w:val="005054C6"/>
    <w:rsid w:val="005141EF"/>
    <w:rsid w:val="005149E8"/>
    <w:rsid w:val="00515A59"/>
    <w:rsid w:val="00516068"/>
    <w:rsid w:val="00521155"/>
    <w:rsid w:val="00521761"/>
    <w:rsid w:val="00525386"/>
    <w:rsid w:val="005258E0"/>
    <w:rsid w:val="00526242"/>
    <w:rsid w:val="0054091C"/>
    <w:rsid w:val="00542F39"/>
    <w:rsid w:val="0054354E"/>
    <w:rsid w:val="00543F3B"/>
    <w:rsid w:val="00544096"/>
    <w:rsid w:val="00552A03"/>
    <w:rsid w:val="00553941"/>
    <w:rsid w:val="00554D28"/>
    <w:rsid w:val="0055676A"/>
    <w:rsid w:val="00557214"/>
    <w:rsid w:val="005644BC"/>
    <w:rsid w:val="00564E2F"/>
    <w:rsid w:val="0059277E"/>
    <w:rsid w:val="005A29F0"/>
    <w:rsid w:val="005C52C4"/>
    <w:rsid w:val="005D2F10"/>
    <w:rsid w:val="005D60A6"/>
    <w:rsid w:val="005D64C1"/>
    <w:rsid w:val="005D6519"/>
    <w:rsid w:val="005E6097"/>
    <w:rsid w:val="005F0334"/>
    <w:rsid w:val="00601F4B"/>
    <w:rsid w:val="0060469B"/>
    <w:rsid w:val="00610DF8"/>
    <w:rsid w:val="00614950"/>
    <w:rsid w:val="006310AC"/>
    <w:rsid w:val="00634C35"/>
    <w:rsid w:val="00637628"/>
    <w:rsid w:val="006650E2"/>
    <w:rsid w:val="0066572D"/>
    <w:rsid w:val="00666438"/>
    <w:rsid w:val="00671AF3"/>
    <w:rsid w:val="00675A32"/>
    <w:rsid w:val="0067611D"/>
    <w:rsid w:val="00677B63"/>
    <w:rsid w:val="00681943"/>
    <w:rsid w:val="00681966"/>
    <w:rsid w:val="006859F3"/>
    <w:rsid w:val="00685B36"/>
    <w:rsid w:val="006872FE"/>
    <w:rsid w:val="00693E5C"/>
    <w:rsid w:val="006968E3"/>
    <w:rsid w:val="006A06A1"/>
    <w:rsid w:val="006A464A"/>
    <w:rsid w:val="006B786D"/>
    <w:rsid w:val="006C175A"/>
    <w:rsid w:val="006D07E3"/>
    <w:rsid w:val="006D1FEC"/>
    <w:rsid w:val="006D2AFF"/>
    <w:rsid w:val="006D4852"/>
    <w:rsid w:val="006F5B73"/>
    <w:rsid w:val="006F5FA6"/>
    <w:rsid w:val="007052A7"/>
    <w:rsid w:val="007173E0"/>
    <w:rsid w:val="007301CD"/>
    <w:rsid w:val="007429BE"/>
    <w:rsid w:val="00755FE6"/>
    <w:rsid w:val="00756A8D"/>
    <w:rsid w:val="00761111"/>
    <w:rsid w:val="00762934"/>
    <w:rsid w:val="00762DE0"/>
    <w:rsid w:val="0077095C"/>
    <w:rsid w:val="00774548"/>
    <w:rsid w:val="00774A96"/>
    <w:rsid w:val="00793738"/>
    <w:rsid w:val="00793F15"/>
    <w:rsid w:val="00794CF9"/>
    <w:rsid w:val="007A0B3B"/>
    <w:rsid w:val="007B0C85"/>
    <w:rsid w:val="007B1F41"/>
    <w:rsid w:val="007B2B11"/>
    <w:rsid w:val="007C2C79"/>
    <w:rsid w:val="007C7662"/>
    <w:rsid w:val="007C7961"/>
    <w:rsid w:val="007D0892"/>
    <w:rsid w:val="007D0C1A"/>
    <w:rsid w:val="007D38AC"/>
    <w:rsid w:val="007E3CB3"/>
    <w:rsid w:val="00832D09"/>
    <w:rsid w:val="008351D4"/>
    <w:rsid w:val="008402F1"/>
    <w:rsid w:val="0084118F"/>
    <w:rsid w:val="00850710"/>
    <w:rsid w:val="0086006A"/>
    <w:rsid w:val="00870BF0"/>
    <w:rsid w:val="008710D4"/>
    <w:rsid w:val="00873823"/>
    <w:rsid w:val="00886614"/>
    <w:rsid w:val="00887006"/>
    <w:rsid w:val="00894114"/>
    <w:rsid w:val="008A4367"/>
    <w:rsid w:val="008B24B4"/>
    <w:rsid w:val="008B5EDE"/>
    <w:rsid w:val="008B64B5"/>
    <w:rsid w:val="008C35B4"/>
    <w:rsid w:val="008C44F8"/>
    <w:rsid w:val="008E0497"/>
    <w:rsid w:val="008E2440"/>
    <w:rsid w:val="008E6E88"/>
    <w:rsid w:val="00916B48"/>
    <w:rsid w:val="009216D9"/>
    <w:rsid w:val="009233E3"/>
    <w:rsid w:val="00926DB6"/>
    <w:rsid w:val="0094648E"/>
    <w:rsid w:val="009521FA"/>
    <w:rsid w:val="00956C05"/>
    <w:rsid w:val="0096001D"/>
    <w:rsid w:val="00964509"/>
    <w:rsid w:val="00967129"/>
    <w:rsid w:val="00982937"/>
    <w:rsid w:val="009963BC"/>
    <w:rsid w:val="009A1310"/>
    <w:rsid w:val="009A455F"/>
    <w:rsid w:val="009B2B25"/>
    <w:rsid w:val="009B37DE"/>
    <w:rsid w:val="009B5E9A"/>
    <w:rsid w:val="009C0AEC"/>
    <w:rsid w:val="009C5490"/>
    <w:rsid w:val="009C63AF"/>
    <w:rsid w:val="009D2B25"/>
    <w:rsid w:val="009D33A9"/>
    <w:rsid w:val="009E3C36"/>
    <w:rsid w:val="009E69B3"/>
    <w:rsid w:val="009E7373"/>
    <w:rsid w:val="009F2697"/>
    <w:rsid w:val="00A03525"/>
    <w:rsid w:val="00A25EFE"/>
    <w:rsid w:val="00A31831"/>
    <w:rsid w:val="00A330F9"/>
    <w:rsid w:val="00A36566"/>
    <w:rsid w:val="00A37020"/>
    <w:rsid w:val="00A37FE5"/>
    <w:rsid w:val="00A47150"/>
    <w:rsid w:val="00A57299"/>
    <w:rsid w:val="00A70556"/>
    <w:rsid w:val="00A73E12"/>
    <w:rsid w:val="00A86708"/>
    <w:rsid w:val="00A87EAD"/>
    <w:rsid w:val="00A92FC5"/>
    <w:rsid w:val="00AA585C"/>
    <w:rsid w:val="00AB11D5"/>
    <w:rsid w:val="00AB2033"/>
    <w:rsid w:val="00AC38E9"/>
    <w:rsid w:val="00AC6529"/>
    <w:rsid w:val="00AD058B"/>
    <w:rsid w:val="00AD07FD"/>
    <w:rsid w:val="00AD16AF"/>
    <w:rsid w:val="00AE6334"/>
    <w:rsid w:val="00AF26AF"/>
    <w:rsid w:val="00AF4E5B"/>
    <w:rsid w:val="00AF5896"/>
    <w:rsid w:val="00AF79E4"/>
    <w:rsid w:val="00B018EE"/>
    <w:rsid w:val="00B02BF4"/>
    <w:rsid w:val="00B05B94"/>
    <w:rsid w:val="00B05C2E"/>
    <w:rsid w:val="00B143E7"/>
    <w:rsid w:val="00B2007D"/>
    <w:rsid w:val="00B22E1C"/>
    <w:rsid w:val="00B24819"/>
    <w:rsid w:val="00B24B6A"/>
    <w:rsid w:val="00B31A51"/>
    <w:rsid w:val="00B35B0B"/>
    <w:rsid w:val="00B36EEE"/>
    <w:rsid w:val="00B45E33"/>
    <w:rsid w:val="00B5245D"/>
    <w:rsid w:val="00B721DF"/>
    <w:rsid w:val="00B758F0"/>
    <w:rsid w:val="00B81052"/>
    <w:rsid w:val="00B81817"/>
    <w:rsid w:val="00B90219"/>
    <w:rsid w:val="00BA0FBE"/>
    <w:rsid w:val="00BA1D64"/>
    <w:rsid w:val="00BB0C0A"/>
    <w:rsid w:val="00BB19F3"/>
    <w:rsid w:val="00BB50E6"/>
    <w:rsid w:val="00BB6114"/>
    <w:rsid w:val="00BB6CDD"/>
    <w:rsid w:val="00BC447B"/>
    <w:rsid w:val="00BC5E45"/>
    <w:rsid w:val="00BD00DD"/>
    <w:rsid w:val="00BD22C8"/>
    <w:rsid w:val="00BE4F77"/>
    <w:rsid w:val="00BE5D76"/>
    <w:rsid w:val="00BE6295"/>
    <w:rsid w:val="00BE7400"/>
    <w:rsid w:val="00BF14C4"/>
    <w:rsid w:val="00C00E8E"/>
    <w:rsid w:val="00C15416"/>
    <w:rsid w:val="00C2597C"/>
    <w:rsid w:val="00C3630E"/>
    <w:rsid w:val="00C60525"/>
    <w:rsid w:val="00C6721D"/>
    <w:rsid w:val="00C70CED"/>
    <w:rsid w:val="00C70D06"/>
    <w:rsid w:val="00C75DA1"/>
    <w:rsid w:val="00C80962"/>
    <w:rsid w:val="00C82868"/>
    <w:rsid w:val="00C91879"/>
    <w:rsid w:val="00C92F40"/>
    <w:rsid w:val="00C9636B"/>
    <w:rsid w:val="00CA2116"/>
    <w:rsid w:val="00CB2999"/>
    <w:rsid w:val="00CD1A29"/>
    <w:rsid w:val="00CD4B63"/>
    <w:rsid w:val="00CE20A6"/>
    <w:rsid w:val="00CE2C1F"/>
    <w:rsid w:val="00CE4A5A"/>
    <w:rsid w:val="00CE4CF9"/>
    <w:rsid w:val="00CF448D"/>
    <w:rsid w:val="00D1116D"/>
    <w:rsid w:val="00D158DC"/>
    <w:rsid w:val="00D21D95"/>
    <w:rsid w:val="00D251F2"/>
    <w:rsid w:val="00D25573"/>
    <w:rsid w:val="00D25AA1"/>
    <w:rsid w:val="00D3442C"/>
    <w:rsid w:val="00D44A7E"/>
    <w:rsid w:val="00D50246"/>
    <w:rsid w:val="00D54A35"/>
    <w:rsid w:val="00D54B60"/>
    <w:rsid w:val="00D551CC"/>
    <w:rsid w:val="00D5579B"/>
    <w:rsid w:val="00D60342"/>
    <w:rsid w:val="00D6046B"/>
    <w:rsid w:val="00D6176E"/>
    <w:rsid w:val="00D723DB"/>
    <w:rsid w:val="00D83361"/>
    <w:rsid w:val="00D86AB7"/>
    <w:rsid w:val="00D94DC1"/>
    <w:rsid w:val="00DA05F7"/>
    <w:rsid w:val="00DA0A52"/>
    <w:rsid w:val="00DA1BCE"/>
    <w:rsid w:val="00DA505B"/>
    <w:rsid w:val="00DA7BEC"/>
    <w:rsid w:val="00DB0DEC"/>
    <w:rsid w:val="00DB4B11"/>
    <w:rsid w:val="00DB5B90"/>
    <w:rsid w:val="00DC6389"/>
    <w:rsid w:val="00DE0791"/>
    <w:rsid w:val="00DE646D"/>
    <w:rsid w:val="00DE692F"/>
    <w:rsid w:val="00DF0652"/>
    <w:rsid w:val="00DF2A09"/>
    <w:rsid w:val="00E01B01"/>
    <w:rsid w:val="00E049D1"/>
    <w:rsid w:val="00E10168"/>
    <w:rsid w:val="00E13741"/>
    <w:rsid w:val="00E1735F"/>
    <w:rsid w:val="00E315D7"/>
    <w:rsid w:val="00E40519"/>
    <w:rsid w:val="00E41C89"/>
    <w:rsid w:val="00E4704D"/>
    <w:rsid w:val="00E4707A"/>
    <w:rsid w:val="00E530E7"/>
    <w:rsid w:val="00E56D10"/>
    <w:rsid w:val="00E6451A"/>
    <w:rsid w:val="00E65353"/>
    <w:rsid w:val="00E670D8"/>
    <w:rsid w:val="00E67372"/>
    <w:rsid w:val="00E82600"/>
    <w:rsid w:val="00E868F1"/>
    <w:rsid w:val="00E915EB"/>
    <w:rsid w:val="00E9293C"/>
    <w:rsid w:val="00E97475"/>
    <w:rsid w:val="00EA042E"/>
    <w:rsid w:val="00EA4CB3"/>
    <w:rsid w:val="00EB069A"/>
    <w:rsid w:val="00EB1AAA"/>
    <w:rsid w:val="00EB40F2"/>
    <w:rsid w:val="00EB5688"/>
    <w:rsid w:val="00EB69CB"/>
    <w:rsid w:val="00EB6EC2"/>
    <w:rsid w:val="00EC57C2"/>
    <w:rsid w:val="00EC59BE"/>
    <w:rsid w:val="00EC5FE7"/>
    <w:rsid w:val="00EC7C29"/>
    <w:rsid w:val="00ED0B0A"/>
    <w:rsid w:val="00ED1ADB"/>
    <w:rsid w:val="00ED2FA8"/>
    <w:rsid w:val="00ED45C2"/>
    <w:rsid w:val="00ED7256"/>
    <w:rsid w:val="00EE1ACA"/>
    <w:rsid w:val="00EF1189"/>
    <w:rsid w:val="00EF39A2"/>
    <w:rsid w:val="00EF4DC1"/>
    <w:rsid w:val="00EF547E"/>
    <w:rsid w:val="00F00679"/>
    <w:rsid w:val="00F04B96"/>
    <w:rsid w:val="00F04C30"/>
    <w:rsid w:val="00F109F3"/>
    <w:rsid w:val="00F15466"/>
    <w:rsid w:val="00F221A1"/>
    <w:rsid w:val="00F26D6D"/>
    <w:rsid w:val="00F306F3"/>
    <w:rsid w:val="00F37C0D"/>
    <w:rsid w:val="00F41E50"/>
    <w:rsid w:val="00F52D2A"/>
    <w:rsid w:val="00F56C63"/>
    <w:rsid w:val="00F56D3E"/>
    <w:rsid w:val="00F61ACD"/>
    <w:rsid w:val="00F722CB"/>
    <w:rsid w:val="00F86DD5"/>
    <w:rsid w:val="00F9006C"/>
    <w:rsid w:val="00F92C80"/>
    <w:rsid w:val="00FA05F2"/>
    <w:rsid w:val="00FA1B85"/>
    <w:rsid w:val="00FB15A6"/>
    <w:rsid w:val="00FB1846"/>
    <w:rsid w:val="00FB5303"/>
    <w:rsid w:val="00FC6E90"/>
    <w:rsid w:val="00FE2273"/>
    <w:rsid w:val="00FE3E2F"/>
    <w:rsid w:val="00FE41A7"/>
    <w:rsid w:val="00FF73F2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4870"/>
  <w15:chartTrackingRefBased/>
  <w15:docId w15:val="{49AD798E-2E53-4B00-81B8-E4568EC6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3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39"/>
  </w:style>
  <w:style w:type="paragraph" w:styleId="Footer">
    <w:name w:val="footer"/>
    <w:basedOn w:val="Normal"/>
    <w:link w:val="FooterChar"/>
    <w:uiPriority w:val="99"/>
    <w:unhideWhenUsed/>
    <w:rsid w:val="00542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54C74FB1700449A1D2EC2E5A77D80" ma:contentTypeVersion="11" ma:contentTypeDescription="Create a new document." ma:contentTypeScope="" ma:versionID="870f1263e6640d23e80840e3e72413ec">
  <xsd:schema xmlns:xsd="http://www.w3.org/2001/XMLSchema" xmlns:xs="http://www.w3.org/2001/XMLSchema" xmlns:p="http://schemas.microsoft.com/office/2006/metadata/properties" xmlns:ns3="ee8746d6-0e70-4dab-b276-28e422542d2f" xmlns:ns4="c8c88429-e1a5-4fcd-9b6a-57468ba8afe4" targetNamespace="http://schemas.microsoft.com/office/2006/metadata/properties" ma:root="true" ma:fieldsID="dd8bbf0ade9f32a4111ae11b47ce86f1" ns3:_="" ns4:_="">
    <xsd:import namespace="ee8746d6-0e70-4dab-b276-28e422542d2f"/>
    <xsd:import namespace="c8c88429-e1a5-4fcd-9b6a-57468ba8a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46d6-0e70-4dab-b276-28e4225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8429-e1a5-4fcd-9b6a-57468ba8a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746d6-0e70-4dab-b276-28e422542d2f" xsi:nil="true"/>
  </documentManagement>
</p:properties>
</file>

<file path=customXml/itemProps1.xml><?xml version="1.0" encoding="utf-8"?>
<ds:datastoreItem xmlns:ds="http://schemas.openxmlformats.org/officeDocument/2006/customXml" ds:itemID="{D7354047-CFC0-4799-9334-60E872573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746d6-0e70-4dab-b276-28e422542d2f"/>
    <ds:schemaRef ds:uri="c8c88429-e1a5-4fcd-9b6a-57468ba8a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D1EB9-DC2D-4A99-B3AE-3BF508A8A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8BB65-626D-41DE-B3DB-64BAAB8558A2}">
  <ds:schemaRefs>
    <ds:schemaRef ds:uri="http://purl.org/dc/dcmitype/"/>
    <ds:schemaRef ds:uri="ee8746d6-0e70-4dab-b276-28e422542d2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8c88429-e1a5-4fcd-9b6a-57468ba8afe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Davies</dc:creator>
  <cp:keywords/>
  <dc:description/>
  <cp:lastModifiedBy>Simon Barry (Hywel Dda UHB - Respiratory Consultant)</cp:lastModifiedBy>
  <cp:revision>2</cp:revision>
  <cp:lastPrinted>2024-04-28T10:31:00Z</cp:lastPrinted>
  <dcterms:created xsi:type="dcterms:W3CDTF">2024-12-17T12:02:00Z</dcterms:created>
  <dcterms:modified xsi:type="dcterms:W3CDTF">2024-12-17T12:02:00Z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0x010100B3754C74FB1700449A1D2EC2E5A77D80</vt:lpwstr>
  </property>
</Properties>
</file>