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FE9" w:rsidRPr="00A303F9" w:rsidRDefault="00A303F9" w:rsidP="00A303F9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A303F9">
        <w:rPr>
          <w:rFonts w:ascii="Calibri" w:eastAsia="Times New Roman" w:hAnsi="Calibri" w:cs="Calibri"/>
          <w:b/>
          <w:bCs/>
          <w:color w:val="000000"/>
          <w:sz w:val="22"/>
          <w:szCs w:val="22"/>
        </w:rPr>
        <w:t>Table S1.</w:t>
      </w:r>
      <w:r w:rsidRPr="00A303F9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 w:rsidRPr="00A303F9">
        <w:rPr>
          <w:rFonts w:ascii="Calibri" w:eastAsia="Times New Roman" w:hAnsi="Calibri" w:cs="Calibri"/>
          <w:color w:val="000000"/>
          <w:sz w:val="22"/>
          <w:szCs w:val="22"/>
        </w:rPr>
        <w:t>Prevalence of cancer screening in 2021 in Iran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and its 31 provinces</w:t>
      </w:r>
      <w:r w:rsidRPr="00A303F9">
        <w:rPr>
          <w:rFonts w:ascii="Calibri" w:eastAsia="Times New Roman" w:hAnsi="Calibri" w:cs="Calibri"/>
          <w:color w:val="000000"/>
          <w:sz w:val="22"/>
          <w:szCs w:val="22"/>
        </w:rPr>
        <w:t xml:space="preserve">. The data are represented as </w:t>
      </w:r>
      <w:r w:rsidR="00D45048">
        <w:rPr>
          <w:rFonts w:ascii="Calibri" w:eastAsia="Times New Roman" w:hAnsi="Calibri" w:cs="Calibri"/>
          <w:color w:val="000000"/>
          <w:sz w:val="22"/>
          <w:szCs w:val="22"/>
        </w:rPr>
        <w:t xml:space="preserve">number, </w:t>
      </w:r>
      <w:r w:rsidRPr="00A303F9">
        <w:rPr>
          <w:rFonts w:ascii="Calibri" w:eastAsia="Times New Roman" w:hAnsi="Calibri" w:cs="Calibri"/>
          <w:color w:val="000000"/>
          <w:sz w:val="22"/>
          <w:szCs w:val="22"/>
        </w:rPr>
        <w:t>percent</w:t>
      </w:r>
      <w:r w:rsidR="00D45048">
        <w:rPr>
          <w:rFonts w:ascii="Calibri" w:eastAsia="Times New Roman" w:hAnsi="Calibri" w:cs="Calibri"/>
          <w:color w:val="000000"/>
          <w:sz w:val="22"/>
          <w:szCs w:val="22"/>
        </w:rPr>
        <w:t>,</w:t>
      </w:r>
      <w:r w:rsidRPr="00A303F9">
        <w:rPr>
          <w:rFonts w:ascii="Calibri" w:eastAsia="Times New Roman" w:hAnsi="Calibri" w:cs="Calibri"/>
          <w:color w:val="000000"/>
          <w:sz w:val="22"/>
          <w:szCs w:val="22"/>
        </w:rPr>
        <w:t xml:space="preserve"> and 95% uncertainty intervals.</w:t>
      </w:r>
      <w:bookmarkStart w:id="0" w:name="_GoBack"/>
      <w:bookmarkEnd w:id="0"/>
    </w:p>
    <w:tbl>
      <w:tblPr>
        <w:tblStyle w:val="TableGrid"/>
        <w:tblW w:w="15390" w:type="dxa"/>
        <w:tblInd w:w="-1265" w:type="dxa"/>
        <w:tblLook w:val="04A0" w:firstRow="1" w:lastRow="0" w:firstColumn="1" w:lastColumn="0" w:noHBand="0" w:noVBand="1"/>
      </w:tblPr>
      <w:tblGrid>
        <w:gridCol w:w="2970"/>
        <w:gridCol w:w="2610"/>
        <w:gridCol w:w="2700"/>
        <w:gridCol w:w="2250"/>
        <w:gridCol w:w="2520"/>
        <w:gridCol w:w="2340"/>
      </w:tblGrid>
      <w:tr w:rsidR="00A303F9" w:rsidRPr="00A303F9" w:rsidTr="00CD675E">
        <w:trPr>
          <w:trHeight w:val="288"/>
        </w:trPr>
        <w:tc>
          <w:tcPr>
            <w:tcW w:w="2970" w:type="dxa"/>
            <w:noWrap/>
          </w:tcPr>
          <w:p w:rsidR="00A303F9" w:rsidRPr="00DB16A3" w:rsidRDefault="00A303F9" w:rsidP="00A303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Location</w:t>
            </w:r>
          </w:p>
        </w:tc>
        <w:tc>
          <w:tcPr>
            <w:tcW w:w="2610" w:type="dxa"/>
            <w:noWrap/>
          </w:tcPr>
          <w:p w:rsidR="00A303F9" w:rsidRPr="00DB16A3" w:rsidRDefault="00A303F9" w:rsidP="00A303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DB16A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Breast cancer</w:t>
            </w:r>
          </w:p>
        </w:tc>
        <w:tc>
          <w:tcPr>
            <w:tcW w:w="2700" w:type="dxa"/>
            <w:noWrap/>
          </w:tcPr>
          <w:p w:rsidR="00A303F9" w:rsidRPr="00DB16A3" w:rsidRDefault="00A303F9" w:rsidP="00A303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DB16A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Cervical cancer</w:t>
            </w:r>
          </w:p>
        </w:tc>
        <w:tc>
          <w:tcPr>
            <w:tcW w:w="2250" w:type="dxa"/>
            <w:noWrap/>
          </w:tcPr>
          <w:p w:rsidR="00A303F9" w:rsidRPr="00DB16A3" w:rsidRDefault="00A303F9" w:rsidP="00A303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DB16A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Colorectal cancer (Female)</w:t>
            </w:r>
          </w:p>
        </w:tc>
        <w:tc>
          <w:tcPr>
            <w:tcW w:w="2520" w:type="dxa"/>
            <w:noWrap/>
          </w:tcPr>
          <w:p w:rsidR="00A303F9" w:rsidRPr="00DB16A3" w:rsidRDefault="00A303F9" w:rsidP="00A303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DB16A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Colorectal cancer (Male)</w:t>
            </w:r>
          </w:p>
        </w:tc>
        <w:tc>
          <w:tcPr>
            <w:tcW w:w="2340" w:type="dxa"/>
            <w:noWrap/>
          </w:tcPr>
          <w:p w:rsidR="00A303F9" w:rsidRPr="00DB16A3" w:rsidRDefault="00A303F9" w:rsidP="00A303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DB16A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Prostate cancer</w:t>
            </w:r>
          </w:p>
        </w:tc>
      </w:tr>
      <w:tr w:rsidR="00A303F9" w:rsidRPr="00A303F9" w:rsidTr="005C4414">
        <w:trPr>
          <w:trHeight w:val="288"/>
        </w:trPr>
        <w:tc>
          <w:tcPr>
            <w:tcW w:w="2970" w:type="dxa"/>
            <w:noWrap/>
            <w:vAlign w:val="center"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Iran (Islamic Republic of)</w:t>
            </w:r>
          </w:p>
        </w:tc>
        <w:tc>
          <w:tcPr>
            <w:tcW w:w="2610" w:type="dxa"/>
            <w:noWrap/>
            <w:vAlign w:val="center"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3610 (24.99% (24.22 - 25.76))</w:t>
            </w:r>
          </w:p>
        </w:tc>
        <w:tc>
          <w:tcPr>
            <w:tcW w:w="2700" w:type="dxa"/>
            <w:noWrap/>
            <w:vAlign w:val="center"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6257 (42.16% (41.29 - 43.02))</w:t>
            </w:r>
          </w:p>
        </w:tc>
        <w:tc>
          <w:tcPr>
            <w:tcW w:w="2250" w:type="dxa"/>
            <w:noWrap/>
            <w:vAlign w:val="center"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1056 (7.5% (7.03 - 7.98))</w:t>
            </w:r>
          </w:p>
        </w:tc>
        <w:tc>
          <w:tcPr>
            <w:tcW w:w="2520" w:type="dxa"/>
            <w:noWrap/>
            <w:vAlign w:val="center"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767 (6.16% (5.69 - 6.63))</w:t>
            </w:r>
          </w:p>
        </w:tc>
        <w:tc>
          <w:tcPr>
            <w:tcW w:w="2340" w:type="dxa"/>
            <w:noWrap/>
            <w:vAlign w:val="center"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1487 (12.29% (11.64 - 12.95))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Hormozgan</w:t>
            </w:r>
            <w:proofErr w:type="spellEnd"/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 (10.01% (6.57 - 13.45))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88 (27.99% (22.48 - 33.5))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 (4.91% (2.06 - 7.75))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 (4.56% (1.71 - 7.41))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 (4.88% (2.57 - 7.2))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Tehran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496 (21.46% (19.7 - 23.23))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843 (42.07% (39.71 - 44.43))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138 (5.68% (4.69 - 6.67))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67 (3.27% (2.46 - 4.08))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177 (8.38% (7.2 - 9.55))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Sistan</w:t>
            </w:r>
            <w:proofErr w:type="spellEnd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and Baluchistan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 (5.22% (3.47 - 6.97))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60 (10.92% (8.28 - 13.55))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 (2.37% (1.15 - 3.59))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 (1.44% (0.3 - 2.57))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 (3.17% (1.61 - 4.74))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Isfahan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271 (29.75% (26.62 - 32.89))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425 (53% (49.4 - 56.61))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114 (10.54% (8.66 - 12.42))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71 (8.35% (6.23 - 10.47))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105 (12.07% (9.76 - 14.38))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Khorasan-</w:t>
            </w:r>
            <w:proofErr w:type="spellStart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Razavi</w:t>
            </w:r>
            <w:proofErr w:type="spellEnd"/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136 (14.68% (12.42 - 16.93))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314 (39.2% (35.67 - 42.74))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 (5.38% (3.95 - 6.81))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 (3.93% (2.4 - 5.46))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 (5.11% (3.69 - 6.53))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Fars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198 (25.44% (22.29 - 28.59))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265 (40.02% (36.19 - 43.85))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 (4.2% (2.72 - 5.67))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 (5.55% (3.8 - 7.3))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72 (9.13% (7.07 - 11.2))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Chahar</w:t>
            </w:r>
            <w:proofErr w:type="spellEnd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Mahaal</w:t>
            </w:r>
            <w:proofErr w:type="spellEnd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and </w:t>
            </w:r>
            <w:proofErr w:type="spellStart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Bakhtiari</w:t>
            </w:r>
            <w:proofErr w:type="spellEnd"/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129 (21.77% (18.41 - 25.14))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237 (44.59% (40.22 - 48.96))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 (7.41% (5.41 - 9.4))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52 (9.2% (6.56 - 11.84))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61 (11.06% (8.14 - 13.98))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Bushehr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114 (16.09% (13.4 - 18.79))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226 (36.59% (32.61 - 40.56))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 (2.76% (1.53 - 3.99))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 (2.98% (1.67 - 4.3))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54 (8.88% (6.65 - 11.11))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Kermanshah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106 (17.83% (14.65 - 21.02))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212 (38.3% (34.02 - 42.58))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 (7.01% (5.14 - 8.87))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 (4.11% (2.61 - 5.62))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 (3.19% (1.78 - 4.6))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Yazd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169 (30.36% (26.32 - 34.39))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211 (39.33% (34.95 - 43.7))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 (4.86% (2.85 - 6.86))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 (3.18% (1.73 - 4.63))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96 (11.45% (9.07 - 13.84))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Kurdistan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78 (16.5% (13.22 - 19.78))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210 (49.37% (44.72 - 54.02))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 (4.31% (2.31 - 6.31))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 (3.38% (1.43 - 5.34))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 (8.17% (5.88 - 10.47))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Mazandaran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154 (27.92% (23.72 - 32.12))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209 (45.27% (40.3 - 50.24))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55 (9.01% (6.41 - 11.62))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 (5.01% (3.04 - 6.99))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59 (9.1% (6.77 - 11.42))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Hamedan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115 (21.97% (18.17 - 25.77))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207 (42.5% (37.94 - 47.06))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 (5.29% (3.57 - 7))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 (4.09% (2.22 - 5.96))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 (7.11% (4.92 - 9.31))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Khorasan-South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96 (21.97% (17.92 - 26.02))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188 (47.65% (42.61 - 52.69))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54 (10.43% (8.05 - 12.82))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 (9.86% (6.63 - 13.09))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 (6.36% (4.15 - 8.57))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Kohgiluyeh</w:t>
            </w:r>
            <w:proofErr w:type="spellEnd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and Boyer-Ahmad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89 (22.82% (18.66 - 26.98))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182 (49.51% (44.41 - 54.61))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 (5.37% (2.99 - 7.76))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 (6.21% (3.53 - 8.88))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 (15.08% (11.81 - 18.34))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Azarbayejan</w:t>
            </w:r>
            <w:proofErr w:type="spellEnd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-East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125 (21.41% (17.89 - 24.93))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181 (33.94% (29.62 - 38.26))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 (5.31% (3.55 - 7.06))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 (4.84% (3.09 - 6.6))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53 (8.62% (6.28 - 10.97))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Markazi</w:t>
            </w:r>
            <w:proofErr w:type="spellEnd"/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93 (20.66% (16.26 - 25.06))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179 (45.82% (40.15 - 51.5))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 (5% (3.25 - 6.76))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 (4.18% (2.19 - 6.16))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54 (11.18% (8.15 - 14.21))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Gilan</w:t>
            </w:r>
            <w:proofErr w:type="spellEnd"/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121 (22.93% (19.39 - 26.46))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176 (44.1% (38.77 - 49.44))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 (6.04% (3.73 - 8.36))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 (6.14% (2.65 - 9.63))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 (10.85% (7.59 - 14.12))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Zanjan</w:t>
            </w:r>
            <w:proofErr w:type="spellEnd"/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103 (15.91% (12.88 - 18.94))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173 (29.69% (25.77 - 33.61))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 (2.76% (1.61 - 3.92))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 (3.18% (1.77 - 4.58))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 (4.82% (3.18 - 6.46))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Qazvin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121 (34.16% (29.13 - 39.19))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171 (49.19% (44.03 - 54.35))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 (3.08% (1.26 - 4.91))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 (2.6% (1.16 - 4.05))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 (7.57% (4.81 - 10.33))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Khuzestan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111 (18.75% (15.49 - 22.01))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170 (29.32% (25.52 - 33.12))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 (1.87% (0.61 - 3.13))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 (2.41% (1.02 - 3.8))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 (6.38% (4.41 - 8.34))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Lorestan</w:t>
            </w:r>
            <w:proofErr w:type="spellEnd"/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77 (12.63% (9.87 - 15.38))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164 (31.88% (27.72 - 36.03))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 (2.97% (1.47 - 4.47))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 (3.87% (1.92 - 5.83))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 (5.76% (3.56 - 7.97))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Ardebil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78 (18.94% (15.13 - 22.74))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151 (43.17% (37.92 - 48.42))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 (6.96% (4.65 - 9.28))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 (6.84% (4.43 - 9.25))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 (11.53% (8.44 - 14.63))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Khorasan-North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59 (12.77% (9.75 - 15.79))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148 (34.14% (29.81 - 38.47))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 (4.53% (2.68 - 6.38))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 (4.67% (2.5 - 6.84))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 (7.26% (4.81 - 9.7))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Semnan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89 (18.32% (14.75 - 21.89))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136 (32.64% (27.96 - 37.33))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 (3.6% (2.05 - 5.14))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 (5.35% (3.29 - 7.4))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45 (9.34% (6.61 - 12.08))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Azarbayejan</w:t>
            </w:r>
            <w:proofErr w:type="spellEnd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-West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88 (18.52% (14.96 - 22.07))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135 (29.6% (25.39 - 33.82))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 (5.08% (3.16 - 6.99))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 (2.96% (1.31 - 4.61))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 (7.05% (4.74 - 9.37))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Golestan</w:t>
            </w:r>
            <w:proofErr w:type="spellEnd"/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51 (8.83% (6.53 - 11.12))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133 (27.09% (23.1 - 31.07))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 (3.6% (2 - 5.2))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 (3.21% (1.4 - 5.01))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 (6.23% (3.75 - 8.72))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Kerman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71 (17.03% (13.42 - 20.64))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129 (33.18% (28.57 - 37.79))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 (4.89% (2.96 - 6.83))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 (3.91% (2 - 5.82))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 (7.39% (5.05 - 9.73))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Alborz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73 (15.09% (11.71 - 18.47))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114 (26.12% (21.5 - 30.75))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 (8% (5.64 - 10.37))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 (2.23% (0.93 - 3.54))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 (9.15% (6.47 - 11.83))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Ilam</w:t>
            </w:r>
            <w:proofErr w:type="spellEnd"/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52 (15.21% (11.37 - 19.06))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112 (36.32% (31.16 - 41.47))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 (3.58% (1.36 - 5.8))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 (6.94% (4.21 - 9.68))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 (11.4% (8.1 - 14.69))</w:t>
            </w:r>
          </w:p>
        </w:tc>
      </w:tr>
      <w:tr w:rsidR="00A303F9" w:rsidRPr="00A303F9" w:rsidTr="00A303F9">
        <w:trPr>
          <w:trHeight w:val="288"/>
        </w:trPr>
        <w:tc>
          <w:tcPr>
            <w:tcW w:w="2970" w:type="dxa"/>
            <w:noWrap/>
            <w:hideMark/>
          </w:tcPr>
          <w:p w:rsidR="00A303F9" w:rsidRPr="00A303F9" w:rsidRDefault="00A303F9" w:rsidP="00A303F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Qom</w:t>
            </w:r>
          </w:p>
        </w:tc>
        <w:tc>
          <w:tcPr>
            <w:tcW w:w="261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83 (22.6% (17.97 - 27.23))</w:t>
            </w:r>
          </w:p>
        </w:tc>
        <w:tc>
          <w:tcPr>
            <w:tcW w:w="270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108 (34.17% (28.45 - 39.89))</w:t>
            </w:r>
          </w:p>
        </w:tc>
        <w:tc>
          <w:tcPr>
            <w:tcW w:w="225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 (3.63% (1.9 - 5.37))</w:t>
            </w:r>
          </w:p>
        </w:tc>
        <w:tc>
          <w:tcPr>
            <w:tcW w:w="252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 (2.52% (1.18 - 3.86))</w:t>
            </w:r>
          </w:p>
        </w:tc>
        <w:tc>
          <w:tcPr>
            <w:tcW w:w="2340" w:type="dxa"/>
            <w:noWrap/>
            <w:hideMark/>
          </w:tcPr>
          <w:p w:rsidR="00A303F9" w:rsidRPr="00A303F9" w:rsidRDefault="00A303F9" w:rsidP="00A303F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03F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 (8.89% (6.06 - 11.73))</w:t>
            </w:r>
          </w:p>
        </w:tc>
      </w:tr>
    </w:tbl>
    <w:p w:rsidR="00A303F9" w:rsidRDefault="00A303F9"/>
    <w:sectPr w:rsidR="00A303F9" w:rsidSect="00A303F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3F9"/>
    <w:rsid w:val="00890FE9"/>
    <w:rsid w:val="00A303F9"/>
    <w:rsid w:val="00B4245D"/>
    <w:rsid w:val="00D45048"/>
    <w:rsid w:val="00D54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75763"/>
  <w15:chartTrackingRefBased/>
  <w15:docId w15:val="{F9BC66FE-E2FF-4F1B-BB1F-89742806D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B82"/>
    <w:pPr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4B82"/>
    <w:pPr>
      <w:ind w:left="720"/>
      <w:contextualSpacing/>
    </w:pPr>
    <w:rPr>
      <w:rFonts w:cs="Times New Roman"/>
    </w:rPr>
  </w:style>
  <w:style w:type="table" w:styleId="TableGrid">
    <w:name w:val="Table Grid"/>
    <w:basedOn w:val="TableNormal"/>
    <w:uiPriority w:val="39"/>
    <w:rsid w:val="00A303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771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727</Words>
  <Characters>4145</Characters>
  <Application>Microsoft Office Word</Application>
  <DocSecurity>0</DocSecurity>
  <Lines>34</Lines>
  <Paragraphs>9</Paragraphs>
  <ScaleCrop>false</ScaleCrop>
  <Company/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 Nejadghaderi</dc:creator>
  <cp:keywords/>
  <dc:description/>
  <cp:lastModifiedBy>Aria Nejadghaderi</cp:lastModifiedBy>
  <cp:revision>2</cp:revision>
  <dcterms:created xsi:type="dcterms:W3CDTF">2022-02-25T08:52:00Z</dcterms:created>
  <dcterms:modified xsi:type="dcterms:W3CDTF">2022-02-25T08:55:00Z</dcterms:modified>
</cp:coreProperties>
</file>