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A6D3F" w14:textId="77777777" w:rsidR="00803EA7" w:rsidRDefault="00D22EBA">
      <w:pPr>
        <w:pStyle w:val="Heading1"/>
        <w:spacing w:line="360" w:lineRule="auto"/>
        <w:jc w:val="both"/>
      </w:pPr>
      <w:bookmarkStart w:id="0" w:name="_heixcyxyxlu" w:colFirst="0" w:colLast="0"/>
      <w:bookmarkEnd w:id="0"/>
      <w:r>
        <w:t>Supplemental materials</w:t>
      </w:r>
    </w:p>
    <w:p w14:paraId="08EDDA4A" w14:textId="77777777" w:rsidR="00803EA7" w:rsidRDefault="00D22EBA">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eMethods</w:t>
      </w:r>
      <w:proofErr w:type="spellEnd"/>
    </w:p>
    <w:p w14:paraId="27DBF88A" w14:textId="77777777" w:rsidR="00803EA7" w:rsidRDefault="00D22EBA">
      <w:pPr>
        <w:pStyle w:val="Heading2"/>
        <w:spacing w:line="360" w:lineRule="auto"/>
        <w:jc w:val="both"/>
        <w:rPr>
          <w:rFonts w:ascii="Times New Roman" w:eastAsia="Times New Roman" w:hAnsi="Times New Roman" w:cs="Times New Roman"/>
          <w:b/>
          <w:sz w:val="20"/>
          <w:szCs w:val="20"/>
        </w:rPr>
      </w:pPr>
      <w:bookmarkStart w:id="1" w:name="_j4v6i5eva7z9" w:colFirst="0" w:colLast="0"/>
      <w:bookmarkEnd w:id="1"/>
      <w:r>
        <w:rPr>
          <w:rFonts w:ascii="Times New Roman" w:eastAsia="Times New Roman" w:hAnsi="Times New Roman" w:cs="Times New Roman"/>
          <w:b/>
          <w:sz w:val="20"/>
          <w:szCs w:val="20"/>
        </w:rPr>
        <w:t>MRI acquisition</w:t>
      </w:r>
    </w:p>
    <w:p w14:paraId="3CDA8DB1" w14:textId="388A8786" w:rsidR="00803EA7" w:rsidRDefault="00D22EBA">
      <w:pPr>
        <w:shd w:val="clear" w:color="auto" w:fill="FFFFFF"/>
        <w:spacing w:after="420" w:line="36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Brain imaging was performed on a 3 T Siemens Tim Trio at </w:t>
      </w:r>
      <w:proofErr w:type="spellStart"/>
      <w:r w:rsidR="00BB02B6">
        <w:rPr>
          <w:rFonts w:ascii="Times New Roman" w:eastAsia="Times New Roman" w:hAnsi="Times New Roman" w:cs="Times New Roman"/>
          <w:color w:val="222222"/>
          <w:sz w:val="20"/>
          <w:szCs w:val="20"/>
        </w:rPr>
        <w:t>Invicro</w:t>
      </w:r>
      <w:proofErr w:type="spellEnd"/>
      <w:r>
        <w:rPr>
          <w:rFonts w:ascii="Times New Roman" w:eastAsia="Times New Roman" w:hAnsi="Times New Roman" w:cs="Times New Roman"/>
          <w:color w:val="222222"/>
          <w:sz w:val="20"/>
          <w:szCs w:val="20"/>
        </w:rPr>
        <w:t xml:space="preserve">, London, UK. Anatomical images were acquired using the ADNI-GO (Alzheimer’s Disease Neuroimaging Initiative, Grand Opportunity </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color w:val="222222"/>
          <w:sz w:val="20"/>
          <w:szCs w:val="20"/>
        </w:rPr>
        <w:t>) recommended MPRAGE parameters (1 mm isotropic voxels, TR = 2300 </w:t>
      </w:r>
      <w:proofErr w:type="spellStart"/>
      <w:r>
        <w:rPr>
          <w:rFonts w:ascii="Times New Roman" w:eastAsia="Times New Roman" w:hAnsi="Times New Roman" w:cs="Times New Roman"/>
          <w:color w:val="222222"/>
          <w:sz w:val="20"/>
          <w:szCs w:val="20"/>
        </w:rPr>
        <w:t>ms</w:t>
      </w:r>
      <w:proofErr w:type="spellEnd"/>
      <w:r>
        <w:rPr>
          <w:rFonts w:ascii="Times New Roman" w:eastAsia="Times New Roman" w:hAnsi="Times New Roman" w:cs="Times New Roman"/>
          <w:color w:val="222222"/>
          <w:sz w:val="20"/>
          <w:szCs w:val="20"/>
        </w:rPr>
        <w:t>, TE = 2.98 </w:t>
      </w:r>
      <w:proofErr w:type="spellStart"/>
      <w:r>
        <w:rPr>
          <w:rFonts w:ascii="Times New Roman" w:eastAsia="Times New Roman" w:hAnsi="Times New Roman" w:cs="Times New Roman"/>
          <w:color w:val="222222"/>
          <w:sz w:val="20"/>
          <w:szCs w:val="20"/>
        </w:rPr>
        <w:t>ms</w:t>
      </w:r>
      <w:proofErr w:type="spellEnd"/>
      <w:r>
        <w:rPr>
          <w:rFonts w:ascii="Times New Roman" w:eastAsia="Times New Roman" w:hAnsi="Times New Roman" w:cs="Times New Roman"/>
          <w:color w:val="222222"/>
          <w:sz w:val="20"/>
          <w:szCs w:val="20"/>
        </w:rPr>
        <w:t xml:space="preserve">, 160 sagittal slices, 256 × 256 in-plane FOV, flip angle = 9 degrees, bandwidth = 240 Hz/pixel, GRAPPA acceleration = 2). </w:t>
      </w:r>
    </w:p>
    <w:p w14:paraId="277A84B0" w14:textId="48D39C4B" w:rsidR="00803EA7" w:rsidRDefault="00D22EBA">
      <w:pPr>
        <w:shd w:val="clear" w:color="auto" w:fill="FFFFFF"/>
        <w:spacing w:after="420" w:line="36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In both studies, fMRI data were collected with T2*-weighted echo-planar images (EPI) with 3 mm isotropic voxels. In study 1, a 12 channel head coil was used to acquire 240 volumes in ~8 minutes: TR = 2000 </w:t>
      </w:r>
      <w:proofErr w:type="spellStart"/>
      <w:r>
        <w:rPr>
          <w:rFonts w:ascii="Times New Roman" w:eastAsia="Times New Roman" w:hAnsi="Times New Roman" w:cs="Times New Roman"/>
          <w:color w:val="222222"/>
          <w:sz w:val="20"/>
          <w:szCs w:val="20"/>
        </w:rPr>
        <w:t>ms</w:t>
      </w:r>
      <w:proofErr w:type="spellEnd"/>
      <w:r>
        <w:rPr>
          <w:rFonts w:ascii="Times New Roman" w:eastAsia="Times New Roman" w:hAnsi="Times New Roman" w:cs="Times New Roman"/>
          <w:color w:val="222222"/>
          <w:sz w:val="20"/>
          <w:szCs w:val="20"/>
        </w:rPr>
        <w:t>, TE = 31 </w:t>
      </w:r>
      <w:proofErr w:type="spellStart"/>
      <w:r>
        <w:rPr>
          <w:rFonts w:ascii="Times New Roman" w:eastAsia="Times New Roman" w:hAnsi="Times New Roman" w:cs="Times New Roman"/>
          <w:color w:val="222222"/>
          <w:sz w:val="20"/>
          <w:szCs w:val="20"/>
        </w:rPr>
        <w:t>ms</w:t>
      </w:r>
      <w:proofErr w:type="spellEnd"/>
      <w:r>
        <w:rPr>
          <w:rFonts w:ascii="Times New Roman" w:eastAsia="Times New Roman" w:hAnsi="Times New Roman" w:cs="Times New Roman"/>
          <w:color w:val="222222"/>
          <w:sz w:val="20"/>
          <w:szCs w:val="20"/>
        </w:rPr>
        <w:t xml:space="preserve">, 36 axial slices, flip angle = 80 degrees, bandwidth = 2298 Hz/pixel, GRAPPA acceleration = 2). In study 2, a </w:t>
      </w:r>
      <w:r w:rsidR="00B72C38">
        <w:rPr>
          <w:rFonts w:ascii="Times New Roman" w:eastAsia="Times New Roman" w:hAnsi="Times New Roman" w:cs="Times New Roman"/>
          <w:color w:val="222222"/>
          <w:sz w:val="20"/>
          <w:szCs w:val="20"/>
        </w:rPr>
        <w:t>32-channel</w:t>
      </w:r>
      <w:r>
        <w:rPr>
          <w:rFonts w:ascii="Times New Roman" w:eastAsia="Times New Roman" w:hAnsi="Times New Roman" w:cs="Times New Roman"/>
          <w:color w:val="222222"/>
          <w:sz w:val="20"/>
          <w:szCs w:val="20"/>
        </w:rPr>
        <w:t xml:space="preserve"> head coil was used to acquire 480 </w:t>
      </w:r>
      <w:r w:rsidR="00BB02B6">
        <w:rPr>
          <w:rFonts w:ascii="Times New Roman" w:eastAsia="Times New Roman" w:hAnsi="Times New Roman" w:cs="Times New Roman"/>
          <w:color w:val="222222"/>
          <w:sz w:val="20"/>
          <w:szCs w:val="20"/>
        </w:rPr>
        <w:t xml:space="preserve">multiband-accelerated (2x) </w:t>
      </w:r>
      <w:r>
        <w:rPr>
          <w:rFonts w:ascii="Times New Roman" w:eastAsia="Times New Roman" w:hAnsi="Times New Roman" w:cs="Times New Roman"/>
          <w:color w:val="222222"/>
          <w:sz w:val="20"/>
          <w:szCs w:val="20"/>
        </w:rPr>
        <w:t xml:space="preserve">volumes were acquired in ~10 minutes: TR = 1250 </w:t>
      </w:r>
      <w:proofErr w:type="spellStart"/>
      <w:r>
        <w:rPr>
          <w:rFonts w:ascii="Times New Roman" w:eastAsia="Times New Roman" w:hAnsi="Times New Roman" w:cs="Times New Roman"/>
          <w:color w:val="222222"/>
          <w:sz w:val="20"/>
          <w:szCs w:val="20"/>
        </w:rPr>
        <w:t>ms</w:t>
      </w:r>
      <w:proofErr w:type="spellEnd"/>
      <w:r>
        <w:rPr>
          <w:rFonts w:ascii="Times New Roman" w:eastAsia="Times New Roman" w:hAnsi="Times New Roman" w:cs="Times New Roman"/>
          <w:color w:val="222222"/>
          <w:sz w:val="20"/>
          <w:szCs w:val="20"/>
        </w:rPr>
        <w:t xml:space="preserve">, TE = 30 </w:t>
      </w:r>
      <w:proofErr w:type="spellStart"/>
      <w:r>
        <w:rPr>
          <w:rFonts w:ascii="Times New Roman" w:eastAsia="Times New Roman" w:hAnsi="Times New Roman" w:cs="Times New Roman"/>
          <w:color w:val="222222"/>
          <w:sz w:val="20"/>
          <w:szCs w:val="20"/>
        </w:rPr>
        <w:t>ms</w:t>
      </w:r>
      <w:proofErr w:type="spellEnd"/>
      <w:r>
        <w:rPr>
          <w:rFonts w:ascii="Times New Roman" w:eastAsia="Times New Roman" w:hAnsi="Times New Roman" w:cs="Times New Roman"/>
          <w:color w:val="222222"/>
          <w:sz w:val="20"/>
          <w:szCs w:val="20"/>
        </w:rPr>
        <w:t>, 44 axial slices, flip angle = 70 degrees, bandwidth = 2232 Hz/pixel, GRAPPA acceleration = 2).</w:t>
      </w:r>
    </w:p>
    <w:p w14:paraId="22410F0F" w14:textId="77777777" w:rsidR="00803EA7" w:rsidRDefault="00D22EBA">
      <w:pPr>
        <w:pStyle w:val="Heading2"/>
        <w:spacing w:line="360" w:lineRule="auto"/>
        <w:jc w:val="both"/>
      </w:pPr>
      <w:bookmarkStart w:id="2" w:name="_x4hiw93j8c71" w:colFirst="0" w:colLast="0"/>
      <w:bookmarkEnd w:id="2"/>
      <w:r>
        <w:rPr>
          <w:rFonts w:ascii="Times New Roman" w:eastAsia="Times New Roman" w:hAnsi="Times New Roman" w:cs="Times New Roman"/>
          <w:b/>
          <w:sz w:val="20"/>
          <w:szCs w:val="20"/>
        </w:rPr>
        <w:t xml:space="preserve">MRI </w:t>
      </w:r>
      <w:proofErr w:type="spellStart"/>
      <w:r>
        <w:rPr>
          <w:rFonts w:ascii="Times New Roman" w:eastAsia="Times New Roman" w:hAnsi="Times New Roman" w:cs="Times New Roman"/>
          <w:b/>
          <w:sz w:val="20"/>
          <w:szCs w:val="20"/>
        </w:rPr>
        <w:t>preprocessing</w:t>
      </w:r>
      <w:proofErr w:type="spellEnd"/>
      <w:r>
        <w:t xml:space="preserve"> </w:t>
      </w:r>
    </w:p>
    <w:p w14:paraId="34EB71FD" w14:textId="77777777" w:rsidR="00803EA7" w:rsidRDefault="00D22EBA">
      <w:pPr>
        <w:shd w:val="clear" w:color="auto" w:fill="FFFFFF"/>
        <w:spacing w:after="420" w:line="36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Imaging data were </w:t>
      </w:r>
      <w:proofErr w:type="spellStart"/>
      <w:r>
        <w:rPr>
          <w:rFonts w:ascii="Times New Roman" w:eastAsia="Times New Roman" w:hAnsi="Times New Roman" w:cs="Times New Roman"/>
          <w:color w:val="222222"/>
          <w:sz w:val="20"/>
          <w:szCs w:val="20"/>
        </w:rPr>
        <w:t>preprocessed</w:t>
      </w:r>
      <w:proofErr w:type="spellEnd"/>
      <w:r>
        <w:rPr>
          <w:rFonts w:ascii="Times New Roman" w:eastAsia="Times New Roman" w:hAnsi="Times New Roman" w:cs="Times New Roman"/>
          <w:color w:val="222222"/>
          <w:sz w:val="20"/>
          <w:szCs w:val="20"/>
        </w:rPr>
        <w:t xml:space="preserve"> via a custom in-house pipeline composed of tools from the FMRIB Software Library (FSL) </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color w:val="222222"/>
          <w:sz w:val="20"/>
          <w:szCs w:val="20"/>
        </w:rPr>
        <w:t xml:space="preserve">, Analysis of Functional </w:t>
      </w:r>
      <w:proofErr w:type="spellStart"/>
      <w:r>
        <w:rPr>
          <w:rFonts w:ascii="Times New Roman" w:eastAsia="Times New Roman" w:hAnsi="Times New Roman" w:cs="Times New Roman"/>
          <w:color w:val="222222"/>
          <w:sz w:val="20"/>
          <w:szCs w:val="20"/>
        </w:rPr>
        <w:t>NeuroImages</w:t>
      </w:r>
      <w:proofErr w:type="spellEnd"/>
      <w:r>
        <w:rPr>
          <w:rFonts w:ascii="Times New Roman" w:eastAsia="Times New Roman" w:hAnsi="Times New Roman" w:cs="Times New Roman"/>
          <w:color w:val="222222"/>
          <w:sz w:val="20"/>
          <w:szCs w:val="20"/>
        </w:rPr>
        <w:t xml:space="preserve"> (AFNI)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Freesurfer</w:t>
      </w:r>
      <w:proofErr w:type="spellEnd"/>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sz w:val="20"/>
          <w:szCs w:val="20"/>
          <w:vertAlign w:val="superscript"/>
        </w:rPr>
        <w:t>4</w:t>
      </w:r>
      <w:r>
        <w:rPr>
          <w:rFonts w:ascii="Times New Roman" w:eastAsia="Times New Roman" w:hAnsi="Times New Roman" w:cs="Times New Roman"/>
          <w:color w:val="222222"/>
          <w:sz w:val="20"/>
          <w:szCs w:val="20"/>
        </w:rPr>
        <w:t xml:space="preserve"> and Advanced Normalisation Tools (ANTs) </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color w:val="222222"/>
          <w:sz w:val="20"/>
          <w:szCs w:val="20"/>
        </w:rPr>
        <w:t xml:space="preserve"> packages. Patients were excluded if either fMRI scan contained &gt;20% of volumes with a framewise displacement (FD) greater than 0.5 mm </w:t>
      </w:r>
      <w:r>
        <w:rPr>
          <w:rFonts w:ascii="Times New Roman" w:eastAsia="Times New Roman" w:hAnsi="Times New Roman" w:cs="Times New Roman"/>
          <w:sz w:val="20"/>
          <w:szCs w:val="20"/>
          <w:vertAlign w:val="superscript"/>
        </w:rPr>
        <w:t>6</w:t>
      </w:r>
      <w:r>
        <w:rPr>
          <w:rFonts w:ascii="Times New Roman" w:eastAsia="Times New Roman" w:hAnsi="Times New Roman" w:cs="Times New Roman"/>
          <w:color w:val="222222"/>
          <w:sz w:val="20"/>
          <w:szCs w:val="20"/>
        </w:rPr>
        <w:t xml:space="preserve">. </w:t>
      </w:r>
    </w:p>
    <w:p w14:paraId="4780D1F3" w14:textId="77777777" w:rsidR="00803EA7" w:rsidRDefault="00D22EBA">
      <w:pPr>
        <w:shd w:val="clear" w:color="auto" w:fill="FFFFFF"/>
        <w:spacing w:after="420" w:line="360" w:lineRule="auto"/>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rPr>
        <w:t>Specifically, the following pre-processing stages were performed: 1) removal of the first three volumes; 2) de-spiking (3dDespike, AFNI); 3) slice time correction (3dTshift, AFNI); 4) motion correction (3dvolreg, AFNI) by registering each volume to the volume most similar, in the least-squares sense, to all others; 5) brain extraction (BET, FSL); 6) rigid body registration to anatomical scans (BBR, FSL); 7) non-linear registration to 2 mm MNI brain (Symmetric Normalization (</w:t>
      </w:r>
      <w:proofErr w:type="spellStart"/>
      <w:r>
        <w:rPr>
          <w:rFonts w:ascii="Times New Roman" w:eastAsia="Times New Roman" w:hAnsi="Times New Roman" w:cs="Times New Roman"/>
          <w:color w:val="222222"/>
          <w:sz w:val="20"/>
          <w:szCs w:val="20"/>
        </w:rPr>
        <w:t>SyN</w:t>
      </w:r>
      <w:proofErr w:type="spellEnd"/>
      <w:r>
        <w:rPr>
          <w:rFonts w:ascii="Times New Roman" w:eastAsia="Times New Roman" w:hAnsi="Times New Roman" w:cs="Times New Roman"/>
          <w:color w:val="222222"/>
          <w:sz w:val="20"/>
          <w:szCs w:val="20"/>
        </w:rPr>
        <w:t xml:space="preserve">), ANTS); 8) scrubbing </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color w:val="222222"/>
          <w:sz w:val="20"/>
          <w:szCs w:val="20"/>
        </w:rPr>
        <w:t xml:space="preserve"> - using a framewise displacement (FD) threshold of 0.5 mm, scrubbed volumes were replaced with the mean of the neighbouring volumes. 9) 6mm full width at half maximum (FWHM) gaussian spatial smoothing (3dBlurInMask, AFNI); 10) 0.01 to 0.08 Hz band-pass filtering (3dFourier, AFNI); 11) linear and quadratic de-trending (3dDetrend, AFNI); 12) Voxelwise nuisance regression with the 6 realignment motion regressors and 3 tissue signal regressors (ventricles (</w:t>
      </w:r>
      <w:proofErr w:type="spellStart"/>
      <w:r>
        <w:rPr>
          <w:rFonts w:ascii="Times New Roman" w:eastAsia="Times New Roman" w:hAnsi="Times New Roman" w:cs="Times New Roman"/>
          <w:color w:val="222222"/>
          <w:sz w:val="20"/>
          <w:szCs w:val="20"/>
        </w:rPr>
        <w:t>Freesurfer</w:t>
      </w:r>
      <w:proofErr w:type="spellEnd"/>
      <w:r>
        <w:rPr>
          <w:rFonts w:ascii="Times New Roman" w:eastAsia="Times New Roman" w:hAnsi="Times New Roman" w:cs="Times New Roman"/>
          <w:color w:val="222222"/>
          <w:sz w:val="20"/>
          <w:szCs w:val="20"/>
        </w:rPr>
        <w:t xml:space="preserve">, eroded in 2 mm space), draining veins (DV) (FSL’s CSF minus </w:t>
      </w:r>
      <w:proofErr w:type="spellStart"/>
      <w:r>
        <w:rPr>
          <w:rFonts w:ascii="Times New Roman" w:eastAsia="Times New Roman" w:hAnsi="Times New Roman" w:cs="Times New Roman"/>
          <w:color w:val="222222"/>
          <w:sz w:val="20"/>
          <w:szCs w:val="20"/>
        </w:rPr>
        <w:t>Freesurfer’s</w:t>
      </w:r>
      <w:proofErr w:type="spellEnd"/>
      <w:r>
        <w:rPr>
          <w:rFonts w:ascii="Times New Roman" w:eastAsia="Times New Roman" w:hAnsi="Times New Roman" w:cs="Times New Roman"/>
          <w:color w:val="222222"/>
          <w:sz w:val="20"/>
          <w:szCs w:val="20"/>
        </w:rPr>
        <w:t xml:space="preserve"> Ventricles, eroded in 1 mm space) and local white matter (WM) (FSL’s WM minus </w:t>
      </w:r>
      <w:proofErr w:type="spellStart"/>
      <w:r>
        <w:rPr>
          <w:rFonts w:ascii="Times New Roman" w:eastAsia="Times New Roman" w:hAnsi="Times New Roman" w:cs="Times New Roman"/>
          <w:color w:val="222222"/>
          <w:sz w:val="20"/>
          <w:szCs w:val="20"/>
        </w:rPr>
        <w:t>Freesurfer’s</w:t>
      </w:r>
      <w:proofErr w:type="spellEnd"/>
      <w:r>
        <w:rPr>
          <w:rFonts w:ascii="Times New Roman" w:eastAsia="Times New Roman" w:hAnsi="Times New Roman" w:cs="Times New Roman"/>
          <w:color w:val="222222"/>
          <w:sz w:val="20"/>
          <w:szCs w:val="20"/>
        </w:rPr>
        <w:t xml:space="preserve"> subcortical grey matter (GM) structures, eroded in 2 mm space). Regarding local WM regression, AFNI’s 3dLocalstat was used to calculate the mean local WM time-series for each voxel, using a 25 mm radius sphere centred on each voxel </w:t>
      </w:r>
      <w:r>
        <w:rPr>
          <w:rFonts w:ascii="Times New Roman" w:eastAsia="Times New Roman" w:hAnsi="Times New Roman" w:cs="Times New Roman"/>
          <w:sz w:val="20"/>
          <w:szCs w:val="20"/>
          <w:vertAlign w:val="superscript"/>
        </w:rPr>
        <w:t>8</w:t>
      </w:r>
      <w:r>
        <w:rPr>
          <w:rFonts w:ascii="Times New Roman" w:eastAsia="Times New Roman" w:hAnsi="Times New Roman" w:cs="Times New Roman"/>
          <w:b/>
          <w:sz w:val="20"/>
          <w:szCs w:val="20"/>
        </w:rPr>
        <w:t>.</w:t>
      </w:r>
    </w:p>
    <w:p w14:paraId="141FC3E3" w14:textId="77777777" w:rsidR="009B5E6D" w:rsidRDefault="00D22EBA" w:rsidP="009B5E6D">
      <w:pPr>
        <w:pStyle w:val="Heading2"/>
        <w:shd w:val="clear" w:color="auto" w:fill="FFFFFF"/>
        <w:spacing w:after="420" w:line="360" w:lineRule="auto"/>
        <w:jc w:val="both"/>
        <w:rPr>
          <w:rFonts w:ascii="Times New Roman" w:eastAsia="Times New Roman" w:hAnsi="Times New Roman" w:cs="Times New Roman"/>
          <w:b/>
          <w:sz w:val="20"/>
          <w:szCs w:val="20"/>
        </w:rPr>
      </w:pPr>
      <w:bookmarkStart w:id="3" w:name="_vmgqv1eedwc2" w:colFirst="0" w:colLast="0"/>
      <w:bookmarkEnd w:id="3"/>
      <w:r>
        <w:rPr>
          <w:rFonts w:ascii="Times New Roman" w:eastAsia="Times New Roman" w:hAnsi="Times New Roman" w:cs="Times New Roman"/>
          <w:b/>
          <w:sz w:val="20"/>
          <w:szCs w:val="20"/>
        </w:rPr>
        <w:lastRenderedPageBreak/>
        <w:t>Functional connectivity (FC)</w:t>
      </w:r>
    </w:p>
    <w:p w14:paraId="77BCD1DF" w14:textId="07418E0A" w:rsidR="00803EA7" w:rsidRPr="009B5E6D" w:rsidRDefault="00D22EBA" w:rsidP="009B5E6D">
      <w:pPr>
        <w:pStyle w:val="Heading2"/>
        <w:shd w:val="clear" w:color="auto" w:fill="FFFFFF"/>
        <w:spacing w:after="420"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color w:val="222222"/>
          <w:sz w:val="20"/>
          <w:szCs w:val="20"/>
        </w:rPr>
        <w:t xml:space="preserve">A functional atlas was used to separate the </w:t>
      </w:r>
      <w:r>
        <w:rPr>
          <w:rFonts w:ascii="Times New Roman" w:eastAsia="Times New Roman" w:hAnsi="Times New Roman" w:cs="Times New Roman"/>
          <w:sz w:val="20"/>
          <w:szCs w:val="20"/>
        </w:rPr>
        <w:t xml:space="preserve">cerebral cortex into 100 regions of interest (ROI) </w:t>
      </w:r>
      <w:r>
        <w:rPr>
          <w:rFonts w:ascii="Times New Roman" w:eastAsia="Times New Roman" w:hAnsi="Times New Roman" w:cs="Times New Roman"/>
          <w:sz w:val="20"/>
          <w:szCs w:val="20"/>
          <w:vertAlign w:val="superscript"/>
        </w:rPr>
        <w:t>9</w:t>
      </w:r>
      <w:r>
        <w:rPr>
          <w:rFonts w:ascii="Times New Roman" w:eastAsia="Times New Roman" w:hAnsi="Times New Roman" w:cs="Times New Roman"/>
          <w:sz w:val="20"/>
          <w:szCs w:val="20"/>
        </w:rPr>
        <w:t>. We then estimated the FC between each pair of ROIs by calculating a Pearson correlation coefficient between each pair of mean signal ‘timecourses’ (representing fluctuations in neural activity over time). Th</w:t>
      </w:r>
      <w:r w:rsidR="00737CA9">
        <w:rPr>
          <w:rFonts w:ascii="Times New Roman" w:eastAsia="Times New Roman" w:hAnsi="Times New Roman" w:cs="Times New Roman"/>
          <w:sz w:val="20"/>
          <w:szCs w:val="20"/>
        </w:rPr>
        <w:t>is resulted in an</w:t>
      </w:r>
      <w:r>
        <w:rPr>
          <w:rFonts w:ascii="Times New Roman" w:eastAsia="Times New Roman" w:hAnsi="Times New Roman" w:cs="Times New Roman"/>
          <w:sz w:val="20"/>
          <w:szCs w:val="20"/>
        </w:rPr>
        <w:t xml:space="preserve"> </w:t>
      </w:r>
      <m:oMath>
        <m:r>
          <w:rPr>
            <w:rFonts w:ascii="Cambria Math" w:eastAsia="Times New Roman" w:hAnsi="Cambria Math" w:cs="Times New Roman"/>
            <w:color w:val="222222"/>
            <w:sz w:val="20"/>
            <w:szCs w:val="20"/>
            <w:highlight w:val="white"/>
          </w:rPr>
          <m:t>N x N</m:t>
        </m:r>
      </m:oMath>
      <w:r>
        <w:rPr>
          <w:rFonts w:ascii="Times New Roman" w:eastAsia="Times New Roman" w:hAnsi="Times New Roman" w:cs="Times New Roman"/>
          <w:color w:val="222222"/>
          <w:sz w:val="20"/>
          <w:szCs w:val="20"/>
          <w:highlight w:val="white"/>
        </w:rPr>
        <w:t xml:space="preserve"> FC matrix, with each element representing the connectivity strength between a pair of ROIs. Positive values were </w:t>
      </w:r>
      <w:proofErr w:type="gramStart"/>
      <w:r>
        <w:rPr>
          <w:rFonts w:ascii="Times New Roman" w:eastAsia="Times New Roman" w:hAnsi="Times New Roman" w:cs="Times New Roman"/>
          <w:color w:val="222222"/>
          <w:sz w:val="20"/>
          <w:szCs w:val="20"/>
          <w:highlight w:val="white"/>
        </w:rPr>
        <w:t>retained</w:t>
      </w:r>
      <w:proofErr w:type="gramEnd"/>
      <w:r>
        <w:rPr>
          <w:rFonts w:ascii="Times New Roman" w:eastAsia="Times New Roman" w:hAnsi="Times New Roman" w:cs="Times New Roman"/>
          <w:color w:val="222222"/>
          <w:sz w:val="20"/>
          <w:szCs w:val="20"/>
          <w:highlight w:val="white"/>
        </w:rPr>
        <w:t xml:space="preserve"> and Fisher transformed to z-scores. This procedure was repeated for each patient and scan (baseline, follow-up). </w:t>
      </w:r>
    </w:p>
    <w:p w14:paraId="21CC5299" w14:textId="77777777" w:rsidR="00803EA7" w:rsidRDefault="00D22EBA">
      <w:pPr>
        <w:pStyle w:val="Heading2"/>
        <w:spacing w:line="360" w:lineRule="auto"/>
        <w:jc w:val="both"/>
        <w:rPr>
          <w:rFonts w:ascii="Times New Roman" w:eastAsia="Times New Roman" w:hAnsi="Times New Roman" w:cs="Times New Roman"/>
          <w:b/>
          <w:sz w:val="20"/>
          <w:szCs w:val="20"/>
        </w:rPr>
      </w:pPr>
      <w:bookmarkStart w:id="4" w:name="_xzinbmv4t6lt" w:colFirst="0" w:colLast="0"/>
      <w:bookmarkEnd w:id="4"/>
      <w:r>
        <w:rPr>
          <w:rFonts w:ascii="Times New Roman" w:eastAsia="Times New Roman" w:hAnsi="Times New Roman" w:cs="Times New Roman"/>
          <w:b/>
          <w:sz w:val="20"/>
          <w:szCs w:val="20"/>
        </w:rPr>
        <w:t xml:space="preserve">Modularity </w:t>
      </w:r>
    </w:p>
    <w:p w14:paraId="3689715A" w14:textId="41CB7E6B"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 xml:space="preserve">The FC matrices were used to summarise the community structure and segregation of brain networks using a common Louvain-like community detection algorithm </w:t>
      </w:r>
      <w:r>
        <w:rPr>
          <w:rFonts w:ascii="Times New Roman" w:eastAsia="Times New Roman" w:hAnsi="Times New Roman" w:cs="Times New Roman"/>
          <w:sz w:val="20"/>
          <w:szCs w:val="20"/>
          <w:vertAlign w:val="superscript"/>
        </w:rPr>
        <w:t>10</w:t>
      </w:r>
      <w:r>
        <w:rPr>
          <w:rFonts w:ascii="Times New Roman" w:eastAsia="Times New Roman" w:hAnsi="Times New Roman" w:cs="Times New Roman"/>
          <w:color w:val="222222"/>
          <w:sz w:val="20"/>
          <w:szCs w:val="20"/>
          <w:highlight w:val="white"/>
        </w:rPr>
        <w:t xml:space="preserve"> wh</w:t>
      </w:r>
      <w:r w:rsidR="00737CA9">
        <w:rPr>
          <w:rFonts w:ascii="Times New Roman" w:eastAsia="Times New Roman" w:hAnsi="Times New Roman" w:cs="Times New Roman"/>
          <w:color w:val="222222"/>
          <w:sz w:val="20"/>
          <w:szCs w:val="20"/>
          <w:highlight w:val="white"/>
        </w:rPr>
        <w:t>ere the</w:t>
      </w:r>
      <w:r>
        <w:rPr>
          <w:rFonts w:ascii="Times New Roman" w:eastAsia="Times New Roman" w:hAnsi="Times New Roman" w:cs="Times New Roman"/>
          <w:color w:val="222222"/>
          <w:sz w:val="20"/>
          <w:szCs w:val="20"/>
          <w:highlight w:val="white"/>
        </w:rPr>
        <w:t xml:space="preserve"> objective is to maximise the extent to which brain areas can be separated into non-overlapping communities or modules </w:t>
      </w:r>
      <w:r>
        <w:rPr>
          <w:rFonts w:ascii="Times New Roman" w:eastAsia="Times New Roman" w:hAnsi="Times New Roman" w:cs="Times New Roman"/>
          <w:sz w:val="20"/>
          <w:szCs w:val="20"/>
          <w:vertAlign w:val="superscript"/>
        </w:rPr>
        <w:t>11</w:t>
      </w:r>
      <w:r>
        <w:rPr>
          <w:rFonts w:ascii="Times New Roman" w:eastAsia="Times New Roman" w:hAnsi="Times New Roman" w:cs="Times New Roman"/>
          <w:color w:val="222222"/>
          <w:sz w:val="20"/>
          <w:szCs w:val="20"/>
          <w:highlight w:val="white"/>
        </w:rPr>
        <w:t>. The modularity quality function score,</w:t>
      </w:r>
      <w:r w:rsidR="00734D1F">
        <w:rPr>
          <w:rFonts w:ascii="Times New Roman" w:eastAsia="Times New Roman" w:hAnsi="Times New Roman" w:cs="Times New Roman"/>
          <w:color w:val="222222"/>
          <w:sz w:val="20"/>
          <w:szCs w:val="20"/>
          <w:highlight w:val="white"/>
        </w:rPr>
        <w:t xml:space="preserve"> </w:t>
      </w:r>
      <m:oMath>
        <m:r>
          <w:rPr>
            <w:rFonts w:ascii="Cambria Math" w:eastAsia="Times New Roman" w:hAnsi="Cambria Math" w:cs="Times New Roman"/>
            <w:sz w:val="20"/>
            <w:szCs w:val="20"/>
          </w:rPr>
          <m:t>Q</m:t>
        </m:r>
      </m:oMath>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11–13</w:t>
      </w:r>
      <w:r>
        <w:rPr>
          <w:rFonts w:ascii="Times New Roman" w:eastAsia="Times New Roman" w:hAnsi="Times New Roman" w:cs="Times New Roman"/>
          <w:sz w:val="20"/>
          <w:szCs w:val="20"/>
        </w:rPr>
        <w:t xml:space="preserve">, tends to be high when the brain exhibits a high segregation between its functional networks (e.g., strong clusters of </w:t>
      </w:r>
      <w:proofErr w:type="gramStart"/>
      <w:r>
        <w:rPr>
          <w:rFonts w:ascii="Times New Roman" w:eastAsia="Times New Roman" w:hAnsi="Times New Roman" w:cs="Times New Roman"/>
          <w:sz w:val="20"/>
          <w:szCs w:val="20"/>
        </w:rPr>
        <w:t>FC</w:t>
      </w:r>
      <w:proofErr w:type="gramEnd"/>
      <w:r>
        <w:rPr>
          <w:rFonts w:ascii="Times New Roman" w:eastAsia="Times New Roman" w:hAnsi="Times New Roman" w:cs="Times New Roman"/>
          <w:sz w:val="20"/>
          <w:szCs w:val="20"/>
        </w:rPr>
        <w:t xml:space="preserve"> within brain networks/communities with weak FC to the rest of the brain). </w:t>
      </w:r>
    </w:p>
    <w:p w14:paraId="51CE6542" w14:textId="77777777" w:rsidR="00803EA7" w:rsidRDefault="00803EA7">
      <w:pPr>
        <w:spacing w:line="360" w:lineRule="auto"/>
        <w:jc w:val="both"/>
        <w:rPr>
          <w:rFonts w:ascii="Times New Roman" w:eastAsia="Times New Roman" w:hAnsi="Times New Roman" w:cs="Times New Roman"/>
          <w:sz w:val="20"/>
          <w:szCs w:val="20"/>
        </w:rPr>
      </w:pPr>
    </w:p>
    <w:p w14:paraId="760F6D77" w14:textId="72E0D385"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approach has been commonly applied to fMRI data to characterise how brain function adapts in </w:t>
      </w:r>
      <w:proofErr w:type="gramStart"/>
      <w:r>
        <w:rPr>
          <w:rFonts w:ascii="Times New Roman" w:eastAsia="Times New Roman" w:hAnsi="Times New Roman" w:cs="Times New Roman"/>
          <w:sz w:val="20"/>
          <w:szCs w:val="20"/>
        </w:rPr>
        <w:t>a number of</w:t>
      </w:r>
      <w:proofErr w:type="gramEnd"/>
      <w:r>
        <w:rPr>
          <w:rFonts w:ascii="Times New Roman" w:eastAsia="Times New Roman" w:hAnsi="Times New Roman" w:cs="Times New Roman"/>
          <w:sz w:val="20"/>
          <w:szCs w:val="20"/>
        </w:rPr>
        <w:t xml:space="preserve"> contexts </w:t>
      </w:r>
      <w:r>
        <w:rPr>
          <w:rFonts w:ascii="Times New Roman" w:eastAsia="Times New Roman" w:hAnsi="Times New Roman" w:cs="Times New Roman"/>
          <w:sz w:val="20"/>
          <w:szCs w:val="20"/>
          <w:vertAlign w:val="superscript"/>
        </w:rPr>
        <w:t>14,15</w:t>
      </w:r>
      <w:r>
        <w:rPr>
          <w:rFonts w:ascii="Times New Roman" w:eastAsia="Times New Roman" w:hAnsi="Times New Roman" w:cs="Times New Roman"/>
          <w:color w:val="222222"/>
          <w:sz w:val="20"/>
          <w:szCs w:val="20"/>
          <w:highlight w:val="white"/>
        </w:rPr>
        <w:t xml:space="preserve">, including in depression studies </w:t>
      </w:r>
      <w:r>
        <w:rPr>
          <w:rFonts w:ascii="Times New Roman" w:eastAsia="Times New Roman" w:hAnsi="Times New Roman" w:cs="Times New Roman"/>
          <w:sz w:val="20"/>
          <w:szCs w:val="20"/>
          <w:vertAlign w:val="superscript"/>
        </w:rPr>
        <w:t>16,17</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sz w:val="20"/>
          <w:szCs w:val="20"/>
        </w:rPr>
        <w:t xml:space="preserve">Here, modularity, </w:t>
      </w:r>
      <m:oMath>
        <m:r>
          <w:rPr>
            <w:rFonts w:ascii="Cambria Math" w:eastAsia="Times New Roman" w:hAnsi="Cambria Math" w:cs="Times New Roman"/>
            <w:sz w:val="20"/>
            <w:szCs w:val="20"/>
          </w:rPr>
          <m:t>Q</m:t>
        </m:r>
      </m:oMath>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11,18</w:t>
      </w:r>
      <w:r>
        <w:rPr>
          <w:rFonts w:ascii="Times New Roman" w:eastAsia="Times New Roman" w:hAnsi="Times New Roman" w:cs="Times New Roman"/>
          <w:sz w:val="20"/>
          <w:szCs w:val="20"/>
        </w:rPr>
        <w:t xml:space="preserve"> was defined in the standard way by: </w:t>
      </w:r>
    </w:p>
    <w:p w14:paraId="66E8E8C8" w14:textId="6F73510E" w:rsidR="00FB3326" w:rsidRDefault="00FB3326">
      <w:pPr>
        <w:spacing w:line="360" w:lineRule="auto"/>
        <w:jc w:val="both"/>
        <w:rPr>
          <w:rFonts w:ascii="Times New Roman" w:eastAsia="Times New Roman" w:hAnsi="Times New Roman" w:cs="Times New Roman"/>
          <w:sz w:val="20"/>
          <w:szCs w:val="20"/>
        </w:rPr>
      </w:pPr>
    </w:p>
    <w:tbl>
      <w:tblPr>
        <w:tblStyle w:val="a"/>
        <w:tblW w:w="90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975"/>
        <w:gridCol w:w="4819"/>
        <w:gridCol w:w="2221"/>
      </w:tblGrid>
      <w:tr w:rsidR="00803EA7" w14:paraId="1BD4B9D6" w14:textId="77777777" w:rsidTr="0072543C">
        <w:trPr>
          <w:trHeight w:val="960"/>
        </w:trPr>
        <w:tc>
          <w:tcPr>
            <w:tcW w:w="1975" w:type="dxa"/>
            <w:shd w:val="clear" w:color="auto" w:fill="auto"/>
            <w:tcMar>
              <w:top w:w="100" w:type="dxa"/>
              <w:left w:w="100" w:type="dxa"/>
              <w:bottom w:w="100" w:type="dxa"/>
              <w:right w:w="100" w:type="dxa"/>
            </w:tcMar>
          </w:tcPr>
          <w:p w14:paraId="48E75BED" w14:textId="77777777" w:rsidR="00803EA7" w:rsidRDefault="00803EA7">
            <w:pPr>
              <w:widowControl w:val="0"/>
              <w:spacing w:line="240" w:lineRule="auto"/>
              <w:rPr>
                <w:rFonts w:ascii="Times New Roman" w:eastAsia="Times New Roman" w:hAnsi="Times New Roman" w:cs="Times New Roman"/>
                <w:sz w:val="20"/>
                <w:szCs w:val="20"/>
              </w:rPr>
            </w:pPr>
          </w:p>
        </w:tc>
        <w:tc>
          <w:tcPr>
            <w:tcW w:w="4819" w:type="dxa"/>
            <w:shd w:val="clear" w:color="auto" w:fill="auto"/>
            <w:tcMar>
              <w:top w:w="100" w:type="dxa"/>
              <w:left w:w="100" w:type="dxa"/>
              <w:bottom w:w="100" w:type="dxa"/>
              <w:right w:w="100" w:type="dxa"/>
            </w:tcMar>
          </w:tcPr>
          <w:p w14:paraId="6EBE69F0" w14:textId="35F974FB" w:rsidR="00803EA7" w:rsidRPr="009E077E" w:rsidRDefault="0072543C" w:rsidP="00FB3326">
            <w:pPr>
              <w:spacing w:line="360" w:lineRule="auto"/>
              <w:jc w:val="both"/>
              <w:rPr>
                <w:rFonts w:ascii="Times New Roman" w:eastAsia="Times New Roman" w:hAnsi="Times New Roman" w:cs="Times New Roman"/>
                <w:sz w:val="20"/>
                <w:szCs w:val="20"/>
                <w:highlight w:val="yellow"/>
              </w:rPr>
            </w:pPr>
            <m:oMathPara>
              <m:oMath>
                <m:r>
                  <w:rPr>
                    <w:rFonts w:ascii="Cambria Math" w:eastAsia="Times New Roman" w:hAnsi="Cambria Math" w:cs="Times New Roman"/>
                    <w:sz w:val="20"/>
                    <w:szCs w:val="20"/>
                  </w:rPr>
                  <m:t>Q=</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2m</m:t>
                    </m:r>
                  </m:den>
                </m:f>
                <m:r>
                  <w:rPr>
                    <w:rFonts w:ascii="Cambria Math" w:eastAsia="Times New Roman" w:hAnsi="Cambria Math" w:cs="Times New Roman"/>
                    <w:sz w:val="20"/>
                    <w:szCs w:val="20"/>
                  </w:rPr>
                  <m:t xml:space="preserve"> </m:t>
                </m:r>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ij</m:t>
                    </m:r>
                  </m:sub>
                  <m:sup/>
                  <m:e>
                    <m:d>
                      <m:dPr>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ij</m:t>
                            </m:r>
                          </m:sub>
                        </m:sSub>
                        <m:r>
                          <w:rPr>
                            <w:rFonts w:ascii="Cambria Math" w:eastAsia="Times New Roman" w:hAnsi="Cambria Math" w:cs="Times New Roman"/>
                            <w:sz w:val="20"/>
                            <w:szCs w:val="20"/>
                          </w:rPr>
                          <m:t>-γ</m:t>
                        </m:r>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i</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j</m:t>
                                </m:r>
                              </m:sub>
                            </m:sSub>
                          </m:num>
                          <m:den>
                            <m:r>
                              <w:rPr>
                                <w:rFonts w:ascii="Cambria Math" w:eastAsia="Times New Roman" w:hAnsi="Cambria Math" w:cs="Times New Roman"/>
                                <w:sz w:val="20"/>
                                <w:szCs w:val="20"/>
                              </w:rPr>
                              <m:t>2m</m:t>
                            </m:r>
                          </m:den>
                        </m:f>
                      </m:e>
                    </m:d>
                    <m:r>
                      <w:rPr>
                        <w:rFonts w:ascii="Cambria Math" w:eastAsia="Times New Roman" w:hAnsi="Cambria Math" w:cs="Times New Roman"/>
                        <w:sz w:val="20"/>
                        <w:szCs w:val="20"/>
                      </w:rPr>
                      <m:t>δ</m:t>
                    </m:r>
                    <m:d>
                      <m:dPr>
                        <m:ctrlPr>
                          <w:rPr>
                            <w:rFonts w:ascii="Cambria Math" w:eastAsia="Times New Roman" w:hAnsi="Cambria Math" w:cs="Times New Roman"/>
                            <w:sz w:val="20"/>
                            <w:szCs w:val="20"/>
                          </w:rPr>
                        </m:ctrlPr>
                      </m:dPr>
                      <m:e>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j</m:t>
                            </m:r>
                          </m:sub>
                        </m:sSub>
                      </m:e>
                    </m:d>
                    <m:r>
                      <w:rPr>
                        <w:rFonts w:ascii="Cambria Math" w:eastAsia="Times New Roman" w:hAnsi="Times New Roman" w:cs="Times New Roman"/>
                        <w:sz w:val="20"/>
                        <w:szCs w:val="20"/>
                      </w:rPr>
                      <m:t>,</m:t>
                    </m:r>
                  </m:e>
                </m:nary>
              </m:oMath>
            </m:oMathPara>
          </w:p>
        </w:tc>
        <w:tc>
          <w:tcPr>
            <w:tcW w:w="2221" w:type="dxa"/>
            <w:shd w:val="clear" w:color="auto" w:fill="auto"/>
            <w:tcMar>
              <w:top w:w="100" w:type="dxa"/>
              <w:left w:w="100" w:type="dxa"/>
              <w:bottom w:w="100" w:type="dxa"/>
              <w:right w:w="100" w:type="dxa"/>
            </w:tcMar>
          </w:tcPr>
          <w:p w14:paraId="19F30A09" w14:textId="77777777" w:rsidR="00803EA7" w:rsidRDefault="00D22EBA">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4AEA13EB" w14:textId="32C1380C" w:rsidR="00803EA7" w:rsidRDefault="00734D1F">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00D22EBA">
        <w:rPr>
          <w:rFonts w:ascii="Times New Roman" w:eastAsia="Times New Roman" w:hAnsi="Times New Roman" w:cs="Times New Roman"/>
          <w:sz w:val="20"/>
          <w:szCs w:val="20"/>
        </w:rPr>
        <w:t>here</w:t>
      </w:r>
      <w:r>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ij</m:t>
            </m:r>
          </m:sub>
        </m:sSub>
      </m:oMath>
      <w:r w:rsidR="00D22EBA">
        <w:rPr>
          <w:rFonts w:ascii="Times New Roman" w:eastAsia="Times New Roman" w:hAnsi="Times New Roman" w:cs="Times New Roman"/>
          <w:sz w:val="20"/>
          <w:szCs w:val="20"/>
        </w:rPr>
        <w:t xml:space="preserve"> represents the weight of FC (correlation) between ROI </w:t>
      </w:r>
      <m:oMath>
        <m:r>
          <w:rPr>
            <w:rFonts w:ascii="Cambria Math" w:eastAsia="Times New Roman" w:hAnsi="Cambria Math" w:cs="Times New Roman"/>
            <w:sz w:val="20"/>
            <w:szCs w:val="20"/>
          </w:rPr>
          <m:t>i</m:t>
        </m:r>
      </m:oMath>
      <w:r>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and </w:t>
      </w:r>
      <m:oMath>
        <m:r>
          <w:rPr>
            <w:rFonts w:ascii="Cambria Math" w:eastAsia="Times New Roman" w:hAnsi="Cambria Math" w:cs="Times New Roman"/>
            <w:sz w:val="20"/>
            <w:szCs w:val="20"/>
          </w:rPr>
          <m:t>j</m:t>
        </m:r>
      </m:oMath>
      <w:r w:rsidR="00D22EBA">
        <w:rPr>
          <w:rFonts w:ascii="Times New Roman" w:eastAsia="Times New Roman" w:hAnsi="Times New Roman" w:cs="Times New Roman"/>
          <w:sz w:val="20"/>
          <w:szCs w:val="20"/>
        </w:rPr>
        <w:t xml:space="preserve">, </w:t>
      </w:r>
      <m:oMath>
        <m:r>
          <w:rPr>
            <w:rFonts w:ascii="Cambria Math" w:hAnsi="Cambria Math"/>
          </w:rPr>
          <m:t>γ</m:t>
        </m:r>
      </m:oMath>
      <w:r w:rsidR="00D22EBA">
        <w:rPr>
          <w:rFonts w:ascii="Times New Roman" w:eastAsia="Times New Roman" w:hAnsi="Times New Roman" w:cs="Times New Roman"/>
          <w:sz w:val="20"/>
          <w:szCs w:val="20"/>
        </w:rPr>
        <w:t xml:space="preserve"> is the structural resolution free parameter (set to 1) and </w:t>
      </w:r>
      <m:oMath>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i</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j</m:t>
                </m:r>
              </m:sub>
            </m:sSub>
          </m:num>
          <m:den>
            <m:r>
              <w:rPr>
                <w:rFonts w:ascii="Cambria Math" w:eastAsia="Times New Roman" w:hAnsi="Cambria Math" w:cs="Times New Roman"/>
                <w:sz w:val="20"/>
                <w:szCs w:val="20"/>
              </w:rPr>
              <m:t>2m</m:t>
            </m:r>
          </m:den>
        </m:f>
      </m:oMath>
      <w:r>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is the expected null FC defined with</w:t>
      </w:r>
      <w:r>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 xml:space="preserve">= </m:t>
        </m:r>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j</m:t>
            </m:r>
          </m:sub>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ij</m:t>
                </m:r>
              </m:sub>
            </m:sSub>
          </m:e>
        </m:nary>
      </m:oMath>
      <w:r>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 as the total FC across all connections with ROI </w:t>
      </w:r>
      <m:oMath>
        <m:r>
          <w:rPr>
            <w:rFonts w:ascii="Cambria Math" w:eastAsia="Times New Roman" w:hAnsi="Cambria Math" w:cs="Times New Roman"/>
            <w:sz w:val="20"/>
            <w:szCs w:val="20"/>
          </w:rPr>
          <m:t>i</m:t>
        </m:r>
      </m:oMath>
      <w:r w:rsidR="00D22EBA">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m:t>
            </m:r>
          </m:sub>
        </m:sSub>
      </m:oMath>
      <w:r>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is the community to which ROI </w:t>
      </w:r>
      <m:oMath>
        <m:r>
          <w:rPr>
            <w:rFonts w:ascii="Cambria Math" w:eastAsia="Times New Roman" w:hAnsi="Cambria Math" w:cs="Times New Roman"/>
            <w:sz w:val="20"/>
            <w:szCs w:val="20"/>
          </w:rPr>
          <m:t>i</m:t>
        </m:r>
      </m:oMath>
      <w:r w:rsidR="00226737">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is assigned, </w:t>
      </w:r>
      <m:oMath>
        <m:r>
          <w:rPr>
            <w:rFonts w:ascii="Cambria Math" w:eastAsia="Times New Roman" w:hAnsi="Cambria Math" w:cs="Times New Roman"/>
            <w:sz w:val="20"/>
            <w:szCs w:val="20"/>
          </w:rPr>
          <m:t>δ</m:t>
        </m:r>
        <m:d>
          <m:dPr>
            <m:ctrlPr>
              <w:rPr>
                <w:rFonts w:ascii="Cambria Math" w:eastAsia="Times New Roman" w:hAnsi="Cambria Math" w:cs="Times New Roman"/>
                <w:sz w:val="20"/>
                <w:szCs w:val="20"/>
              </w:rPr>
            </m:ctrlPr>
          </m:dPr>
          <m:e>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j</m:t>
                </m:r>
              </m:sub>
            </m:sSub>
          </m:e>
        </m:d>
        <m:r>
          <w:rPr>
            <w:rFonts w:ascii="Cambria Math" w:eastAsia="Times New Roman" w:hAnsi="Cambria Math" w:cs="Times New Roman"/>
            <w:sz w:val="20"/>
            <w:szCs w:val="20"/>
          </w:rPr>
          <m:t xml:space="preserve"> </m:t>
        </m:r>
      </m:oMath>
      <w:r w:rsidR="00D22EBA">
        <w:rPr>
          <w:rFonts w:ascii="Times New Roman" w:eastAsia="Times New Roman" w:hAnsi="Times New Roman" w:cs="Times New Roman"/>
          <w:sz w:val="20"/>
          <w:szCs w:val="20"/>
        </w:rPr>
        <w:t xml:space="preserve">is the Kronecker delta function and equals 1 if ROI </w:t>
      </w:r>
      <m:oMath>
        <m:r>
          <w:rPr>
            <w:rFonts w:ascii="Cambria Math" w:eastAsia="Times New Roman" w:hAnsi="Cambria Math" w:cs="Times New Roman"/>
            <w:sz w:val="20"/>
            <w:szCs w:val="20"/>
          </w:rPr>
          <m:t>i</m:t>
        </m:r>
      </m:oMath>
      <w:r>
        <w:rPr>
          <w:rFonts w:ascii="Times New Roman" w:eastAsia="Times New Roman" w:hAnsi="Times New Roman" w:cs="Times New Roman"/>
          <w:sz w:val="20"/>
          <w:szCs w:val="20"/>
        </w:rPr>
        <w:t xml:space="preserve"> and </w:t>
      </w:r>
      <m:oMath>
        <m:r>
          <w:rPr>
            <w:rFonts w:ascii="Cambria Math" w:eastAsia="Times New Roman" w:hAnsi="Cambria Math" w:cs="Times New Roman"/>
            <w:sz w:val="20"/>
            <w:szCs w:val="20"/>
          </w:rPr>
          <m:t>j</m:t>
        </m:r>
      </m:oMath>
      <w:r>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belong to the same community and 0 otherwise </w:t>
      </w:r>
      <w:r w:rsidR="00D22EBA">
        <w:rPr>
          <w:rFonts w:ascii="Times New Roman" w:eastAsia="Times New Roman" w:hAnsi="Times New Roman" w:cs="Times New Roman"/>
          <w:sz w:val="20"/>
          <w:szCs w:val="20"/>
          <w:vertAlign w:val="superscript"/>
        </w:rPr>
        <w:t>19</w:t>
      </w:r>
      <w:r w:rsidR="00D22EBA">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m=</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2</m:t>
            </m:r>
          </m:den>
        </m:f>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ij</m:t>
            </m:r>
          </m:sub>
          <m:sup/>
          <m:e>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ij</m:t>
                </m:r>
              </m:sub>
            </m:sSub>
          </m:e>
        </m:nary>
      </m:oMath>
      <w:r>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is the total FC of the network.</w:t>
      </w:r>
    </w:p>
    <w:p w14:paraId="110AFBA9" w14:textId="77777777" w:rsidR="00803EA7" w:rsidRDefault="00803EA7">
      <w:pPr>
        <w:spacing w:line="360" w:lineRule="auto"/>
        <w:jc w:val="both"/>
        <w:rPr>
          <w:rFonts w:ascii="Times New Roman" w:eastAsia="Times New Roman" w:hAnsi="Times New Roman" w:cs="Times New Roman"/>
          <w:sz w:val="20"/>
          <w:szCs w:val="20"/>
        </w:rPr>
      </w:pPr>
    </w:p>
    <w:p w14:paraId="5FA2543E" w14:textId="2BA0AEE9"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allow valid comparisons between patients and scans, the modularity scores were generated 100 times and the partition with the largest modularity score was normalised by the mean modularity generated from 100 randomly rewired (shuffled) FC matrices </w:t>
      </w:r>
      <w:r>
        <w:rPr>
          <w:rFonts w:ascii="Times New Roman" w:eastAsia="Times New Roman" w:hAnsi="Times New Roman" w:cs="Times New Roman"/>
          <w:sz w:val="20"/>
          <w:szCs w:val="20"/>
          <w:vertAlign w:val="superscript"/>
        </w:rPr>
        <w:t>20</w:t>
      </w:r>
      <w:r>
        <w:rPr>
          <w:rFonts w:ascii="Times New Roman" w:eastAsia="Times New Roman" w:hAnsi="Times New Roman" w:cs="Times New Roman"/>
          <w:sz w:val="20"/>
          <w:szCs w:val="20"/>
        </w:rPr>
        <w:t xml:space="preserve">. This common procedure was applied to account for the non-deterministic and near-degenerate partitions (solutions with differing but similar optimality) generated by Louvain algorithms and to account for modularity scores relating to the total sum of FC within the network </w:t>
      </w:r>
      <w:r>
        <w:rPr>
          <w:rFonts w:ascii="Times New Roman" w:eastAsia="Times New Roman" w:hAnsi="Times New Roman" w:cs="Times New Roman"/>
          <w:sz w:val="20"/>
          <w:szCs w:val="20"/>
          <w:vertAlign w:val="superscript"/>
        </w:rPr>
        <w:t>21</w:t>
      </w:r>
      <w:r>
        <w:rPr>
          <w:rFonts w:ascii="Times New Roman" w:eastAsia="Times New Roman" w:hAnsi="Times New Roman" w:cs="Times New Roman"/>
          <w:sz w:val="20"/>
          <w:szCs w:val="20"/>
        </w:rPr>
        <w:t>. This process was repeated independently for each patient and scan.</w:t>
      </w:r>
    </w:p>
    <w:p w14:paraId="7186AE0E" w14:textId="77777777" w:rsidR="00803EA7" w:rsidRDefault="00D22EBA">
      <w:pPr>
        <w:pStyle w:val="Heading2"/>
        <w:spacing w:line="360" w:lineRule="auto"/>
        <w:jc w:val="both"/>
      </w:pPr>
      <w:bookmarkStart w:id="5" w:name="_ax029uoioct8" w:colFirst="0" w:colLast="0"/>
      <w:bookmarkEnd w:id="5"/>
      <w:r>
        <w:rPr>
          <w:rFonts w:ascii="Times New Roman" w:eastAsia="Times New Roman" w:hAnsi="Times New Roman" w:cs="Times New Roman"/>
          <w:b/>
          <w:sz w:val="20"/>
          <w:szCs w:val="20"/>
        </w:rPr>
        <w:t>Functional cartography</w:t>
      </w:r>
      <w:r>
        <w:t xml:space="preserve"> </w:t>
      </w:r>
    </w:p>
    <w:p w14:paraId="56D03FA1" w14:textId="77777777"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community detection procedure generates a community assignment to each ROI. We used these labels to determine the extent to which ROIs were recruited to the functional network that they typically ‘belong to’, as defined by healthy adults (e.g., DMN regions should reliably form communities with each other). </w:t>
      </w:r>
    </w:p>
    <w:p w14:paraId="0E25D6BD" w14:textId="77777777" w:rsidR="00803EA7" w:rsidRDefault="00803EA7">
      <w:pPr>
        <w:spacing w:line="360" w:lineRule="auto"/>
        <w:jc w:val="both"/>
        <w:rPr>
          <w:rFonts w:ascii="Times New Roman" w:eastAsia="Times New Roman" w:hAnsi="Times New Roman" w:cs="Times New Roman"/>
          <w:sz w:val="20"/>
          <w:szCs w:val="20"/>
        </w:rPr>
      </w:pPr>
    </w:p>
    <w:p w14:paraId="5E333764" w14:textId="1A47EAE1" w:rsidR="00936540"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First, we created an allegiance matrix,</w:t>
      </w:r>
      <w:r w:rsidR="00F1108D">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P</m:t>
        </m:r>
      </m:oMath>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vertAlign w:val="superscript"/>
        </w:rPr>
        <w:t>22,23</w:t>
      </w:r>
      <w:r>
        <w:rPr>
          <w:rFonts w:ascii="Times New Roman" w:eastAsia="Times New Roman" w:hAnsi="Times New Roman" w:cs="Times New Roman"/>
          <w:sz w:val="20"/>
          <w:szCs w:val="20"/>
        </w:rPr>
        <w:t xml:space="preserve"> which represented the probability that two regions</w:t>
      </w:r>
      <w:r w:rsidR="009947FE">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i</m:t>
        </m:r>
      </m:oMath>
      <w:r w:rsidR="009947FE">
        <w:rPr>
          <w:rFonts w:ascii="Times New Roman" w:eastAsia="Times New Roman" w:hAnsi="Times New Roman" w:cs="Times New Roman"/>
          <w:sz w:val="20"/>
          <w:szCs w:val="20"/>
        </w:rPr>
        <w:t xml:space="preserve"> and </w:t>
      </w:r>
      <m:oMath>
        <m:r>
          <w:rPr>
            <w:rFonts w:ascii="Cambria Math" w:eastAsia="Times New Roman" w:hAnsi="Cambria Math" w:cs="Times New Roman"/>
            <w:sz w:val="20"/>
            <w:szCs w:val="20"/>
          </w:rPr>
          <m:t>j</m:t>
        </m:r>
      </m:oMath>
      <w:r w:rsidR="009947F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were assigned to the same community across the 100 iterations of the modularity algorithm, defined here as:  </w:t>
      </w:r>
    </w:p>
    <w:tbl>
      <w:tblPr>
        <w:tblStyle w:val="a0"/>
        <w:tblW w:w="90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835"/>
        <w:gridCol w:w="3345"/>
        <w:gridCol w:w="2835"/>
      </w:tblGrid>
      <w:tr w:rsidR="00803EA7" w14:paraId="24E48C15" w14:textId="77777777">
        <w:tc>
          <w:tcPr>
            <w:tcW w:w="2835" w:type="dxa"/>
            <w:shd w:val="clear" w:color="auto" w:fill="auto"/>
            <w:tcMar>
              <w:top w:w="100" w:type="dxa"/>
              <w:left w:w="100" w:type="dxa"/>
              <w:bottom w:w="100" w:type="dxa"/>
              <w:right w:w="100" w:type="dxa"/>
            </w:tcMar>
          </w:tcPr>
          <w:p w14:paraId="436DF173" w14:textId="77777777" w:rsidR="00803EA7" w:rsidRDefault="00803EA7">
            <w:pPr>
              <w:widowControl w:val="0"/>
              <w:spacing w:line="240" w:lineRule="auto"/>
              <w:rPr>
                <w:rFonts w:ascii="Times New Roman" w:eastAsia="Times New Roman" w:hAnsi="Times New Roman" w:cs="Times New Roman"/>
                <w:sz w:val="20"/>
                <w:szCs w:val="20"/>
              </w:rPr>
            </w:pPr>
          </w:p>
        </w:tc>
        <w:tc>
          <w:tcPr>
            <w:tcW w:w="3345" w:type="dxa"/>
            <w:shd w:val="clear" w:color="auto" w:fill="auto"/>
            <w:tcMar>
              <w:top w:w="100" w:type="dxa"/>
              <w:left w:w="100" w:type="dxa"/>
              <w:bottom w:w="100" w:type="dxa"/>
              <w:right w:w="100" w:type="dxa"/>
            </w:tcMar>
          </w:tcPr>
          <w:p w14:paraId="6BD49C65" w14:textId="7EE08EE1" w:rsidR="00803EA7" w:rsidRDefault="004C3A50">
            <w:pPr>
              <w:spacing w:line="360" w:lineRule="auto"/>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ij</m:t>
                    </m:r>
                  </m:sub>
                </m:sSub>
                <m:r>
                  <w:rPr>
                    <w:rFonts w:ascii="Cambria Math" w:eastAsia="Times New Roman" w:hAnsi="Cambria Math" w:cs="Times New Roman"/>
                    <w:sz w:val="20"/>
                    <w:szCs w:val="20"/>
                  </w:rPr>
                  <m:t xml:space="preserve"> =</m:t>
                </m:r>
                <m:r>
                  <w:rPr>
                    <w:rFonts w:ascii="Cambria Math" w:eastAsia="Times New Roman" w:hAnsi="Times New Roman" w:cs="Times New Roman"/>
                    <w:sz w:val="20"/>
                    <w:szCs w:val="20"/>
                  </w:rPr>
                  <m:t xml:space="preserve"> </m:t>
                </m:r>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m:t>
                    </m:r>
                  </m:num>
                  <m:den>
                    <m:r>
                      <w:rPr>
                        <w:rFonts w:ascii="Cambria Math" w:eastAsia="Times New Roman" w:hAnsi="Times New Roman" w:cs="Times New Roman"/>
                        <w:sz w:val="20"/>
                        <w:szCs w:val="20"/>
                      </w:rPr>
                      <m:t>o</m:t>
                    </m:r>
                  </m:den>
                </m:f>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o=1</m:t>
                    </m:r>
                  </m:sub>
                  <m:sup>
                    <m:r>
                      <w:rPr>
                        <w:rFonts w:ascii="Cambria Math" w:eastAsia="Times New Roman" w:hAnsi="Cambria Math" w:cs="Times New Roman"/>
                        <w:sz w:val="20"/>
                        <w:szCs w:val="20"/>
                      </w:rPr>
                      <m:t>O</m:t>
                    </m:r>
                  </m:sup>
                  <m:e>
                    <m:r>
                      <w:rPr>
                        <w:rFonts w:ascii="Cambria Math" w:eastAsia="Times New Roman" w:hAnsi="Times New Roman" w:cs="Times New Roman"/>
                        <w:sz w:val="20"/>
                        <w:szCs w:val="20"/>
                      </w:rPr>
                      <m:t>a</m:t>
                    </m:r>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k,o</m:t>
                        </m:r>
                      </m:num>
                      <m:den>
                        <m:r>
                          <w:rPr>
                            <w:rFonts w:ascii="Cambria Math" w:eastAsia="Times New Roman" w:hAnsi="Times New Roman" w:cs="Times New Roman"/>
                            <w:sz w:val="20"/>
                            <w:szCs w:val="20"/>
                          </w:rPr>
                          <m:t>i,j</m:t>
                        </m:r>
                      </m:den>
                    </m:f>
                  </m:e>
                </m:nary>
              </m:oMath>
            </m:oMathPara>
          </w:p>
        </w:tc>
        <w:tc>
          <w:tcPr>
            <w:tcW w:w="2835" w:type="dxa"/>
            <w:shd w:val="clear" w:color="auto" w:fill="auto"/>
            <w:tcMar>
              <w:top w:w="100" w:type="dxa"/>
              <w:left w:w="100" w:type="dxa"/>
              <w:bottom w:w="100" w:type="dxa"/>
              <w:right w:w="100" w:type="dxa"/>
            </w:tcMar>
          </w:tcPr>
          <w:p w14:paraId="5680C3CE" w14:textId="77777777" w:rsidR="00803EA7" w:rsidRDefault="00D22EBA">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14:paraId="6EDEB7B9" w14:textId="405903BF" w:rsidR="00803EA7" w:rsidRDefault="00F1108D">
      <w:pPr>
        <w:spacing w:line="36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w:t>
      </w:r>
      <w:r w:rsidR="00D22EBA">
        <w:rPr>
          <w:rFonts w:ascii="Times New Roman" w:eastAsia="Times New Roman" w:hAnsi="Times New Roman" w:cs="Times New Roman"/>
          <w:sz w:val="20"/>
          <w:szCs w:val="20"/>
        </w:rPr>
        <w:t>here</w:t>
      </w:r>
      <w:r>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O=100</m:t>
        </m:r>
      </m:oMath>
      <w:r w:rsidR="00D22EBA">
        <w:rPr>
          <w:rFonts w:ascii="Times New Roman" w:eastAsia="Times New Roman" w:hAnsi="Times New Roman" w:cs="Times New Roman"/>
          <w:sz w:val="20"/>
          <w:szCs w:val="20"/>
        </w:rPr>
        <w:t xml:space="preserve"> as</w:t>
      </w:r>
      <w:proofErr w:type="spellEnd"/>
      <w:r w:rsidR="00D22EBA">
        <w:rPr>
          <w:rFonts w:ascii="Times New Roman" w:eastAsia="Times New Roman" w:hAnsi="Times New Roman" w:cs="Times New Roman"/>
          <w:sz w:val="20"/>
          <w:szCs w:val="20"/>
        </w:rPr>
        <w:t xml:space="preserve"> the number of partitions. For each partition,</w:t>
      </w:r>
      <w:r w:rsidR="00BC10DE">
        <w:rPr>
          <w:rFonts w:ascii="Times New Roman" w:eastAsia="Times New Roman" w:hAnsi="Times New Roman" w:cs="Times New Roman"/>
          <w:sz w:val="20"/>
          <w:szCs w:val="20"/>
        </w:rPr>
        <w:t xml:space="preserve"> </w:t>
      </w:r>
      <m:oMath>
        <m:sSubSup>
          <m:sSubSupPr>
            <m:ctrlPr>
              <w:rPr>
                <w:rFonts w:ascii="Cambria Math" w:eastAsia="Times New Roman" w:hAnsi="Cambria Math" w:cs="Times New Roman"/>
                <w:i/>
                <w:sz w:val="20"/>
                <w:szCs w:val="20"/>
              </w:rPr>
            </m:ctrlPr>
          </m:sSubSupPr>
          <m:e>
            <m:r>
              <w:rPr>
                <w:rFonts w:ascii="Cambria Math" w:eastAsia="Times New Roman" w:hAnsi="Cambria Math" w:cs="Times New Roman"/>
                <w:sz w:val="20"/>
                <w:szCs w:val="20"/>
              </w:rPr>
              <m:t>a</m:t>
            </m:r>
          </m:e>
          <m:sub>
            <m:r>
              <w:rPr>
                <w:rFonts w:ascii="Cambria Math" w:eastAsia="Times New Roman" w:hAnsi="Cambria Math" w:cs="Times New Roman"/>
                <w:sz w:val="20"/>
                <w:szCs w:val="20"/>
              </w:rPr>
              <m:t>i,j</m:t>
            </m:r>
          </m:sub>
          <m:sup>
            <m:r>
              <w:rPr>
                <w:rFonts w:ascii="Cambria Math" w:eastAsia="Times New Roman" w:hAnsi="Cambria Math" w:cs="Times New Roman"/>
                <w:sz w:val="20"/>
                <w:szCs w:val="20"/>
              </w:rPr>
              <m:t>k,o</m:t>
            </m:r>
          </m:sup>
        </m:sSubSup>
      </m:oMath>
      <w:r w:rsidR="00D22EBA">
        <w:rPr>
          <w:rFonts w:ascii="Times New Roman" w:eastAsia="Times New Roman" w:hAnsi="Times New Roman" w:cs="Times New Roman"/>
          <w:sz w:val="20"/>
          <w:szCs w:val="20"/>
        </w:rPr>
        <w:t xml:space="preserve"> equals 1 if regions</w:t>
      </w:r>
      <w:r w:rsidR="004C3A50">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i</m:t>
        </m:r>
      </m:oMath>
      <w:r w:rsidR="004C3A50">
        <w:rPr>
          <w:rFonts w:ascii="Times New Roman" w:eastAsia="Times New Roman" w:hAnsi="Times New Roman" w:cs="Times New Roman"/>
          <w:sz w:val="20"/>
          <w:szCs w:val="20"/>
        </w:rPr>
        <w:t xml:space="preserve"> and </w:t>
      </w:r>
      <m:oMath>
        <m:r>
          <w:rPr>
            <w:rFonts w:ascii="Cambria Math" w:eastAsia="Times New Roman" w:hAnsi="Cambria Math" w:cs="Times New Roman"/>
            <w:sz w:val="20"/>
            <w:szCs w:val="20"/>
          </w:rPr>
          <m:t>j</m:t>
        </m:r>
      </m:oMath>
      <w:r w:rsidR="004C3A50">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belong to the same community.  </w:t>
      </w:r>
    </w:p>
    <w:p w14:paraId="713B39F4" w14:textId="77777777" w:rsidR="00803EA7" w:rsidRDefault="00803EA7">
      <w:pPr>
        <w:spacing w:line="360" w:lineRule="auto"/>
        <w:jc w:val="both"/>
        <w:rPr>
          <w:rFonts w:ascii="Times New Roman" w:eastAsia="Times New Roman" w:hAnsi="Times New Roman" w:cs="Times New Roman"/>
          <w:sz w:val="20"/>
          <w:szCs w:val="20"/>
        </w:rPr>
      </w:pPr>
    </w:p>
    <w:p w14:paraId="7AB6B42B" w14:textId="1D5CFCC5"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Using the allegiance matrix, we then calculated scores for each region that summarised the extent that regions from the same functional network form communities together (recruitment) or regions from two different systems form communities together (integration) </w:t>
      </w:r>
      <w:r>
        <w:rPr>
          <w:rFonts w:ascii="Times New Roman" w:eastAsia="Times New Roman" w:hAnsi="Times New Roman" w:cs="Times New Roman"/>
          <w:sz w:val="20"/>
          <w:szCs w:val="20"/>
          <w:vertAlign w:val="superscript"/>
        </w:rPr>
        <w:t>22,23</w:t>
      </w:r>
      <w:r>
        <w:rPr>
          <w:rFonts w:ascii="Times New Roman" w:eastAsia="Times New Roman" w:hAnsi="Times New Roman" w:cs="Times New Roman"/>
          <w:sz w:val="20"/>
          <w:szCs w:val="20"/>
        </w:rPr>
        <w:t xml:space="preserve">. These functional cartography measures were then normalised against the mean values from 1000 randomly shuffled ROI-network assignments to account for differences in the number of regions in each network </w:t>
      </w:r>
      <w:r>
        <w:rPr>
          <w:rFonts w:ascii="Times New Roman" w:eastAsia="Times New Roman" w:hAnsi="Times New Roman" w:cs="Times New Roman"/>
          <w:sz w:val="20"/>
          <w:szCs w:val="20"/>
          <w:vertAlign w:val="superscript"/>
        </w:rPr>
        <w:t>15</w:t>
      </w:r>
      <w:r>
        <w:rPr>
          <w:rFonts w:ascii="Times New Roman" w:eastAsia="Times New Roman" w:hAnsi="Times New Roman" w:cs="Times New Roman"/>
          <w:sz w:val="20"/>
          <w:szCs w:val="20"/>
        </w:rPr>
        <w:t xml:space="preserve">. Recruitment and integration </w:t>
      </w:r>
      <w:r>
        <w:rPr>
          <w:rFonts w:ascii="Times New Roman" w:eastAsia="Times New Roman" w:hAnsi="Times New Roman" w:cs="Times New Roman"/>
          <w:color w:val="222222"/>
          <w:sz w:val="20"/>
          <w:szCs w:val="20"/>
          <w:highlight w:val="white"/>
        </w:rPr>
        <w:t>scores were then averaged</w:t>
      </w:r>
      <w:r w:rsidR="00BC10DE">
        <w:rPr>
          <w:rFonts w:ascii="Times New Roman" w:eastAsia="Times New Roman" w:hAnsi="Times New Roman" w:cs="Times New Roman"/>
          <w:color w:val="222222"/>
          <w:sz w:val="20"/>
          <w:szCs w:val="20"/>
          <w:highlight w:val="white"/>
        </w:rPr>
        <w:t xml:space="preserve"> at the network level using</w:t>
      </w:r>
      <w:r>
        <w:rPr>
          <w:rFonts w:ascii="Times New Roman" w:eastAsia="Times New Roman" w:hAnsi="Times New Roman" w:cs="Times New Roman"/>
          <w:color w:val="222222"/>
          <w:sz w:val="20"/>
          <w:szCs w:val="20"/>
          <w:highlight w:val="white"/>
        </w:rPr>
        <w:t xml:space="preserve"> </w:t>
      </w:r>
      <w:r w:rsidR="00BC10DE">
        <w:rPr>
          <w:rFonts w:ascii="Times New Roman" w:eastAsia="Times New Roman" w:hAnsi="Times New Roman" w:cs="Times New Roman"/>
          <w:color w:val="222222"/>
          <w:sz w:val="20"/>
          <w:szCs w:val="20"/>
          <w:highlight w:val="white"/>
        </w:rPr>
        <w:t>7 predefined cortical networks</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sz w:val="20"/>
          <w:szCs w:val="20"/>
          <w:vertAlign w:val="superscript"/>
        </w:rPr>
        <w:t>24</w:t>
      </w:r>
      <w:r>
        <w:rPr>
          <w:rFonts w:ascii="Times New Roman" w:eastAsia="Times New Roman" w:hAnsi="Times New Roman" w:cs="Times New Roman"/>
          <w:color w:val="222222"/>
          <w:sz w:val="20"/>
          <w:szCs w:val="20"/>
          <w:highlight w:val="white"/>
        </w:rPr>
        <w:t>.</w:t>
      </w:r>
    </w:p>
    <w:p w14:paraId="0408B687" w14:textId="77777777" w:rsidR="0047018B" w:rsidRDefault="0047018B">
      <w:pPr>
        <w:rPr>
          <w:rFonts w:ascii="Times New Roman" w:eastAsia="Times New Roman" w:hAnsi="Times New Roman" w:cs="Times New Roman"/>
          <w:b/>
          <w:sz w:val="20"/>
          <w:szCs w:val="20"/>
        </w:rPr>
      </w:pPr>
      <w:bookmarkStart w:id="6" w:name="_cpl3zrurkylu" w:colFirst="0" w:colLast="0"/>
      <w:bookmarkEnd w:id="6"/>
      <w:r>
        <w:rPr>
          <w:rFonts w:ascii="Times New Roman" w:eastAsia="Times New Roman" w:hAnsi="Times New Roman" w:cs="Times New Roman"/>
          <w:b/>
          <w:sz w:val="20"/>
          <w:szCs w:val="20"/>
        </w:rPr>
        <w:br w:type="page"/>
      </w:r>
    </w:p>
    <w:p w14:paraId="4E2AC26B" w14:textId="2E837413" w:rsidR="00803EA7" w:rsidRDefault="00D22EBA">
      <w:pPr>
        <w:pStyle w:val="Heading2"/>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Dynamic flexibility </w:t>
      </w:r>
    </w:p>
    <w:p w14:paraId="343CD30A" w14:textId="6F321D63" w:rsidR="00936540" w:rsidRPr="00F079F9" w:rsidRDefault="00D22EBA">
      <w:pPr>
        <w:spacing w:line="360" w:lineRule="auto"/>
        <w:jc w:val="both"/>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highlight w:val="white"/>
        </w:rPr>
        <w:t xml:space="preserve">A dynamic flexibility analysis was conducted in study 2 using a multilayer modularity estimation </w:t>
      </w:r>
      <w:r>
        <w:rPr>
          <w:rFonts w:ascii="Times New Roman" w:eastAsia="Times New Roman" w:hAnsi="Times New Roman" w:cs="Times New Roman"/>
          <w:sz w:val="20"/>
          <w:szCs w:val="20"/>
          <w:highlight w:val="white"/>
          <w:vertAlign w:val="superscript"/>
        </w:rPr>
        <w:t>18,25</w:t>
      </w:r>
      <w:r>
        <w:rPr>
          <w:rFonts w:ascii="Times New Roman" w:eastAsia="Times New Roman" w:hAnsi="Times New Roman" w:cs="Times New Roman"/>
          <w:color w:val="222222"/>
          <w:sz w:val="20"/>
          <w:szCs w:val="20"/>
          <w:highlight w:val="white"/>
        </w:rPr>
        <w:t>. FC matrices were generated from 30-volume sliding-windows (37.5 seconds of real-time) with 50% overlap resulting in a</w:t>
      </w:r>
      <w:r w:rsidR="000A16C2">
        <w:rPr>
          <w:rFonts w:ascii="Times New Roman" w:eastAsia="Times New Roman" w:hAnsi="Times New Roman" w:cs="Times New Roman"/>
          <w:color w:val="222222"/>
          <w:sz w:val="20"/>
          <w:szCs w:val="20"/>
          <w:highlight w:val="white"/>
        </w:rPr>
        <w:t xml:space="preserve"> </w:t>
      </w:r>
      <m:oMath>
        <m:r>
          <w:rPr>
            <w:rFonts w:ascii="Cambria Math" w:eastAsia="Times New Roman" w:hAnsi="Cambria Math" w:cs="Times New Roman"/>
            <w:color w:val="222222"/>
            <w:sz w:val="20"/>
            <w:szCs w:val="20"/>
            <w:highlight w:val="white"/>
          </w:rPr>
          <m:t>N x N x T</m:t>
        </m:r>
      </m:oMath>
      <w:r>
        <w:rPr>
          <w:rFonts w:ascii="Times New Roman" w:eastAsia="Times New Roman" w:hAnsi="Times New Roman" w:cs="Times New Roman"/>
          <w:color w:val="222222"/>
          <w:sz w:val="20"/>
          <w:szCs w:val="20"/>
          <w:highlight w:val="white"/>
        </w:rPr>
        <w:t xml:space="preserve"> matrix</w:t>
      </w:r>
      <w:r>
        <w:rPr>
          <w:rFonts w:ascii="Times New Roman" w:eastAsia="Times New Roman" w:hAnsi="Times New Roman" w:cs="Times New Roman"/>
          <w:i/>
          <w:color w:val="222222"/>
          <w:sz w:val="20"/>
          <w:szCs w:val="20"/>
          <w:highlight w:val="white"/>
        </w:rPr>
        <w:t xml:space="preserve"> </w:t>
      </w:r>
      <w:r>
        <w:rPr>
          <w:rFonts w:ascii="Times New Roman" w:eastAsia="Times New Roman" w:hAnsi="Times New Roman" w:cs="Times New Roman"/>
          <w:color w:val="222222"/>
          <w:sz w:val="20"/>
          <w:szCs w:val="20"/>
          <w:highlight w:val="white"/>
        </w:rPr>
        <w:t xml:space="preserve">for each patient and scan. This window size is typical for estimating dynamic FC with fMRI </w:t>
      </w:r>
      <w:r>
        <w:rPr>
          <w:rFonts w:ascii="Times New Roman" w:eastAsia="Times New Roman" w:hAnsi="Times New Roman" w:cs="Times New Roman"/>
          <w:sz w:val="20"/>
          <w:szCs w:val="20"/>
          <w:highlight w:val="white"/>
          <w:vertAlign w:val="superscript"/>
        </w:rPr>
        <w:t>26</w:t>
      </w:r>
      <w:r>
        <w:rPr>
          <w:rFonts w:ascii="Times New Roman" w:eastAsia="Times New Roman" w:hAnsi="Times New Roman" w:cs="Times New Roman"/>
          <w:color w:val="222222"/>
          <w:sz w:val="20"/>
          <w:szCs w:val="20"/>
          <w:highlight w:val="white"/>
        </w:rPr>
        <w:t xml:space="preserve">. Multilayer modularity, </w:t>
      </w:r>
      <m:oMath>
        <m:sSub>
          <m:sSubPr>
            <m:ctrlPr>
              <w:rPr>
                <w:rFonts w:ascii="Cambria Math" w:hAnsi="Cambria Math"/>
                <w:i/>
              </w:rPr>
            </m:ctrlPr>
          </m:sSubPr>
          <m:e>
            <m:r>
              <w:rPr>
                <w:rFonts w:ascii="Cambria Math" w:hAnsi="Cambria Math"/>
              </w:rPr>
              <m:t>Q</m:t>
            </m:r>
          </m:e>
          <m:sub>
            <m:r>
              <w:rPr>
                <w:rFonts w:ascii="Cambria Math" w:hAnsi="Cambria Math"/>
              </w:rPr>
              <m:t>ML</m:t>
            </m:r>
          </m:sub>
        </m:sSub>
      </m:oMath>
      <w:r w:rsidR="00F079F9">
        <w:rPr>
          <w:rFonts w:ascii="Times New Roman" w:eastAsia="Times New Roman" w:hAnsi="Times New Roman" w:cs="Times New Roman"/>
        </w:rPr>
        <w:t xml:space="preserve">, </w:t>
      </w:r>
      <w:r>
        <w:rPr>
          <w:rFonts w:ascii="Times New Roman" w:eastAsia="Times New Roman" w:hAnsi="Times New Roman" w:cs="Times New Roman"/>
          <w:color w:val="222222"/>
          <w:sz w:val="20"/>
          <w:szCs w:val="20"/>
          <w:highlight w:val="white"/>
        </w:rPr>
        <w:t xml:space="preserve">was estimated 100 times from each </w:t>
      </w:r>
      <m:oMath>
        <m:r>
          <w:rPr>
            <w:rFonts w:ascii="Cambria Math" w:eastAsia="Times New Roman" w:hAnsi="Cambria Math" w:cs="Times New Roman"/>
            <w:color w:val="222222"/>
            <w:sz w:val="20"/>
            <w:szCs w:val="20"/>
            <w:highlight w:val="white"/>
          </w:rPr>
          <m:t>N x N x T</m:t>
        </m:r>
      </m:oMath>
      <w:r w:rsidR="00F079F9">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color w:val="222222"/>
          <w:sz w:val="20"/>
          <w:szCs w:val="20"/>
          <w:highlight w:val="white"/>
        </w:rPr>
        <w:t>FC matrix by:</w:t>
      </w:r>
    </w:p>
    <w:tbl>
      <w:tblPr>
        <w:tblStyle w:val="a1"/>
        <w:tblW w:w="90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125"/>
        <w:gridCol w:w="6255"/>
        <w:gridCol w:w="1635"/>
      </w:tblGrid>
      <w:tr w:rsidR="00803EA7" w14:paraId="59020C72" w14:textId="77777777">
        <w:tc>
          <w:tcPr>
            <w:tcW w:w="1125" w:type="dxa"/>
            <w:shd w:val="clear" w:color="auto" w:fill="auto"/>
            <w:tcMar>
              <w:top w:w="100" w:type="dxa"/>
              <w:left w:w="100" w:type="dxa"/>
              <w:bottom w:w="100" w:type="dxa"/>
              <w:right w:w="100" w:type="dxa"/>
            </w:tcMar>
          </w:tcPr>
          <w:p w14:paraId="6B8314DC" w14:textId="77777777" w:rsidR="00803EA7" w:rsidRDefault="00803EA7">
            <w:pPr>
              <w:widowControl w:val="0"/>
              <w:spacing w:line="240" w:lineRule="auto"/>
              <w:rPr>
                <w:rFonts w:ascii="Times New Roman" w:eastAsia="Times New Roman" w:hAnsi="Times New Roman" w:cs="Times New Roman"/>
                <w:sz w:val="20"/>
                <w:szCs w:val="20"/>
              </w:rPr>
            </w:pPr>
          </w:p>
        </w:tc>
        <w:tc>
          <w:tcPr>
            <w:tcW w:w="6255" w:type="dxa"/>
            <w:shd w:val="clear" w:color="auto" w:fill="auto"/>
            <w:tcMar>
              <w:top w:w="100" w:type="dxa"/>
              <w:left w:w="100" w:type="dxa"/>
              <w:bottom w:w="100" w:type="dxa"/>
              <w:right w:w="100" w:type="dxa"/>
            </w:tcMar>
          </w:tcPr>
          <w:p w14:paraId="1EC41C35" w14:textId="1C207A48" w:rsidR="00803EA7" w:rsidRDefault="004C3A50">
            <w:pPr>
              <w:spacing w:line="360" w:lineRule="auto"/>
              <w:jc w:val="center"/>
              <w:rPr>
                <w:rFonts w:ascii="Times New Roman" w:eastAsia="Times New Roman" w:hAnsi="Times New Roman" w:cs="Times New Roman"/>
                <w:color w:val="222222"/>
                <w:sz w:val="20"/>
                <w:szCs w:val="20"/>
                <w:highlight w:val="white"/>
              </w:rPr>
            </w:pPr>
            <m:oMathPara>
              <m:oMath>
                <m:sSub>
                  <m:sSubPr>
                    <m:ctrlPr>
                      <w:rPr>
                        <w:rFonts w:ascii="Cambria Math" w:hAnsi="Cambria Math"/>
                        <w:i/>
                      </w:rPr>
                    </m:ctrlPr>
                  </m:sSubPr>
                  <m:e>
                    <m:r>
                      <w:rPr>
                        <w:rFonts w:ascii="Cambria Math" w:hAnsi="Cambria Math"/>
                      </w:rPr>
                      <m:t>Q</m:t>
                    </m:r>
                  </m:e>
                  <m:sub>
                    <m:r>
                      <w:rPr>
                        <w:rFonts w:ascii="Cambria Math" w:hAnsi="Cambria Math"/>
                      </w:rPr>
                      <m:t>ML</m:t>
                    </m:r>
                  </m:sub>
                </m:sSub>
                <m:r>
                  <w:rPr>
                    <w:rFonts w:ascii="Cambria Math" w:eastAsia="Times New Roman" w:hAnsi="Cambria Math" w:cs="Times New Roman"/>
                    <w:sz w:val="20"/>
                    <w:szCs w:val="20"/>
                  </w:rPr>
                  <m:t xml:space="preserve">= </m:t>
                </m:r>
                <m:f>
                  <m:fPr>
                    <m:ctrlPr>
                      <w:rPr>
                        <w:rFonts w:ascii="Cambria Math" w:eastAsia="Times New Roman" w:hAnsi="Cambria Math" w:cs="Times New Roman"/>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2μ</m:t>
                    </m:r>
                  </m:den>
                </m:f>
                <m:r>
                  <w:rPr>
                    <w:rFonts w:ascii="Cambria Math" w:eastAsia="Times New Roman" w:hAnsi="Times New Roman" w:cs="Times New Roman"/>
                    <w:sz w:val="20"/>
                    <w:szCs w:val="20"/>
                  </w:rPr>
                  <m:t xml:space="preserve"> </m:t>
                </m:r>
                <m:nary>
                  <m:naryPr>
                    <m:chr m:val="∑"/>
                    <m:limLoc m:val="undOvr"/>
                    <m:supHide m:val="1"/>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ijlr</m:t>
                    </m:r>
                  </m:sub>
                  <m:sup/>
                  <m:e>
                    <m:d>
                      <m:dPr>
                        <m:begChr m:val="["/>
                        <m:endChr m:val="]"/>
                        <m:ctrlPr>
                          <w:rPr>
                            <w:rFonts w:ascii="Cambria Math" w:eastAsia="Times New Roman" w:hAnsi="Cambria Math" w:cs="Times New Roman"/>
                            <w:sz w:val="20"/>
                            <w:szCs w:val="20"/>
                          </w:rPr>
                        </m:ctrlPr>
                      </m:dPr>
                      <m:e>
                        <m:d>
                          <m:dPr>
                            <m:ctrlPr>
                              <w:rPr>
                                <w:rFonts w:ascii="Cambria Math" w:eastAsia="Times New Roman" w:hAnsi="Cambria Math" w:cs="Times New Roman"/>
                                <w:sz w:val="20"/>
                                <w:szCs w:val="20"/>
                              </w:rPr>
                            </m:ctrlPr>
                          </m:dPr>
                          <m:e>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A</m:t>
                                </m:r>
                              </m:e>
                              <m:sub>
                                <m:r>
                                  <w:rPr>
                                    <w:rFonts w:ascii="Cambria Math" w:eastAsia="Times New Roman" w:hAnsi="Cambria Math" w:cs="Times New Roman"/>
                                    <w:sz w:val="20"/>
                                    <w:szCs w:val="20"/>
                                  </w:rPr>
                                  <m:t>ijl</m:t>
                                </m:r>
                              </m:sub>
                            </m:sSub>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γ</m:t>
                                </m:r>
                              </m:e>
                              <m:sub>
                                <m:r>
                                  <w:rPr>
                                    <w:rFonts w:ascii="Cambria Math" w:eastAsia="Times New Roman" w:hAnsi="Cambria Math" w:cs="Times New Roman"/>
                                    <w:sz w:val="20"/>
                                    <w:szCs w:val="20"/>
                                  </w:rPr>
                                  <m:t>l</m:t>
                                </m:r>
                              </m:sub>
                            </m:sSub>
                            <m:f>
                              <m:fPr>
                                <m:ctrlPr>
                                  <w:rPr>
                                    <w:rFonts w:ascii="Cambria Math" w:eastAsia="Times New Roman" w:hAnsi="Cambria Math" w:cs="Times New Roman"/>
                                    <w:sz w:val="20"/>
                                    <w:szCs w:val="20"/>
                                  </w:rPr>
                                </m:ctrlPr>
                              </m:fPr>
                              <m:num>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il</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jl</m:t>
                                    </m:r>
                                  </m:sub>
                                </m:sSub>
                              </m:num>
                              <m:den>
                                <m:r>
                                  <w:rPr>
                                    <w:rFonts w:ascii="Cambria Math" w:eastAsia="Times New Roman" w:hAnsi="Cambria Math" w:cs="Times New Roman"/>
                                    <w:sz w:val="20"/>
                                    <w:szCs w:val="20"/>
                                  </w:rPr>
                                  <m:t>2</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m</m:t>
                                    </m:r>
                                  </m:e>
                                  <m:sub>
                                    <m:r>
                                      <w:rPr>
                                        <w:rFonts w:ascii="Cambria Math" w:eastAsia="Times New Roman" w:hAnsi="Cambria Math" w:cs="Times New Roman"/>
                                        <w:sz w:val="20"/>
                                        <w:szCs w:val="20"/>
                                      </w:rPr>
                                      <m:t>l</m:t>
                                    </m:r>
                                  </m:sub>
                                </m:sSub>
                              </m:den>
                            </m:f>
                          </m:e>
                        </m:d>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δ</m:t>
                            </m:r>
                          </m:e>
                          <m:sub>
                            <m:r>
                              <w:rPr>
                                <w:rFonts w:ascii="Cambria Math" w:eastAsia="Times New Roman" w:hAnsi="Cambria Math" w:cs="Times New Roman"/>
                                <w:sz w:val="20"/>
                                <w:szCs w:val="20"/>
                              </w:rPr>
                              <m:t>lr</m:t>
                            </m:r>
                          </m:sub>
                        </m:sSub>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δ</m:t>
                            </m:r>
                          </m:e>
                          <m:sub>
                            <m:r>
                              <w:rPr>
                                <w:rFonts w:ascii="Cambria Math" w:eastAsia="Times New Roman" w:hAnsi="Cambria Math" w:cs="Times New Roman"/>
                                <w:sz w:val="20"/>
                                <w:szCs w:val="20"/>
                              </w:rPr>
                              <m:t>ij</m:t>
                            </m:r>
                          </m:sub>
                        </m:sSub>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ω</m:t>
                            </m:r>
                          </m:e>
                          <m:sub>
                            <m:r>
                              <w:rPr>
                                <w:rFonts w:ascii="Cambria Math" w:eastAsia="Times New Roman" w:hAnsi="Cambria Math" w:cs="Times New Roman"/>
                                <w:sz w:val="20"/>
                                <w:szCs w:val="20"/>
                              </w:rPr>
                              <m:t>jlr</m:t>
                            </m:r>
                          </m:sub>
                        </m:sSub>
                      </m:e>
                    </m:d>
                  </m:e>
                </m:nary>
                <m:r>
                  <w:rPr>
                    <w:rFonts w:ascii="Cambria Math" w:eastAsia="Times New Roman" w:hAnsi="Cambria Math" w:cs="Times New Roman"/>
                    <w:sz w:val="20"/>
                    <w:szCs w:val="20"/>
                  </w:rPr>
                  <m:t>δ</m:t>
                </m:r>
                <m:d>
                  <m:dPr>
                    <m:ctrlPr>
                      <w:rPr>
                        <w:rFonts w:ascii="Cambria Math" w:eastAsia="Times New Roman" w:hAnsi="Cambria Math" w:cs="Times New Roman"/>
                        <w:sz w:val="20"/>
                        <w:szCs w:val="20"/>
                      </w:rPr>
                    </m:ctrlPr>
                  </m:dPr>
                  <m:e>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il</m:t>
                        </m:r>
                      </m:sub>
                    </m:sSub>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jr</m:t>
                        </m:r>
                      </m:sub>
                    </m:sSub>
                  </m:e>
                </m:d>
                <m:r>
                  <w:rPr>
                    <w:rFonts w:ascii="Cambria Math" w:eastAsia="Times New Roman" w:hAnsi="Cambria Math" w:cs="Times New Roman"/>
                    <w:sz w:val="20"/>
                    <w:szCs w:val="20"/>
                  </w:rPr>
                  <m:t>,</m:t>
                </m:r>
              </m:oMath>
            </m:oMathPara>
          </w:p>
        </w:tc>
        <w:tc>
          <w:tcPr>
            <w:tcW w:w="1635" w:type="dxa"/>
            <w:shd w:val="clear" w:color="auto" w:fill="auto"/>
            <w:tcMar>
              <w:top w:w="100" w:type="dxa"/>
              <w:left w:w="100" w:type="dxa"/>
              <w:bottom w:w="100" w:type="dxa"/>
              <w:right w:w="100" w:type="dxa"/>
            </w:tcMar>
          </w:tcPr>
          <w:p w14:paraId="647AE076" w14:textId="77777777" w:rsidR="00803EA7" w:rsidRDefault="00D22EBA">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14:paraId="3EA45BBD" w14:textId="6734B413" w:rsidR="00803EA7" w:rsidRDefault="00F079F9" w:rsidP="00F079F9">
      <w:pPr>
        <w:tabs>
          <w:tab w:val="left" w:pos="1985"/>
        </w:tabs>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w</w:t>
      </w:r>
      <w:r w:rsidR="00D22EBA">
        <w:rPr>
          <w:rFonts w:ascii="Times New Roman" w:eastAsia="Times New Roman" w:hAnsi="Times New Roman" w:cs="Times New Roman"/>
          <w:color w:val="222222"/>
          <w:sz w:val="20"/>
          <w:szCs w:val="20"/>
          <w:highlight w:val="white"/>
        </w:rPr>
        <w:t>here</w:t>
      </w:r>
      <w:r>
        <w:rPr>
          <w:rFonts w:ascii="Times New Roman" w:eastAsia="Times New Roman" w:hAnsi="Times New Roman" w:cs="Times New Roman"/>
          <w:color w:val="222222"/>
          <w:sz w:val="20"/>
          <w:szCs w:val="20"/>
          <w:highlight w:val="white"/>
        </w:rPr>
        <w:t xml:space="preserve">  </w:t>
      </w:r>
      <m:oMath>
        <m:r>
          <w:rPr>
            <w:rFonts w:ascii="Cambria Math" w:eastAsia="Times New Roman" w:hAnsi="Cambria Math" w:cs="Times New Roman"/>
            <w:color w:val="222222"/>
            <w:sz w:val="20"/>
            <w:szCs w:val="20"/>
            <w:highlight w:val="white"/>
          </w:rPr>
          <m:t>μ=</m:t>
        </m:r>
        <m:f>
          <m:fPr>
            <m:ctrlPr>
              <w:rPr>
                <w:rFonts w:ascii="Cambria Math" w:eastAsia="Times New Roman" w:hAnsi="Cambria Math" w:cs="Times New Roman"/>
                <w:i/>
                <w:color w:val="222222"/>
                <w:sz w:val="20"/>
                <w:szCs w:val="20"/>
              </w:rPr>
            </m:ctrlPr>
          </m:fPr>
          <m:num>
            <m:r>
              <w:rPr>
                <w:rFonts w:ascii="Cambria Math" w:eastAsia="Times New Roman" w:hAnsi="Cambria Math" w:cs="Times New Roman"/>
                <w:color w:val="222222"/>
                <w:sz w:val="20"/>
                <w:szCs w:val="20"/>
              </w:rPr>
              <m:t>1</m:t>
            </m:r>
          </m:num>
          <m:den>
            <m:r>
              <w:rPr>
                <w:rFonts w:ascii="Cambria Math" w:eastAsia="Times New Roman" w:hAnsi="Cambria Math" w:cs="Times New Roman"/>
                <w:color w:val="222222"/>
                <w:sz w:val="20"/>
                <w:szCs w:val="20"/>
              </w:rPr>
              <m:t>2</m:t>
            </m:r>
          </m:den>
        </m:f>
        <m:nary>
          <m:naryPr>
            <m:chr m:val="∑"/>
            <m:limLoc m:val="undOvr"/>
            <m:supHide m:val="1"/>
            <m:ctrlPr>
              <w:rPr>
                <w:rFonts w:ascii="Cambria Math" w:eastAsia="Times New Roman" w:hAnsi="Cambria Math" w:cs="Times New Roman"/>
                <w:i/>
                <w:color w:val="222222"/>
                <w:sz w:val="20"/>
                <w:szCs w:val="20"/>
              </w:rPr>
            </m:ctrlPr>
          </m:naryPr>
          <m:sub>
            <m:r>
              <w:rPr>
                <w:rFonts w:ascii="Cambria Math" w:eastAsia="Times New Roman" w:hAnsi="Cambria Math" w:cs="Times New Roman"/>
                <w:color w:val="222222"/>
                <w:sz w:val="20"/>
                <w:szCs w:val="20"/>
              </w:rPr>
              <m:t>ijl</m:t>
            </m:r>
          </m:sub>
          <m:sup/>
          <m:e>
            <m:sSub>
              <m:sSubPr>
                <m:ctrlPr>
                  <w:rPr>
                    <w:rFonts w:ascii="Cambria Math" w:eastAsia="Times New Roman" w:hAnsi="Cambria Math" w:cs="Times New Roman"/>
                    <w:i/>
                    <w:color w:val="222222"/>
                    <w:sz w:val="20"/>
                    <w:szCs w:val="20"/>
                  </w:rPr>
                </m:ctrlPr>
              </m:sSubPr>
              <m:e>
                <m:r>
                  <w:rPr>
                    <w:rFonts w:ascii="Cambria Math" w:eastAsia="Times New Roman" w:hAnsi="Cambria Math" w:cs="Times New Roman"/>
                    <w:color w:val="222222"/>
                    <w:sz w:val="20"/>
                    <w:szCs w:val="20"/>
                  </w:rPr>
                  <m:t>A</m:t>
                </m:r>
              </m:e>
              <m:sub>
                <m:r>
                  <w:rPr>
                    <w:rFonts w:ascii="Cambria Math" w:eastAsia="Times New Roman" w:hAnsi="Cambria Math" w:cs="Times New Roman"/>
                    <w:color w:val="222222"/>
                    <w:sz w:val="20"/>
                    <w:szCs w:val="20"/>
                  </w:rPr>
                  <m:t>ijl</m:t>
                </m:r>
              </m:sub>
            </m:sSub>
          </m:e>
        </m:nary>
      </m:oMath>
      <w:r>
        <w:rPr>
          <w:rFonts w:ascii="Times New Roman" w:eastAsia="Times New Roman" w:hAnsi="Times New Roman" w:cs="Times New Roman"/>
          <w:color w:val="222222"/>
          <w:sz w:val="20"/>
          <w:szCs w:val="20"/>
          <w:highlight w:val="white"/>
        </w:rPr>
        <w:t xml:space="preserve"> </w:t>
      </w:r>
      <w:r w:rsidR="00D22EBA">
        <w:rPr>
          <w:rFonts w:ascii="Times New Roman" w:eastAsia="Times New Roman" w:hAnsi="Times New Roman" w:cs="Times New Roman"/>
          <w:sz w:val="20"/>
          <w:szCs w:val="20"/>
        </w:rPr>
        <w:t>is the total FC of the multilayer network,</w:t>
      </w:r>
      <w:r w:rsidR="00D22EBA">
        <w:rPr>
          <w:rFonts w:ascii="Times New Roman" w:eastAsia="Times New Roman" w:hAnsi="Times New Roman" w:cs="Times New Roman"/>
          <w:color w:val="222222"/>
          <w:sz w:val="20"/>
          <w:szCs w:val="20"/>
          <w:highlight w:val="white"/>
        </w:rPr>
        <w:t xml:space="preserve"> and</w:t>
      </w:r>
      <w:r>
        <w:rPr>
          <w:rFonts w:ascii="Times New Roman" w:eastAsia="Times New Roman" w:hAnsi="Times New Roman" w:cs="Times New Roman"/>
          <w:color w:val="222222"/>
          <w:sz w:val="20"/>
          <w:szCs w:val="20"/>
          <w:highlight w:val="white"/>
        </w:rPr>
        <w:t xml:space="preserve">  </w:t>
      </w:r>
      <m:oMath>
        <m:sSub>
          <m:sSubPr>
            <m:ctrlPr>
              <w:rPr>
                <w:rFonts w:ascii="Cambria Math" w:eastAsia="Times New Roman" w:hAnsi="Cambria Math" w:cs="Times New Roman"/>
                <w:i/>
                <w:color w:val="222222"/>
                <w:sz w:val="20"/>
                <w:szCs w:val="20"/>
              </w:rPr>
            </m:ctrlPr>
          </m:sSubPr>
          <m:e>
            <m:r>
              <w:rPr>
                <w:rFonts w:ascii="Cambria Math" w:eastAsia="Times New Roman" w:hAnsi="Cambria Math" w:cs="Times New Roman"/>
                <w:color w:val="222222"/>
                <w:sz w:val="20"/>
                <w:szCs w:val="20"/>
              </w:rPr>
              <m:t>m</m:t>
            </m:r>
          </m:e>
          <m:sub>
            <m:r>
              <w:rPr>
                <w:rFonts w:ascii="Cambria Math" w:eastAsia="Times New Roman" w:hAnsi="Cambria Math" w:cs="Times New Roman"/>
                <w:color w:val="222222"/>
                <w:sz w:val="20"/>
                <w:szCs w:val="20"/>
              </w:rPr>
              <m:t>l</m:t>
            </m:r>
          </m:sub>
        </m:sSub>
        <m:r>
          <w:rPr>
            <w:rFonts w:ascii="Cambria Math" w:eastAsia="Times New Roman" w:hAnsi="Cambria Math" w:cs="Times New Roman"/>
            <w:color w:val="222222"/>
            <w:sz w:val="20"/>
            <w:szCs w:val="20"/>
          </w:rPr>
          <m:t>=</m:t>
        </m:r>
        <m:f>
          <m:fPr>
            <m:ctrlPr>
              <w:rPr>
                <w:rFonts w:ascii="Cambria Math" w:eastAsia="Times New Roman" w:hAnsi="Cambria Math" w:cs="Times New Roman"/>
                <w:i/>
                <w:color w:val="222222"/>
                <w:sz w:val="20"/>
                <w:szCs w:val="20"/>
              </w:rPr>
            </m:ctrlPr>
          </m:fPr>
          <m:num>
            <m:r>
              <w:rPr>
                <w:rFonts w:ascii="Cambria Math" w:eastAsia="Times New Roman" w:hAnsi="Cambria Math" w:cs="Times New Roman"/>
                <w:color w:val="222222"/>
                <w:sz w:val="20"/>
                <w:szCs w:val="20"/>
              </w:rPr>
              <m:t>1</m:t>
            </m:r>
          </m:num>
          <m:den>
            <m:r>
              <w:rPr>
                <w:rFonts w:ascii="Cambria Math" w:eastAsia="Times New Roman" w:hAnsi="Cambria Math" w:cs="Times New Roman"/>
                <w:color w:val="222222"/>
                <w:sz w:val="20"/>
                <w:szCs w:val="20"/>
              </w:rPr>
              <m:t>2</m:t>
            </m:r>
          </m:den>
        </m:f>
        <m:nary>
          <m:naryPr>
            <m:chr m:val="∑"/>
            <m:limLoc m:val="undOvr"/>
            <m:supHide m:val="1"/>
            <m:ctrlPr>
              <w:rPr>
                <w:rFonts w:ascii="Cambria Math" w:eastAsia="Times New Roman" w:hAnsi="Cambria Math" w:cs="Times New Roman"/>
                <w:i/>
                <w:color w:val="222222"/>
                <w:sz w:val="20"/>
                <w:szCs w:val="20"/>
              </w:rPr>
            </m:ctrlPr>
          </m:naryPr>
          <m:sub>
            <m:r>
              <w:rPr>
                <w:rFonts w:ascii="Cambria Math" w:eastAsia="Times New Roman" w:hAnsi="Cambria Math" w:cs="Times New Roman"/>
                <w:color w:val="222222"/>
                <w:sz w:val="20"/>
                <w:szCs w:val="20"/>
              </w:rPr>
              <m:t>ijl</m:t>
            </m:r>
          </m:sub>
          <m:sup/>
          <m:e>
            <m:sSub>
              <m:sSubPr>
                <m:ctrlPr>
                  <w:rPr>
                    <w:rFonts w:ascii="Cambria Math" w:eastAsia="Times New Roman" w:hAnsi="Cambria Math" w:cs="Times New Roman"/>
                    <w:i/>
                    <w:color w:val="222222"/>
                    <w:sz w:val="20"/>
                    <w:szCs w:val="20"/>
                  </w:rPr>
                </m:ctrlPr>
              </m:sSubPr>
              <m:e>
                <m:r>
                  <w:rPr>
                    <w:rFonts w:ascii="Cambria Math" w:eastAsia="Times New Roman" w:hAnsi="Cambria Math" w:cs="Times New Roman"/>
                    <w:color w:val="222222"/>
                    <w:sz w:val="20"/>
                    <w:szCs w:val="20"/>
                  </w:rPr>
                  <m:t>A</m:t>
                </m:r>
              </m:e>
              <m:sub>
                <m:r>
                  <w:rPr>
                    <w:rFonts w:ascii="Cambria Math" w:eastAsia="Times New Roman" w:hAnsi="Cambria Math" w:cs="Times New Roman"/>
                    <w:color w:val="222222"/>
                    <w:sz w:val="20"/>
                    <w:szCs w:val="20"/>
                  </w:rPr>
                  <m:t>ijl</m:t>
                </m:r>
              </m:sub>
            </m:sSub>
          </m:e>
        </m:nary>
      </m:oMath>
      <w:r>
        <w:rPr>
          <w:rFonts w:ascii="Times New Roman" w:eastAsia="Times New Roman" w:hAnsi="Times New Roman" w:cs="Times New Roman"/>
          <w:color w:val="222222"/>
          <w:sz w:val="20"/>
          <w:szCs w:val="20"/>
          <w:highlight w:val="white"/>
        </w:rPr>
        <w:t xml:space="preserve"> </w:t>
      </w:r>
      <w:r w:rsidR="00D22EBA">
        <w:rPr>
          <w:rFonts w:ascii="Times New Roman" w:eastAsia="Times New Roman" w:hAnsi="Times New Roman" w:cs="Times New Roman"/>
          <w:sz w:val="20"/>
          <w:szCs w:val="20"/>
        </w:rPr>
        <w:t>is the total FC of layer</w:t>
      </w:r>
      <w:r>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l</m:t>
        </m:r>
      </m:oMath>
      <w:r w:rsidR="00D22EBA">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color w:val="222222"/>
                <w:sz w:val="20"/>
                <w:szCs w:val="20"/>
              </w:rPr>
            </m:ctrlPr>
          </m:sSubPr>
          <m:e>
            <m:r>
              <w:rPr>
                <w:rFonts w:ascii="Cambria Math" w:eastAsia="Times New Roman" w:hAnsi="Cambria Math" w:cs="Times New Roman"/>
                <w:color w:val="222222"/>
                <w:sz w:val="20"/>
                <w:szCs w:val="20"/>
              </w:rPr>
              <m:t>A</m:t>
            </m:r>
          </m:e>
          <m:sub>
            <m:r>
              <w:rPr>
                <w:rFonts w:ascii="Cambria Math" w:eastAsia="Times New Roman" w:hAnsi="Cambria Math" w:cs="Times New Roman"/>
                <w:color w:val="222222"/>
                <w:sz w:val="20"/>
                <w:szCs w:val="20"/>
              </w:rPr>
              <m:t>ijl</m:t>
            </m:r>
          </m:sub>
        </m:sSub>
      </m:oMath>
      <w:r>
        <w:rPr>
          <w:rFonts w:ascii="Times New Roman" w:eastAsia="Times New Roman" w:hAnsi="Times New Roman" w:cs="Times New Roman"/>
          <w:color w:val="222222"/>
          <w:sz w:val="20"/>
          <w:szCs w:val="20"/>
        </w:rPr>
        <w:t xml:space="preserve"> </w:t>
      </w:r>
      <w:r w:rsidR="00D22EBA">
        <w:rPr>
          <w:rFonts w:ascii="Times New Roman" w:eastAsia="Times New Roman" w:hAnsi="Times New Roman" w:cs="Times New Roman"/>
          <w:sz w:val="20"/>
          <w:szCs w:val="20"/>
        </w:rPr>
        <w:t xml:space="preserve">is the FC between ROI </w:t>
      </w:r>
      <m:oMath>
        <m:r>
          <w:rPr>
            <w:rFonts w:ascii="Cambria Math" w:eastAsia="Times New Roman" w:hAnsi="Cambria Math" w:cs="Times New Roman"/>
            <w:sz w:val="20"/>
            <w:szCs w:val="20"/>
          </w:rPr>
          <m:t>i</m:t>
        </m:r>
      </m:oMath>
      <w:r w:rsidR="00200613">
        <w:rPr>
          <w:rFonts w:ascii="Times New Roman" w:eastAsia="Times New Roman" w:hAnsi="Times New Roman" w:cs="Times New Roman"/>
          <w:sz w:val="20"/>
          <w:szCs w:val="20"/>
        </w:rPr>
        <w:t xml:space="preserve"> and </w:t>
      </w:r>
      <m:oMath>
        <m:r>
          <w:rPr>
            <w:rFonts w:ascii="Cambria Math" w:eastAsia="Times New Roman" w:hAnsi="Cambria Math" w:cs="Times New Roman"/>
            <w:sz w:val="20"/>
            <w:szCs w:val="20"/>
          </w:rPr>
          <m:t>j</m:t>
        </m:r>
      </m:oMath>
      <w:r w:rsidR="00200613">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at </w:t>
      </w:r>
      <w:r w:rsidR="00200613">
        <w:rPr>
          <w:rFonts w:ascii="Times New Roman" w:eastAsia="Times New Roman" w:hAnsi="Times New Roman" w:cs="Times New Roman"/>
          <w:sz w:val="20"/>
          <w:szCs w:val="20"/>
        </w:rPr>
        <w:t xml:space="preserve">layer </w:t>
      </w:r>
      <m:oMath>
        <m:r>
          <w:rPr>
            <w:rFonts w:ascii="Cambria Math" w:eastAsia="Times New Roman" w:hAnsi="Cambria Math" w:cs="Times New Roman"/>
            <w:sz w:val="20"/>
            <w:szCs w:val="20"/>
          </w:rPr>
          <m:t>l</m:t>
        </m:r>
      </m:oMath>
      <w:r w:rsidR="00200613">
        <w:rPr>
          <w:rFonts w:ascii="Times New Roman" w:eastAsia="Times New Roman" w:hAnsi="Times New Roman" w:cs="Times New Roman"/>
          <w:sz w:val="20"/>
          <w:szCs w:val="20"/>
        </w:rPr>
        <w:t xml:space="preserve">,  </w:t>
      </w:r>
      <m:oMath>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il</m:t>
                </m:r>
              </m:sub>
            </m:sSub>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jl</m:t>
                </m:r>
              </m:sub>
            </m:sSub>
          </m:num>
          <m:den>
            <m:r>
              <w:rPr>
                <w:rFonts w:ascii="Cambria Math" w:eastAsia="Times New Roman" w:hAnsi="Cambria Math" w:cs="Times New Roman"/>
                <w:sz w:val="20"/>
                <w:szCs w:val="20"/>
              </w:rPr>
              <m:t>2</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m</m:t>
                </m:r>
              </m:e>
              <m:sub>
                <m:r>
                  <w:rPr>
                    <w:rFonts w:ascii="Cambria Math" w:eastAsia="Times New Roman" w:hAnsi="Cambria Math" w:cs="Times New Roman"/>
                    <w:sz w:val="20"/>
                    <w:szCs w:val="20"/>
                  </w:rPr>
                  <m:t>l</m:t>
                </m:r>
              </m:sub>
            </m:sSub>
          </m:den>
        </m:f>
      </m:oMath>
      <w:r w:rsidR="00200613">
        <w:rPr>
          <w:rFonts w:ascii="Times New Roman" w:eastAsia="Times New Roman" w:hAnsi="Times New Roman" w:cs="Times New Roman"/>
          <w:sz w:val="20"/>
          <w:szCs w:val="20"/>
        </w:rPr>
        <w:t xml:space="preserve">  </w:t>
      </w:r>
      <w:r w:rsidR="00D22EBA">
        <w:rPr>
          <w:rFonts w:ascii="Times New Roman" w:eastAsia="Times New Roman" w:hAnsi="Times New Roman" w:cs="Times New Roman"/>
          <w:sz w:val="20"/>
          <w:szCs w:val="20"/>
        </w:rPr>
        <w:t xml:space="preserve">is the expected null FC at layer </w:t>
      </w:r>
      <m:oMath>
        <m:r>
          <w:rPr>
            <w:rFonts w:ascii="Cambria Math" w:eastAsia="Times New Roman" w:hAnsi="Cambria Math" w:cs="Times New Roman"/>
            <w:sz w:val="20"/>
            <w:szCs w:val="20"/>
          </w:rPr>
          <m:t>l</m:t>
        </m:r>
      </m:oMath>
      <w:r w:rsidR="00D22EBA">
        <w:rPr>
          <w:rFonts w:ascii="Times New Roman" w:eastAsia="Times New Roman" w:hAnsi="Times New Roman" w:cs="Times New Roman"/>
          <w:sz w:val="20"/>
          <w:szCs w:val="20"/>
        </w:rPr>
        <w:t>. The two free</w:t>
      </w:r>
      <w:r w:rsidR="00AC7F06">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γ</m:t>
        </m:r>
      </m:oMath>
      <w:r w:rsidR="00D22EBA">
        <w:rPr>
          <w:rFonts w:ascii="Times New Roman" w:eastAsia="Times New Roman" w:hAnsi="Times New Roman" w:cs="Times New Roman"/>
          <w:sz w:val="20"/>
          <w:szCs w:val="20"/>
        </w:rPr>
        <w:t xml:space="preserve"> and</w:t>
      </w:r>
      <w:r w:rsidR="00AC7F06">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ω</m:t>
        </m:r>
      </m:oMath>
      <w:r w:rsidR="00D22EBA">
        <w:rPr>
          <w:rFonts w:ascii="Times New Roman" w:eastAsia="Times New Roman" w:hAnsi="Times New Roman" w:cs="Times New Roman"/>
          <w:sz w:val="20"/>
          <w:szCs w:val="20"/>
        </w:rPr>
        <w:t xml:space="preserve"> structural and temporal resolution parameters are used to scale the number of communities and strength of inter-layer edges, respectively. As is typical for dynamic modularity fMRI analyses, both were set to 1 </w:t>
      </w:r>
      <w:r w:rsidR="00D22EBA">
        <w:rPr>
          <w:rFonts w:ascii="Times New Roman" w:eastAsia="Times New Roman" w:hAnsi="Times New Roman" w:cs="Times New Roman"/>
          <w:sz w:val="20"/>
          <w:szCs w:val="20"/>
          <w:vertAlign w:val="superscript"/>
        </w:rPr>
        <w:t>15,23,27</w:t>
      </w:r>
      <w:r w:rsidR="00D22EBA">
        <w:rPr>
          <w:rFonts w:ascii="Times New Roman" w:eastAsia="Times New Roman" w:hAnsi="Times New Roman" w:cs="Times New Roman"/>
          <w:sz w:val="20"/>
          <w:szCs w:val="20"/>
        </w:rPr>
        <w:t xml:space="preserve">. </w:t>
      </w:r>
    </w:p>
    <w:p w14:paraId="426031D5" w14:textId="77777777" w:rsidR="00803EA7" w:rsidRDefault="00803EA7">
      <w:pPr>
        <w:spacing w:line="360" w:lineRule="auto"/>
        <w:jc w:val="both"/>
        <w:rPr>
          <w:rFonts w:ascii="Times New Roman" w:eastAsia="Times New Roman" w:hAnsi="Times New Roman" w:cs="Times New Roman"/>
          <w:sz w:val="20"/>
          <w:szCs w:val="20"/>
        </w:rPr>
      </w:pPr>
    </w:p>
    <w:p w14:paraId="7F649FDA" w14:textId="7CFBDB0F"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multilayer modularity estimation generates an</w:t>
      </w:r>
      <w:r w:rsidR="007F34EB">
        <w:rPr>
          <w:rFonts w:ascii="Times New Roman" w:eastAsia="Times New Roman" w:hAnsi="Times New Roman" w:cs="Times New Roman"/>
          <w:sz w:val="20"/>
          <w:szCs w:val="20"/>
        </w:rPr>
        <w:t xml:space="preserve"> </w:t>
      </w:r>
      <m:oMath>
        <m:r>
          <w:rPr>
            <w:rFonts w:ascii="Cambria Math" w:eastAsia="Times New Roman" w:hAnsi="Cambria Math" w:cs="Times New Roman"/>
            <w:color w:val="222222"/>
            <w:sz w:val="20"/>
            <w:szCs w:val="20"/>
            <w:highlight w:val="white"/>
          </w:rPr>
          <m:t>N x T</m:t>
        </m:r>
      </m:oMath>
      <w:r w:rsidR="007F34EB">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color w:val="222222"/>
          <w:sz w:val="20"/>
          <w:szCs w:val="20"/>
          <w:highlight w:val="white"/>
        </w:rPr>
        <w:t xml:space="preserve">matrix where each element represents the </w:t>
      </w:r>
      <w:r>
        <w:rPr>
          <w:rFonts w:ascii="Times New Roman" w:eastAsia="Times New Roman" w:hAnsi="Times New Roman" w:cs="Times New Roman"/>
          <w:sz w:val="20"/>
          <w:szCs w:val="20"/>
        </w:rPr>
        <w:t xml:space="preserve">community assignment of each ROI at each layer (time-window). From this, the flexibility metric, </w:t>
      </w:r>
      <m:oMath>
        <m:r>
          <w:rPr>
            <w:rFonts w:ascii="Cambria Math" w:eastAsia="Times New Roman" w:hAnsi="Cambria Math" w:cs="Times New Roman"/>
            <w:sz w:val="20"/>
            <w:szCs w:val="20"/>
          </w:rPr>
          <m:t>f</m:t>
        </m:r>
      </m:oMath>
      <w:r>
        <w:rPr>
          <w:rFonts w:ascii="Times New Roman" w:eastAsia="Times New Roman" w:hAnsi="Times New Roman" w:cs="Times New Roman"/>
          <w:color w:val="222222"/>
          <w:sz w:val="20"/>
          <w:szCs w:val="20"/>
          <w:highlight w:val="white"/>
        </w:rPr>
        <w:t>,</w:t>
      </w:r>
      <w:r>
        <w:rPr>
          <w:rFonts w:ascii="Times New Roman" w:eastAsia="Times New Roman" w:hAnsi="Times New Roman" w:cs="Times New Roman"/>
          <w:sz w:val="20"/>
          <w:szCs w:val="20"/>
        </w:rPr>
        <w:t xml:space="preserve"> can be simply calculated as the number of times an ROI changes its community allegiance, given the number of observations </w:t>
      </w:r>
      <w:r>
        <w:rPr>
          <w:rFonts w:ascii="Times New Roman" w:eastAsia="Times New Roman" w:hAnsi="Times New Roman" w:cs="Times New Roman"/>
          <w:sz w:val="20"/>
          <w:szCs w:val="20"/>
          <w:vertAlign w:val="superscript"/>
        </w:rPr>
        <w:t>23</w:t>
      </w:r>
      <w:r>
        <w:rPr>
          <w:rFonts w:ascii="Times New Roman" w:eastAsia="Times New Roman" w:hAnsi="Times New Roman" w:cs="Times New Roman"/>
          <w:sz w:val="20"/>
          <w:szCs w:val="20"/>
        </w:rPr>
        <w:t>:</w:t>
      </w:r>
    </w:p>
    <w:tbl>
      <w:tblPr>
        <w:tblStyle w:val="a2"/>
        <w:tblW w:w="90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125"/>
        <w:gridCol w:w="6255"/>
        <w:gridCol w:w="1635"/>
      </w:tblGrid>
      <w:tr w:rsidR="00803EA7" w14:paraId="719D5392" w14:textId="77777777">
        <w:tc>
          <w:tcPr>
            <w:tcW w:w="1125" w:type="dxa"/>
            <w:shd w:val="clear" w:color="auto" w:fill="auto"/>
            <w:tcMar>
              <w:top w:w="100" w:type="dxa"/>
              <w:left w:w="100" w:type="dxa"/>
              <w:bottom w:w="100" w:type="dxa"/>
              <w:right w:w="100" w:type="dxa"/>
            </w:tcMar>
          </w:tcPr>
          <w:p w14:paraId="5255687A" w14:textId="77777777" w:rsidR="00803EA7" w:rsidRDefault="00803EA7">
            <w:pPr>
              <w:widowControl w:val="0"/>
              <w:spacing w:line="240" w:lineRule="auto"/>
              <w:rPr>
                <w:rFonts w:ascii="Times New Roman" w:eastAsia="Times New Roman" w:hAnsi="Times New Roman" w:cs="Times New Roman"/>
                <w:sz w:val="20"/>
                <w:szCs w:val="20"/>
              </w:rPr>
            </w:pPr>
          </w:p>
        </w:tc>
        <w:tc>
          <w:tcPr>
            <w:tcW w:w="6255" w:type="dxa"/>
            <w:shd w:val="clear" w:color="auto" w:fill="auto"/>
            <w:tcMar>
              <w:top w:w="100" w:type="dxa"/>
              <w:left w:w="100" w:type="dxa"/>
              <w:bottom w:w="100" w:type="dxa"/>
              <w:right w:w="100" w:type="dxa"/>
            </w:tcMar>
          </w:tcPr>
          <w:p w14:paraId="3195FAF2" w14:textId="13A08FF6" w:rsidR="00803EA7" w:rsidRDefault="004C3A50">
            <w:pPr>
              <w:spacing w:line="360" w:lineRule="auto"/>
              <w:jc w:val="center"/>
              <w:rPr>
                <w:rFonts w:ascii="Times New Roman" w:eastAsia="Times New Roman" w:hAnsi="Times New Roman" w:cs="Times New Roman"/>
                <w:color w:val="222222"/>
                <w:sz w:val="20"/>
                <w:szCs w:val="20"/>
                <w:highlight w:val="white"/>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m:t>
                    </m:r>
                  </m:e>
                  <m:sub>
                    <m:r>
                      <w:rPr>
                        <w:rFonts w:ascii="Cambria Math" w:eastAsia="Times New Roman" w:hAnsi="Cambria Math" w:cs="Times New Roman"/>
                        <w:sz w:val="20"/>
                        <w:szCs w:val="20"/>
                      </w:rPr>
                      <m:t>i</m:t>
                    </m:r>
                  </m:sub>
                </m:sSub>
                <m:r>
                  <w:rPr>
                    <w:rFonts w:ascii="Cambria Math" w:eastAsia="Times New Roman" w:hAnsi="Cambria Math" w:cs="Times New Roman"/>
                    <w:sz w:val="20"/>
                    <w:szCs w:val="20"/>
                  </w:rPr>
                  <m:t xml:space="preserve">=1- </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m:t>
                    </m:r>
                  </m:num>
                  <m:den>
                    <m:r>
                      <w:rPr>
                        <w:rFonts w:ascii="Cambria Math" w:eastAsia="Times New Roman" w:hAnsi="Cambria Math" w:cs="Times New Roman"/>
                        <w:sz w:val="20"/>
                        <w:szCs w:val="20"/>
                      </w:rPr>
                      <m:t>T-1</m:t>
                    </m:r>
                  </m:den>
                </m:f>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l</m:t>
                    </m:r>
                  </m:sub>
                  <m:sup>
                    <m:r>
                      <w:rPr>
                        <w:rFonts w:ascii="Cambria Math" w:eastAsia="Times New Roman" w:hAnsi="Cambria Math" w:cs="Times New Roman"/>
                        <w:sz w:val="20"/>
                        <w:szCs w:val="20"/>
                      </w:rPr>
                      <m:t>T-1</m:t>
                    </m:r>
                  </m:sup>
                  <m:e>
                    <m:r>
                      <w:rPr>
                        <w:rFonts w:ascii="Cambria Math" w:eastAsia="Times New Roman" w:hAnsi="Cambria Math" w:cs="Times New Roman"/>
                        <w:sz w:val="20"/>
                        <w:szCs w:val="20"/>
                      </w:rPr>
                      <m:t>δ</m:t>
                    </m:r>
                    <m:d>
                      <m:dPr>
                        <m:ctrlPr>
                          <w:rPr>
                            <w:rFonts w:ascii="Cambria Math" w:eastAsia="Times New Roman" w:hAnsi="Cambria Math" w:cs="Times New Roman"/>
                            <w:sz w:val="20"/>
                            <w:szCs w:val="20"/>
                          </w:rPr>
                        </m:ctrlPr>
                      </m:dPr>
                      <m:e>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il</m:t>
                            </m:r>
                          </m:sub>
                        </m:sSub>
                        <m:r>
                          <w:rPr>
                            <w:rFonts w:ascii="Cambria Math" w:eastAsia="Times New Roman" w:hAnsi="Cambria Math" w:cs="Times New Roman"/>
                            <w:sz w:val="20"/>
                            <w:szCs w:val="20"/>
                          </w:rPr>
                          <m:t>,</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rPr>
                              <m:t>c</m:t>
                            </m:r>
                          </m:e>
                          <m:sub>
                            <m:r>
                              <w:rPr>
                                <w:rFonts w:ascii="Cambria Math" w:eastAsia="Times New Roman" w:hAnsi="Cambria Math" w:cs="Times New Roman"/>
                                <w:sz w:val="20"/>
                                <w:szCs w:val="20"/>
                              </w:rPr>
                              <m:t>jl+1</m:t>
                            </m:r>
                          </m:sub>
                        </m:sSub>
                      </m:e>
                    </m:d>
                  </m:e>
                </m:nary>
                <m:r>
                  <w:rPr>
                    <w:rFonts w:ascii="Cambria Math" w:eastAsia="Times New Roman" w:hAnsi="Cambria Math" w:cs="Times New Roman"/>
                    <w:sz w:val="20"/>
                    <w:szCs w:val="20"/>
                  </w:rPr>
                  <m:t>,</m:t>
                </m:r>
              </m:oMath>
            </m:oMathPara>
          </w:p>
        </w:tc>
        <w:tc>
          <w:tcPr>
            <w:tcW w:w="1635" w:type="dxa"/>
            <w:shd w:val="clear" w:color="auto" w:fill="auto"/>
            <w:tcMar>
              <w:top w:w="100" w:type="dxa"/>
              <w:left w:w="100" w:type="dxa"/>
              <w:bottom w:w="100" w:type="dxa"/>
              <w:right w:w="100" w:type="dxa"/>
            </w:tcMar>
          </w:tcPr>
          <w:p w14:paraId="61C8DB98" w14:textId="77777777" w:rsidR="00803EA7" w:rsidRDefault="00D22EBA">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14:paraId="3B9C03D2" w14:textId="77777777" w:rsidR="00803EA7" w:rsidRDefault="00D22EB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 xml:space="preserve">Flexibility scores close to 0 represent rigid ROIs whose community allegiance is stable across </w:t>
      </w:r>
      <w:proofErr w:type="gramStart"/>
      <w:r>
        <w:rPr>
          <w:rFonts w:ascii="Times New Roman" w:eastAsia="Times New Roman" w:hAnsi="Times New Roman" w:cs="Times New Roman"/>
          <w:color w:val="222222"/>
          <w:sz w:val="20"/>
          <w:szCs w:val="20"/>
          <w:highlight w:val="white"/>
        </w:rPr>
        <w:t>time,</w:t>
      </w:r>
      <w:proofErr w:type="gramEnd"/>
      <w:r>
        <w:rPr>
          <w:rFonts w:ascii="Times New Roman" w:eastAsia="Times New Roman" w:hAnsi="Times New Roman" w:cs="Times New Roman"/>
          <w:color w:val="222222"/>
          <w:sz w:val="20"/>
          <w:szCs w:val="20"/>
          <w:highlight w:val="white"/>
        </w:rPr>
        <w:t xml:space="preserve"> scores close to 1 represent flexible ROIs whose community allegiance regularly changes (highly flexible).</w:t>
      </w:r>
    </w:p>
    <w:p w14:paraId="364F87A5" w14:textId="77777777" w:rsidR="00803EA7" w:rsidRDefault="00D22EBA">
      <w:pPr>
        <w:spacing w:line="360" w:lineRule="auto"/>
        <w:jc w:val="both"/>
      </w:pPr>
      <w:r>
        <w:br w:type="page"/>
      </w:r>
    </w:p>
    <w:p w14:paraId="24138B00" w14:textId="77777777" w:rsidR="00803EA7" w:rsidRDefault="00D22EBA">
      <w:pPr>
        <w:spacing w:line="360" w:lineRule="auto"/>
        <w:jc w:val="both"/>
      </w:pPr>
      <w:r>
        <w:lastRenderedPageBreak/>
        <w:t>References</w:t>
      </w:r>
    </w:p>
    <w:p w14:paraId="1CC85279" w14:textId="77777777" w:rsidR="00803EA7" w:rsidRDefault="00D22EBA">
      <w:pPr>
        <w:spacing w:line="480" w:lineRule="auto"/>
        <w:ind w:left="384" w:hanging="384"/>
        <w:jc w:val="both"/>
      </w:pPr>
      <w:r>
        <w:t>1.</w:t>
      </w:r>
      <w:r>
        <w:tab/>
        <w:t xml:space="preserve">Jack, C. R. </w:t>
      </w:r>
      <w:r>
        <w:rPr>
          <w:i/>
        </w:rPr>
        <w:t>et al.</w:t>
      </w:r>
      <w:r>
        <w:t xml:space="preserve"> The Alzheimer’s disease neuroimaging initiative (ADNI): MRI methods. </w:t>
      </w:r>
      <w:r>
        <w:rPr>
          <w:i/>
        </w:rPr>
        <w:t xml:space="preserve">J. </w:t>
      </w:r>
      <w:proofErr w:type="spellStart"/>
      <w:r>
        <w:rPr>
          <w:i/>
        </w:rPr>
        <w:t>Magn</w:t>
      </w:r>
      <w:proofErr w:type="spellEnd"/>
      <w:r>
        <w:rPr>
          <w:i/>
        </w:rPr>
        <w:t xml:space="preserve">. </w:t>
      </w:r>
      <w:proofErr w:type="spellStart"/>
      <w:r>
        <w:rPr>
          <w:i/>
        </w:rPr>
        <w:t>Reson</w:t>
      </w:r>
      <w:proofErr w:type="spellEnd"/>
      <w:r>
        <w:rPr>
          <w:i/>
        </w:rPr>
        <w:t xml:space="preserve">. Imaging </w:t>
      </w:r>
      <w:r>
        <w:rPr>
          <w:b/>
        </w:rPr>
        <w:t>27</w:t>
      </w:r>
      <w:r>
        <w:t>, 685–691 (2008).</w:t>
      </w:r>
    </w:p>
    <w:p w14:paraId="4C10ACC5" w14:textId="77777777" w:rsidR="00803EA7" w:rsidRDefault="00D22EBA">
      <w:pPr>
        <w:widowControl w:val="0"/>
        <w:pBdr>
          <w:top w:val="nil"/>
          <w:left w:val="nil"/>
          <w:bottom w:val="nil"/>
          <w:right w:val="nil"/>
          <w:between w:val="nil"/>
        </w:pBdr>
        <w:spacing w:line="480" w:lineRule="auto"/>
        <w:ind w:left="384" w:hanging="384"/>
      </w:pPr>
      <w:r>
        <w:t>2.</w:t>
      </w:r>
      <w:r>
        <w:tab/>
        <w:t xml:space="preserve">Smith, S. M. </w:t>
      </w:r>
      <w:r>
        <w:rPr>
          <w:i/>
        </w:rPr>
        <w:t>et al.</w:t>
      </w:r>
      <w:r>
        <w:t xml:space="preserve"> Advances in functional and structural MR image analysis and implementation as FSL. </w:t>
      </w:r>
      <w:proofErr w:type="spellStart"/>
      <w:r>
        <w:rPr>
          <w:i/>
        </w:rPr>
        <w:t>NeuroImage</w:t>
      </w:r>
      <w:proofErr w:type="spellEnd"/>
      <w:r>
        <w:rPr>
          <w:i/>
        </w:rPr>
        <w:t xml:space="preserve"> </w:t>
      </w:r>
      <w:r>
        <w:rPr>
          <w:b/>
        </w:rPr>
        <w:t>23</w:t>
      </w:r>
      <w:r>
        <w:t>, S208–S219 (2004).</w:t>
      </w:r>
    </w:p>
    <w:p w14:paraId="36C0DFFA" w14:textId="77777777" w:rsidR="00803EA7" w:rsidRDefault="00D22EBA">
      <w:pPr>
        <w:widowControl w:val="0"/>
        <w:pBdr>
          <w:top w:val="nil"/>
          <w:left w:val="nil"/>
          <w:bottom w:val="nil"/>
          <w:right w:val="nil"/>
          <w:between w:val="nil"/>
        </w:pBdr>
        <w:spacing w:line="480" w:lineRule="auto"/>
        <w:ind w:left="384" w:hanging="384"/>
      </w:pPr>
      <w:r>
        <w:t>3.</w:t>
      </w:r>
      <w:r>
        <w:tab/>
        <w:t xml:space="preserve">Cox, R. W. AFNI: Software for Analysis and Visualization of Functional Magnetic Resonance Neuroimages. </w:t>
      </w:r>
      <w:proofErr w:type="spellStart"/>
      <w:r>
        <w:rPr>
          <w:i/>
        </w:rPr>
        <w:t>Comput</w:t>
      </w:r>
      <w:proofErr w:type="spellEnd"/>
      <w:r>
        <w:rPr>
          <w:i/>
        </w:rPr>
        <w:t xml:space="preserve">. Biomed. Res. </w:t>
      </w:r>
      <w:r>
        <w:rPr>
          <w:b/>
        </w:rPr>
        <w:t>29</w:t>
      </w:r>
      <w:r>
        <w:t>, 162–173 (1996).</w:t>
      </w:r>
    </w:p>
    <w:p w14:paraId="205D4E91" w14:textId="77777777" w:rsidR="00803EA7" w:rsidRDefault="00D22EBA">
      <w:pPr>
        <w:widowControl w:val="0"/>
        <w:pBdr>
          <w:top w:val="nil"/>
          <w:left w:val="nil"/>
          <w:bottom w:val="nil"/>
          <w:right w:val="nil"/>
          <w:between w:val="nil"/>
        </w:pBdr>
        <w:spacing w:line="480" w:lineRule="auto"/>
        <w:ind w:left="384" w:hanging="384"/>
      </w:pPr>
      <w:r>
        <w:t>4.</w:t>
      </w:r>
      <w:r>
        <w:tab/>
        <w:t xml:space="preserve">Dale, A. M., </w:t>
      </w:r>
      <w:proofErr w:type="spellStart"/>
      <w:r>
        <w:t>Fischl</w:t>
      </w:r>
      <w:proofErr w:type="spellEnd"/>
      <w:r>
        <w:t xml:space="preserve">, B. &amp; Sereno, M. I. Cortical Surface-Based Analysis. </w:t>
      </w:r>
      <w:proofErr w:type="spellStart"/>
      <w:r>
        <w:rPr>
          <w:i/>
        </w:rPr>
        <w:t>NeuroImage</w:t>
      </w:r>
      <w:proofErr w:type="spellEnd"/>
      <w:r>
        <w:rPr>
          <w:i/>
        </w:rPr>
        <w:t xml:space="preserve"> </w:t>
      </w:r>
      <w:r>
        <w:rPr>
          <w:b/>
        </w:rPr>
        <w:t>9</w:t>
      </w:r>
      <w:r>
        <w:t>, 179–194 (1999).</w:t>
      </w:r>
    </w:p>
    <w:p w14:paraId="369BD4DD" w14:textId="77777777" w:rsidR="00803EA7" w:rsidRDefault="00D22EBA">
      <w:pPr>
        <w:widowControl w:val="0"/>
        <w:pBdr>
          <w:top w:val="nil"/>
          <w:left w:val="nil"/>
          <w:bottom w:val="nil"/>
          <w:right w:val="nil"/>
          <w:between w:val="nil"/>
        </w:pBdr>
        <w:spacing w:line="480" w:lineRule="auto"/>
        <w:ind w:left="384" w:hanging="384"/>
      </w:pPr>
      <w:r>
        <w:t>5.</w:t>
      </w:r>
      <w:r>
        <w:tab/>
      </w:r>
      <w:proofErr w:type="spellStart"/>
      <w:r>
        <w:t>Avants</w:t>
      </w:r>
      <w:proofErr w:type="spellEnd"/>
      <w:r>
        <w:t xml:space="preserve">, B. B., </w:t>
      </w:r>
      <w:proofErr w:type="spellStart"/>
      <w:r>
        <w:t>Tustison</w:t>
      </w:r>
      <w:proofErr w:type="spellEnd"/>
      <w:r>
        <w:t xml:space="preserve">, N. &amp; Song, G. Advanced normalization tools (ANTS). </w:t>
      </w:r>
      <w:r>
        <w:rPr>
          <w:i/>
        </w:rPr>
        <w:t xml:space="preserve">Insight J </w:t>
      </w:r>
      <w:r>
        <w:rPr>
          <w:b/>
        </w:rPr>
        <w:t>2</w:t>
      </w:r>
      <w:r>
        <w:t>, 1–35 (2009).</w:t>
      </w:r>
    </w:p>
    <w:p w14:paraId="1341E101" w14:textId="77777777" w:rsidR="00803EA7" w:rsidRDefault="00D22EBA">
      <w:pPr>
        <w:widowControl w:val="0"/>
        <w:pBdr>
          <w:top w:val="nil"/>
          <w:left w:val="nil"/>
          <w:bottom w:val="nil"/>
          <w:right w:val="nil"/>
          <w:between w:val="nil"/>
        </w:pBdr>
        <w:spacing w:line="480" w:lineRule="auto"/>
        <w:ind w:left="384" w:hanging="384"/>
      </w:pPr>
      <w:r>
        <w:t>6.</w:t>
      </w:r>
      <w:r>
        <w:tab/>
        <w:t xml:space="preserve">Power, J. D. </w:t>
      </w:r>
      <w:r>
        <w:rPr>
          <w:i/>
        </w:rPr>
        <w:t>et al.</w:t>
      </w:r>
      <w:r>
        <w:t xml:space="preserve"> Methods to detect, characterize, and remove motion artifact in resting state fMRI. </w:t>
      </w:r>
      <w:proofErr w:type="spellStart"/>
      <w:r>
        <w:rPr>
          <w:i/>
        </w:rPr>
        <w:t>NeuroImage</w:t>
      </w:r>
      <w:proofErr w:type="spellEnd"/>
      <w:r>
        <w:rPr>
          <w:i/>
        </w:rPr>
        <w:t xml:space="preserve"> </w:t>
      </w:r>
      <w:r>
        <w:rPr>
          <w:b/>
        </w:rPr>
        <w:t>84</w:t>
      </w:r>
      <w:r>
        <w:t>, 320–341 (2014).</w:t>
      </w:r>
    </w:p>
    <w:p w14:paraId="6161981C" w14:textId="77777777" w:rsidR="00803EA7" w:rsidRDefault="00D22EBA">
      <w:pPr>
        <w:widowControl w:val="0"/>
        <w:pBdr>
          <w:top w:val="nil"/>
          <w:left w:val="nil"/>
          <w:bottom w:val="nil"/>
          <w:right w:val="nil"/>
          <w:between w:val="nil"/>
        </w:pBdr>
        <w:spacing w:line="480" w:lineRule="auto"/>
        <w:ind w:left="384" w:hanging="384"/>
      </w:pPr>
      <w:r>
        <w:t>7.</w:t>
      </w:r>
      <w:r>
        <w:tab/>
        <w:t xml:space="preserve">Power, J. D., Barnes, K. A., Snyder, A. Z., </w:t>
      </w:r>
      <w:proofErr w:type="spellStart"/>
      <w:r>
        <w:t>Schlaggar</w:t>
      </w:r>
      <w:proofErr w:type="spellEnd"/>
      <w:r>
        <w:t xml:space="preserve">, B. L. &amp; Petersen, S. E. Spurious but systematic correlations in functional connectivity MRI networks arise from subject motion. </w:t>
      </w:r>
      <w:proofErr w:type="spellStart"/>
      <w:r>
        <w:rPr>
          <w:i/>
        </w:rPr>
        <w:t>NeuroImage</w:t>
      </w:r>
      <w:proofErr w:type="spellEnd"/>
      <w:r>
        <w:rPr>
          <w:i/>
        </w:rPr>
        <w:t xml:space="preserve"> </w:t>
      </w:r>
      <w:r>
        <w:rPr>
          <w:b/>
        </w:rPr>
        <w:t>59</w:t>
      </w:r>
      <w:r>
        <w:t>, 2142–2154 (2012).</w:t>
      </w:r>
    </w:p>
    <w:p w14:paraId="78156593" w14:textId="77777777" w:rsidR="00803EA7" w:rsidRDefault="00D22EBA">
      <w:pPr>
        <w:widowControl w:val="0"/>
        <w:pBdr>
          <w:top w:val="nil"/>
          <w:left w:val="nil"/>
          <w:bottom w:val="nil"/>
          <w:right w:val="nil"/>
          <w:between w:val="nil"/>
        </w:pBdr>
        <w:spacing w:line="480" w:lineRule="auto"/>
        <w:ind w:left="384" w:hanging="384"/>
      </w:pPr>
      <w:r>
        <w:t>8.</w:t>
      </w:r>
      <w:r>
        <w:tab/>
        <w:t xml:space="preserve">Jo, H. J., Saad, Z. S., Simmons, W. K., </w:t>
      </w:r>
      <w:proofErr w:type="spellStart"/>
      <w:r>
        <w:t>Milbury</w:t>
      </w:r>
      <w:proofErr w:type="spellEnd"/>
      <w:r>
        <w:t xml:space="preserve">, L. A. &amp; Cox, R. W. Mapping sources of correlation in resting state FMRI, with artifact detection and removal. </w:t>
      </w:r>
      <w:proofErr w:type="spellStart"/>
      <w:r>
        <w:rPr>
          <w:i/>
        </w:rPr>
        <w:t>NeuroImage</w:t>
      </w:r>
      <w:proofErr w:type="spellEnd"/>
      <w:r>
        <w:rPr>
          <w:i/>
        </w:rPr>
        <w:t xml:space="preserve"> </w:t>
      </w:r>
      <w:r>
        <w:rPr>
          <w:b/>
        </w:rPr>
        <w:t>52</w:t>
      </w:r>
      <w:r>
        <w:t>, 571–582 (2010).</w:t>
      </w:r>
    </w:p>
    <w:p w14:paraId="67E6BED2" w14:textId="77777777" w:rsidR="00803EA7" w:rsidRDefault="00D22EBA">
      <w:pPr>
        <w:widowControl w:val="0"/>
        <w:pBdr>
          <w:top w:val="nil"/>
          <w:left w:val="nil"/>
          <w:bottom w:val="nil"/>
          <w:right w:val="nil"/>
          <w:between w:val="nil"/>
        </w:pBdr>
        <w:spacing w:line="480" w:lineRule="auto"/>
        <w:ind w:left="384" w:hanging="384"/>
      </w:pPr>
      <w:r>
        <w:t>9.</w:t>
      </w:r>
      <w:r>
        <w:tab/>
        <w:t xml:space="preserve">Schaefer, A. </w:t>
      </w:r>
      <w:r>
        <w:rPr>
          <w:i/>
        </w:rPr>
        <w:t>et al.</w:t>
      </w:r>
      <w:r>
        <w:t xml:space="preserve"> Local-Global Parcellation of the Human Cerebral Cortex from Intrinsic Functional Connectivity MRI. </w:t>
      </w:r>
      <w:proofErr w:type="spellStart"/>
      <w:r>
        <w:rPr>
          <w:i/>
        </w:rPr>
        <w:t>Cereb</w:t>
      </w:r>
      <w:proofErr w:type="spellEnd"/>
      <w:r>
        <w:rPr>
          <w:i/>
        </w:rPr>
        <w:t xml:space="preserve">. Cortex </w:t>
      </w:r>
      <w:r>
        <w:rPr>
          <w:b/>
        </w:rPr>
        <w:t>28</w:t>
      </w:r>
      <w:r>
        <w:t>, 3095–3114 (2018).</w:t>
      </w:r>
    </w:p>
    <w:p w14:paraId="1A337966" w14:textId="77777777" w:rsidR="00803EA7" w:rsidRDefault="00D22EBA">
      <w:pPr>
        <w:widowControl w:val="0"/>
        <w:pBdr>
          <w:top w:val="nil"/>
          <w:left w:val="nil"/>
          <w:bottom w:val="nil"/>
          <w:right w:val="nil"/>
          <w:between w:val="nil"/>
        </w:pBdr>
        <w:spacing w:line="480" w:lineRule="auto"/>
        <w:ind w:left="384" w:hanging="384"/>
      </w:pPr>
      <w:r>
        <w:t>10.</w:t>
      </w:r>
      <w:r>
        <w:tab/>
        <w:t xml:space="preserve">Blondel, V. D., Guillaume, J.-L., </w:t>
      </w:r>
      <w:proofErr w:type="spellStart"/>
      <w:r>
        <w:t>Lambiotte</w:t>
      </w:r>
      <w:proofErr w:type="spellEnd"/>
      <w:r>
        <w:t xml:space="preserve">, R. &amp; Lefebvre, E. Fast unfolding of communities in large networks. </w:t>
      </w:r>
      <w:r>
        <w:rPr>
          <w:i/>
        </w:rPr>
        <w:t xml:space="preserve">J. Stat. Mech. Theory Exp. </w:t>
      </w:r>
      <w:r>
        <w:rPr>
          <w:b/>
        </w:rPr>
        <w:t>2008</w:t>
      </w:r>
      <w:r>
        <w:t>, P10008 (2008).</w:t>
      </w:r>
    </w:p>
    <w:p w14:paraId="43C5023D" w14:textId="77777777" w:rsidR="00803EA7" w:rsidRDefault="00D22EBA">
      <w:pPr>
        <w:widowControl w:val="0"/>
        <w:pBdr>
          <w:top w:val="nil"/>
          <w:left w:val="nil"/>
          <w:bottom w:val="nil"/>
          <w:right w:val="nil"/>
          <w:between w:val="nil"/>
        </w:pBdr>
        <w:spacing w:line="480" w:lineRule="auto"/>
        <w:ind w:left="384" w:hanging="384"/>
      </w:pPr>
      <w:r>
        <w:t>11.</w:t>
      </w:r>
      <w:r>
        <w:tab/>
        <w:t xml:space="preserve">Newman, M. E. J. Analysis of weighted networks. </w:t>
      </w:r>
      <w:r>
        <w:rPr>
          <w:i/>
        </w:rPr>
        <w:t xml:space="preserve">Phys. Rev. E </w:t>
      </w:r>
      <w:r>
        <w:rPr>
          <w:b/>
        </w:rPr>
        <w:t>70</w:t>
      </w:r>
      <w:r>
        <w:t>, 056131 (2004).</w:t>
      </w:r>
    </w:p>
    <w:p w14:paraId="77F3C33C" w14:textId="77777777" w:rsidR="00803EA7" w:rsidRDefault="00D22EBA">
      <w:pPr>
        <w:widowControl w:val="0"/>
        <w:pBdr>
          <w:top w:val="nil"/>
          <w:left w:val="nil"/>
          <w:bottom w:val="nil"/>
          <w:right w:val="nil"/>
          <w:between w:val="nil"/>
        </w:pBdr>
        <w:spacing w:line="480" w:lineRule="auto"/>
        <w:ind w:left="384" w:hanging="384"/>
      </w:pPr>
      <w:r>
        <w:t>12.</w:t>
      </w:r>
      <w:r>
        <w:tab/>
        <w:t xml:space="preserve">Newman, M. E. J. Modularity and community structure in networks. </w:t>
      </w:r>
      <w:r>
        <w:rPr>
          <w:i/>
        </w:rPr>
        <w:t xml:space="preserve">Proc. Natl. Acad. Sci. </w:t>
      </w:r>
      <w:r>
        <w:rPr>
          <w:b/>
        </w:rPr>
        <w:t>103</w:t>
      </w:r>
      <w:r>
        <w:t>, 8577–8582 (2006).</w:t>
      </w:r>
    </w:p>
    <w:p w14:paraId="5D95D645" w14:textId="77777777" w:rsidR="00803EA7" w:rsidRDefault="00D22EBA">
      <w:pPr>
        <w:widowControl w:val="0"/>
        <w:pBdr>
          <w:top w:val="nil"/>
          <w:left w:val="nil"/>
          <w:bottom w:val="nil"/>
          <w:right w:val="nil"/>
          <w:between w:val="nil"/>
        </w:pBdr>
        <w:spacing w:line="480" w:lineRule="auto"/>
        <w:ind w:left="384" w:hanging="384"/>
      </w:pPr>
      <w:r>
        <w:t>13.</w:t>
      </w:r>
      <w:r>
        <w:tab/>
        <w:t xml:space="preserve">Newman, M. E. J. &amp; Girvan, M. Finding and evaluating community structure in networks. </w:t>
      </w:r>
      <w:r>
        <w:rPr>
          <w:i/>
        </w:rPr>
        <w:t xml:space="preserve">Phys. Rev. E </w:t>
      </w:r>
      <w:r>
        <w:rPr>
          <w:b/>
        </w:rPr>
        <w:t>69</w:t>
      </w:r>
      <w:r>
        <w:t>, 026113 (2004).</w:t>
      </w:r>
    </w:p>
    <w:p w14:paraId="584A1079" w14:textId="77777777" w:rsidR="00803EA7" w:rsidRDefault="00D22EBA">
      <w:pPr>
        <w:widowControl w:val="0"/>
        <w:pBdr>
          <w:top w:val="nil"/>
          <w:left w:val="nil"/>
          <w:bottom w:val="nil"/>
          <w:right w:val="nil"/>
          <w:between w:val="nil"/>
        </w:pBdr>
        <w:spacing w:line="480" w:lineRule="auto"/>
        <w:ind w:left="384" w:hanging="384"/>
      </w:pPr>
      <w:r>
        <w:lastRenderedPageBreak/>
        <w:t>14.</w:t>
      </w:r>
      <w:r>
        <w:tab/>
        <w:t xml:space="preserve">Bassett, D. S. </w:t>
      </w:r>
      <w:r>
        <w:rPr>
          <w:i/>
        </w:rPr>
        <w:t>et al.</w:t>
      </w:r>
      <w:r>
        <w:t xml:space="preserve"> Dynamic reconfiguration of human brain networks during learning. </w:t>
      </w:r>
      <w:r>
        <w:rPr>
          <w:i/>
        </w:rPr>
        <w:t xml:space="preserve">Proc. Natl. Acad. Sci. </w:t>
      </w:r>
      <w:r>
        <w:rPr>
          <w:b/>
        </w:rPr>
        <w:t>108</w:t>
      </w:r>
      <w:r>
        <w:t>, 7641–7646 (2011).</w:t>
      </w:r>
    </w:p>
    <w:p w14:paraId="2C66D204" w14:textId="77777777" w:rsidR="00803EA7" w:rsidRDefault="00D22EBA">
      <w:pPr>
        <w:widowControl w:val="0"/>
        <w:pBdr>
          <w:top w:val="nil"/>
          <w:left w:val="nil"/>
          <w:bottom w:val="nil"/>
          <w:right w:val="nil"/>
          <w:between w:val="nil"/>
        </w:pBdr>
        <w:spacing w:line="480" w:lineRule="auto"/>
        <w:ind w:left="384" w:hanging="384"/>
      </w:pPr>
      <w:r>
        <w:t>15.</w:t>
      </w:r>
      <w:r>
        <w:tab/>
      </w:r>
      <w:proofErr w:type="spellStart"/>
      <w:r>
        <w:t>Finc</w:t>
      </w:r>
      <w:proofErr w:type="spellEnd"/>
      <w:r>
        <w:t xml:space="preserve">, K. </w:t>
      </w:r>
      <w:r>
        <w:rPr>
          <w:i/>
        </w:rPr>
        <w:t>et al.</w:t>
      </w:r>
      <w:r>
        <w:t xml:space="preserve"> Dynamic reconfiguration of functional brain networks during working memory training. </w:t>
      </w:r>
      <w:r>
        <w:rPr>
          <w:i/>
        </w:rPr>
        <w:t xml:space="preserve">Nat. </w:t>
      </w:r>
      <w:proofErr w:type="spellStart"/>
      <w:r>
        <w:rPr>
          <w:i/>
        </w:rPr>
        <w:t>Commun</w:t>
      </w:r>
      <w:proofErr w:type="spellEnd"/>
      <w:r>
        <w:rPr>
          <w:i/>
        </w:rPr>
        <w:t xml:space="preserve">. </w:t>
      </w:r>
      <w:r>
        <w:rPr>
          <w:b/>
        </w:rPr>
        <w:t>11</w:t>
      </w:r>
      <w:r>
        <w:t>, 2435 (2020).</w:t>
      </w:r>
    </w:p>
    <w:p w14:paraId="7F93B80B" w14:textId="77777777" w:rsidR="00803EA7" w:rsidRDefault="00D22EBA">
      <w:pPr>
        <w:widowControl w:val="0"/>
        <w:pBdr>
          <w:top w:val="nil"/>
          <w:left w:val="nil"/>
          <w:bottom w:val="nil"/>
          <w:right w:val="nil"/>
          <w:between w:val="nil"/>
        </w:pBdr>
        <w:spacing w:line="480" w:lineRule="auto"/>
        <w:ind w:left="384" w:hanging="384"/>
      </w:pPr>
      <w:r>
        <w:t>16.</w:t>
      </w:r>
      <w:r>
        <w:tab/>
        <w:t xml:space="preserve">Gong, Q. &amp; He, Y. Depression, Neuroimaging and </w:t>
      </w:r>
      <w:proofErr w:type="spellStart"/>
      <w:r>
        <w:t>Connectomics</w:t>
      </w:r>
      <w:proofErr w:type="spellEnd"/>
      <w:r>
        <w:t xml:space="preserve">: A Selective Overview. </w:t>
      </w:r>
      <w:r>
        <w:rPr>
          <w:i/>
        </w:rPr>
        <w:t xml:space="preserve">Biol. Psychiatry </w:t>
      </w:r>
      <w:r>
        <w:rPr>
          <w:b/>
        </w:rPr>
        <w:t>77</w:t>
      </w:r>
      <w:r>
        <w:t>, 223–235 (2015).</w:t>
      </w:r>
    </w:p>
    <w:p w14:paraId="610880F8" w14:textId="77777777" w:rsidR="00803EA7" w:rsidRDefault="00D22EBA">
      <w:pPr>
        <w:widowControl w:val="0"/>
        <w:pBdr>
          <w:top w:val="nil"/>
          <w:left w:val="nil"/>
          <w:bottom w:val="nil"/>
          <w:right w:val="nil"/>
          <w:between w:val="nil"/>
        </w:pBdr>
        <w:spacing w:line="480" w:lineRule="auto"/>
        <w:ind w:left="384" w:hanging="384"/>
      </w:pPr>
      <w:r>
        <w:t>17.</w:t>
      </w:r>
      <w:r>
        <w:tab/>
        <w:t xml:space="preserve">Zheng, H. </w:t>
      </w:r>
      <w:r>
        <w:rPr>
          <w:i/>
        </w:rPr>
        <w:t>et al.</w:t>
      </w:r>
      <w:r>
        <w:t xml:space="preserve"> The dynamic characteristics of the anterior cingulate cortex in resting-state fMRI of patients with depression. </w:t>
      </w:r>
      <w:r>
        <w:rPr>
          <w:i/>
        </w:rPr>
        <w:t xml:space="preserve">J. Affect. </w:t>
      </w:r>
      <w:proofErr w:type="spellStart"/>
      <w:r>
        <w:rPr>
          <w:i/>
        </w:rPr>
        <w:t>Disord</w:t>
      </w:r>
      <w:proofErr w:type="spellEnd"/>
      <w:r>
        <w:rPr>
          <w:i/>
        </w:rPr>
        <w:t xml:space="preserve">. </w:t>
      </w:r>
      <w:r>
        <w:rPr>
          <w:b/>
        </w:rPr>
        <w:t>227</w:t>
      </w:r>
      <w:r>
        <w:t>, 391–397 (2018).</w:t>
      </w:r>
    </w:p>
    <w:p w14:paraId="1E48976B" w14:textId="77777777" w:rsidR="00803EA7" w:rsidRDefault="00D22EBA">
      <w:pPr>
        <w:widowControl w:val="0"/>
        <w:pBdr>
          <w:top w:val="nil"/>
          <w:left w:val="nil"/>
          <w:bottom w:val="nil"/>
          <w:right w:val="nil"/>
          <w:between w:val="nil"/>
        </w:pBdr>
        <w:spacing w:line="480" w:lineRule="auto"/>
        <w:ind w:left="384" w:hanging="384"/>
      </w:pPr>
      <w:r>
        <w:t>18.</w:t>
      </w:r>
      <w:r>
        <w:tab/>
      </w:r>
      <w:proofErr w:type="spellStart"/>
      <w:r>
        <w:t>Mucha</w:t>
      </w:r>
      <w:proofErr w:type="spellEnd"/>
      <w:r>
        <w:t xml:space="preserve">, P. J., Richardson, T., Macon, K., Porter, M. A. &amp; </w:t>
      </w:r>
      <w:proofErr w:type="spellStart"/>
      <w:r>
        <w:t>Onnela</w:t>
      </w:r>
      <w:proofErr w:type="spellEnd"/>
      <w:r>
        <w:t xml:space="preserve">, J.-P. Community Structure in Time-Dependent, Multiscale, and Multiplex Networks. </w:t>
      </w:r>
      <w:r>
        <w:rPr>
          <w:i/>
        </w:rPr>
        <w:t xml:space="preserve">Science </w:t>
      </w:r>
      <w:r>
        <w:rPr>
          <w:b/>
        </w:rPr>
        <w:t>328</w:t>
      </w:r>
      <w:r>
        <w:t>, 876–878 (2010).</w:t>
      </w:r>
    </w:p>
    <w:p w14:paraId="61E597DF" w14:textId="77777777" w:rsidR="00803EA7" w:rsidRDefault="00D22EBA">
      <w:pPr>
        <w:widowControl w:val="0"/>
        <w:pBdr>
          <w:top w:val="nil"/>
          <w:left w:val="nil"/>
          <w:bottom w:val="nil"/>
          <w:right w:val="nil"/>
          <w:between w:val="nil"/>
        </w:pBdr>
        <w:spacing w:line="480" w:lineRule="auto"/>
        <w:ind w:left="384" w:hanging="384"/>
      </w:pPr>
      <w:r>
        <w:t>19.</w:t>
      </w:r>
      <w:r>
        <w:tab/>
        <w:t xml:space="preserve">Bassett, D. S. </w:t>
      </w:r>
      <w:r>
        <w:rPr>
          <w:i/>
        </w:rPr>
        <w:t>et al.</w:t>
      </w:r>
      <w:r>
        <w:t xml:space="preserve"> Task-Based Core-Periphery Organization of Human Brain Dynamics. </w:t>
      </w:r>
      <w:proofErr w:type="spellStart"/>
      <w:r>
        <w:rPr>
          <w:i/>
        </w:rPr>
        <w:t>PLoS</w:t>
      </w:r>
      <w:proofErr w:type="spellEnd"/>
      <w:r>
        <w:rPr>
          <w:i/>
        </w:rPr>
        <w:t xml:space="preserve"> </w:t>
      </w:r>
      <w:proofErr w:type="spellStart"/>
      <w:r>
        <w:rPr>
          <w:i/>
        </w:rPr>
        <w:t>Comput</w:t>
      </w:r>
      <w:proofErr w:type="spellEnd"/>
      <w:r>
        <w:rPr>
          <w:i/>
        </w:rPr>
        <w:t xml:space="preserve">. Biol. </w:t>
      </w:r>
      <w:r>
        <w:rPr>
          <w:b/>
        </w:rPr>
        <w:t>9</w:t>
      </w:r>
      <w:r>
        <w:t>, e1003171 (2013).</w:t>
      </w:r>
    </w:p>
    <w:p w14:paraId="40002219" w14:textId="77777777" w:rsidR="00803EA7" w:rsidRDefault="00D22EBA">
      <w:pPr>
        <w:widowControl w:val="0"/>
        <w:pBdr>
          <w:top w:val="nil"/>
          <w:left w:val="nil"/>
          <w:bottom w:val="nil"/>
          <w:right w:val="nil"/>
          <w:between w:val="nil"/>
        </w:pBdr>
        <w:spacing w:line="480" w:lineRule="auto"/>
        <w:ind w:left="384" w:hanging="384"/>
      </w:pPr>
      <w:r>
        <w:t>20.</w:t>
      </w:r>
      <w:r>
        <w:tab/>
      </w:r>
      <w:proofErr w:type="spellStart"/>
      <w:r>
        <w:t>Maslov</w:t>
      </w:r>
      <w:proofErr w:type="spellEnd"/>
      <w:r>
        <w:t xml:space="preserve">, S. &amp; </w:t>
      </w:r>
      <w:proofErr w:type="spellStart"/>
      <w:r>
        <w:t>Sneppen</w:t>
      </w:r>
      <w:proofErr w:type="spellEnd"/>
      <w:r>
        <w:t xml:space="preserve">, K. Specificity and Stability in Topology of Protein Networks. </w:t>
      </w:r>
      <w:r>
        <w:rPr>
          <w:i/>
        </w:rPr>
        <w:t xml:space="preserve">Science </w:t>
      </w:r>
      <w:r>
        <w:rPr>
          <w:b/>
        </w:rPr>
        <w:t>296</w:t>
      </w:r>
      <w:r>
        <w:t>, 910–913 (2002).</w:t>
      </w:r>
    </w:p>
    <w:p w14:paraId="6028FBFC" w14:textId="77777777" w:rsidR="00803EA7" w:rsidRDefault="00D22EBA">
      <w:pPr>
        <w:widowControl w:val="0"/>
        <w:pBdr>
          <w:top w:val="nil"/>
          <w:left w:val="nil"/>
          <w:bottom w:val="nil"/>
          <w:right w:val="nil"/>
          <w:between w:val="nil"/>
        </w:pBdr>
        <w:spacing w:line="480" w:lineRule="auto"/>
        <w:ind w:left="384" w:hanging="384"/>
      </w:pPr>
      <w:r>
        <w:t>21.</w:t>
      </w:r>
      <w:r>
        <w:tab/>
      </w:r>
      <w:proofErr w:type="spellStart"/>
      <w:r>
        <w:t>Rubinov</w:t>
      </w:r>
      <w:proofErr w:type="spellEnd"/>
      <w:r>
        <w:t xml:space="preserve">, M. &amp; </w:t>
      </w:r>
      <w:proofErr w:type="spellStart"/>
      <w:r>
        <w:t>Sporns</w:t>
      </w:r>
      <w:proofErr w:type="spellEnd"/>
      <w:r>
        <w:t xml:space="preserve">, O. Weight-conserving characterization of complex functional brain networks. </w:t>
      </w:r>
      <w:proofErr w:type="spellStart"/>
      <w:r>
        <w:rPr>
          <w:i/>
        </w:rPr>
        <w:t>NeuroImage</w:t>
      </w:r>
      <w:proofErr w:type="spellEnd"/>
      <w:r>
        <w:rPr>
          <w:i/>
        </w:rPr>
        <w:t xml:space="preserve"> </w:t>
      </w:r>
      <w:r>
        <w:rPr>
          <w:b/>
        </w:rPr>
        <w:t>56</w:t>
      </w:r>
      <w:r>
        <w:t>, 2068–2079 (2011).</w:t>
      </w:r>
    </w:p>
    <w:p w14:paraId="1F57E9C3" w14:textId="77777777" w:rsidR="00803EA7" w:rsidRDefault="00D22EBA">
      <w:pPr>
        <w:widowControl w:val="0"/>
        <w:pBdr>
          <w:top w:val="nil"/>
          <w:left w:val="nil"/>
          <w:bottom w:val="nil"/>
          <w:right w:val="nil"/>
          <w:between w:val="nil"/>
        </w:pBdr>
        <w:spacing w:line="480" w:lineRule="auto"/>
        <w:ind w:left="384" w:hanging="384"/>
      </w:pPr>
      <w:r>
        <w:t>22.</w:t>
      </w:r>
      <w:r>
        <w:tab/>
        <w:t xml:space="preserve">Bassett, D. S., Yang, M., </w:t>
      </w:r>
      <w:proofErr w:type="spellStart"/>
      <w:r>
        <w:t>Wymbs</w:t>
      </w:r>
      <w:proofErr w:type="spellEnd"/>
      <w:r>
        <w:t xml:space="preserve">, N. F. &amp; Grafton, S. T. Learning-induced autonomy of sensorimotor systems. </w:t>
      </w:r>
      <w:r>
        <w:rPr>
          <w:i/>
        </w:rPr>
        <w:t xml:space="preserve">Nat. </w:t>
      </w:r>
      <w:proofErr w:type="spellStart"/>
      <w:r>
        <w:rPr>
          <w:i/>
        </w:rPr>
        <w:t>Neurosci</w:t>
      </w:r>
      <w:proofErr w:type="spellEnd"/>
      <w:r>
        <w:rPr>
          <w:i/>
        </w:rPr>
        <w:t xml:space="preserve">. </w:t>
      </w:r>
      <w:r>
        <w:rPr>
          <w:b/>
        </w:rPr>
        <w:t>18</w:t>
      </w:r>
      <w:r>
        <w:t>, 744–751 (2015).</w:t>
      </w:r>
    </w:p>
    <w:p w14:paraId="0AAF90F2" w14:textId="77777777" w:rsidR="00803EA7" w:rsidRDefault="00D22EBA">
      <w:pPr>
        <w:widowControl w:val="0"/>
        <w:pBdr>
          <w:top w:val="nil"/>
          <w:left w:val="nil"/>
          <w:bottom w:val="nil"/>
          <w:right w:val="nil"/>
          <w:between w:val="nil"/>
        </w:pBdr>
        <w:spacing w:line="480" w:lineRule="auto"/>
        <w:ind w:left="384" w:hanging="384"/>
      </w:pPr>
      <w:r>
        <w:t>23.</w:t>
      </w:r>
      <w:r>
        <w:tab/>
      </w:r>
      <w:proofErr w:type="spellStart"/>
      <w:r>
        <w:t>Mattar</w:t>
      </w:r>
      <w:proofErr w:type="spellEnd"/>
      <w:r>
        <w:t xml:space="preserve">, M. G., Cole, M. W., Thompson-Schill, S. L. &amp; Bassett, D. S. A Functional Cartography of Cognitive Systems. </w:t>
      </w:r>
      <w:r>
        <w:rPr>
          <w:i/>
        </w:rPr>
        <w:t xml:space="preserve">PLOS </w:t>
      </w:r>
      <w:proofErr w:type="spellStart"/>
      <w:r>
        <w:rPr>
          <w:i/>
        </w:rPr>
        <w:t>Comput</w:t>
      </w:r>
      <w:proofErr w:type="spellEnd"/>
      <w:r>
        <w:rPr>
          <w:i/>
        </w:rPr>
        <w:t xml:space="preserve">. Biol. </w:t>
      </w:r>
      <w:r>
        <w:rPr>
          <w:b/>
        </w:rPr>
        <w:t>11</w:t>
      </w:r>
      <w:r>
        <w:t>, e1004533 (2015).</w:t>
      </w:r>
    </w:p>
    <w:p w14:paraId="0C5842BF" w14:textId="77777777" w:rsidR="00803EA7" w:rsidRDefault="00D22EBA">
      <w:pPr>
        <w:widowControl w:val="0"/>
        <w:pBdr>
          <w:top w:val="nil"/>
          <w:left w:val="nil"/>
          <w:bottom w:val="nil"/>
          <w:right w:val="nil"/>
          <w:between w:val="nil"/>
        </w:pBdr>
        <w:spacing w:line="480" w:lineRule="auto"/>
        <w:ind w:left="384" w:hanging="384"/>
      </w:pPr>
      <w:r>
        <w:t>24.</w:t>
      </w:r>
      <w:r>
        <w:tab/>
        <w:t xml:space="preserve">Yeo, B. T. </w:t>
      </w:r>
      <w:r>
        <w:rPr>
          <w:i/>
        </w:rPr>
        <w:t>et al.</w:t>
      </w:r>
      <w:r>
        <w:t xml:space="preserve"> The organization of the human cerebral cortex estimated by intrinsic functional connectivity. </w:t>
      </w:r>
      <w:r>
        <w:rPr>
          <w:i/>
        </w:rPr>
        <w:t xml:space="preserve">J. </w:t>
      </w:r>
      <w:proofErr w:type="spellStart"/>
      <w:r>
        <w:rPr>
          <w:i/>
        </w:rPr>
        <w:t>Neurophysiol</w:t>
      </w:r>
      <w:proofErr w:type="spellEnd"/>
      <w:r>
        <w:rPr>
          <w:i/>
        </w:rPr>
        <w:t xml:space="preserve">. </w:t>
      </w:r>
      <w:r>
        <w:rPr>
          <w:b/>
        </w:rPr>
        <w:t>106</w:t>
      </w:r>
      <w:r>
        <w:t>, 1125–1165 (2011).</w:t>
      </w:r>
    </w:p>
    <w:p w14:paraId="31056105" w14:textId="77777777" w:rsidR="00803EA7" w:rsidRDefault="00D22EBA">
      <w:pPr>
        <w:widowControl w:val="0"/>
        <w:pBdr>
          <w:top w:val="nil"/>
          <w:left w:val="nil"/>
          <w:bottom w:val="nil"/>
          <w:right w:val="nil"/>
          <w:between w:val="nil"/>
        </w:pBdr>
        <w:spacing w:line="480" w:lineRule="auto"/>
        <w:ind w:left="384" w:hanging="384"/>
      </w:pPr>
      <w:r>
        <w:t>25.</w:t>
      </w:r>
      <w:r>
        <w:tab/>
        <w:t xml:space="preserve">Lucas, G. S., </w:t>
      </w:r>
      <w:proofErr w:type="spellStart"/>
      <w:r>
        <w:t>Bazzi</w:t>
      </w:r>
      <w:proofErr w:type="spellEnd"/>
      <w:r>
        <w:t xml:space="preserve">, M., </w:t>
      </w:r>
      <w:proofErr w:type="spellStart"/>
      <w:r>
        <w:t>Jutla</w:t>
      </w:r>
      <w:proofErr w:type="spellEnd"/>
      <w:r>
        <w:t xml:space="preserve">, I. S. &amp; </w:t>
      </w:r>
      <w:proofErr w:type="spellStart"/>
      <w:r>
        <w:t>Mucha</w:t>
      </w:r>
      <w:proofErr w:type="spellEnd"/>
      <w:r>
        <w:t>, P. J. A generalized Louvain method for community detection implemented in MATLAB. (2016).</w:t>
      </w:r>
    </w:p>
    <w:p w14:paraId="3667C92B" w14:textId="77777777" w:rsidR="00803EA7" w:rsidRDefault="00D22EBA">
      <w:pPr>
        <w:widowControl w:val="0"/>
        <w:pBdr>
          <w:top w:val="nil"/>
          <w:left w:val="nil"/>
          <w:bottom w:val="nil"/>
          <w:right w:val="nil"/>
          <w:between w:val="nil"/>
        </w:pBdr>
        <w:spacing w:line="480" w:lineRule="auto"/>
        <w:ind w:left="384" w:hanging="384"/>
      </w:pPr>
      <w:r>
        <w:t>26.</w:t>
      </w:r>
      <w:r>
        <w:tab/>
        <w:t xml:space="preserve">Leonardi, N. &amp; Van De Ville, D. On spurious and real fluctuations of dynamic functional connectivity during rest. </w:t>
      </w:r>
      <w:proofErr w:type="spellStart"/>
      <w:r>
        <w:rPr>
          <w:i/>
        </w:rPr>
        <w:t>NeuroImage</w:t>
      </w:r>
      <w:proofErr w:type="spellEnd"/>
      <w:r>
        <w:rPr>
          <w:i/>
        </w:rPr>
        <w:t xml:space="preserve"> </w:t>
      </w:r>
      <w:r>
        <w:rPr>
          <w:b/>
        </w:rPr>
        <w:t>104</w:t>
      </w:r>
      <w:r>
        <w:t>, 430–436 (2015).</w:t>
      </w:r>
    </w:p>
    <w:p w14:paraId="469D53FB" w14:textId="77777777" w:rsidR="00803EA7" w:rsidRDefault="00D22EBA">
      <w:pPr>
        <w:widowControl w:val="0"/>
        <w:pBdr>
          <w:top w:val="nil"/>
          <w:left w:val="nil"/>
          <w:bottom w:val="nil"/>
          <w:right w:val="nil"/>
          <w:between w:val="nil"/>
        </w:pBdr>
        <w:spacing w:line="480" w:lineRule="auto"/>
        <w:ind w:left="384" w:hanging="384"/>
      </w:pPr>
      <w:r>
        <w:t>27.</w:t>
      </w:r>
      <w:r>
        <w:tab/>
      </w:r>
      <w:proofErr w:type="spellStart"/>
      <w:r>
        <w:t>Harlalka</w:t>
      </w:r>
      <w:proofErr w:type="spellEnd"/>
      <w:r>
        <w:t xml:space="preserve">, V., </w:t>
      </w:r>
      <w:proofErr w:type="spellStart"/>
      <w:r>
        <w:t>Bapi</w:t>
      </w:r>
      <w:proofErr w:type="spellEnd"/>
      <w:r>
        <w:t xml:space="preserve">, R. S., Vinod, P. K. &amp; Roy, D. Atypical Flexibility in Dynamic Functional </w:t>
      </w:r>
      <w:r>
        <w:lastRenderedPageBreak/>
        <w:t xml:space="preserve">Connectivity Quantifies the Severity in Autism Spectrum Disorder. </w:t>
      </w:r>
      <w:r>
        <w:rPr>
          <w:i/>
        </w:rPr>
        <w:t xml:space="preserve">Front. Hum. </w:t>
      </w:r>
      <w:proofErr w:type="spellStart"/>
      <w:r>
        <w:rPr>
          <w:i/>
        </w:rPr>
        <w:t>Neurosci</w:t>
      </w:r>
      <w:proofErr w:type="spellEnd"/>
      <w:r>
        <w:rPr>
          <w:i/>
        </w:rPr>
        <w:t xml:space="preserve">. </w:t>
      </w:r>
      <w:r>
        <w:rPr>
          <w:b/>
        </w:rPr>
        <w:t>13</w:t>
      </w:r>
      <w:r>
        <w:t>, 6 (2019).</w:t>
      </w:r>
    </w:p>
    <w:sectPr w:rsidR="00803E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A7"/>
    <w:rsid w:val="0009237C"/>
    <w:rsid w:val="000A16C2"/>
    <w:rsid w:val="00200613"/>
    <w:rsid w:val="00226737"/>
    <w:rsid w:val="0047018B"/>
    <w:rsid w:val="004C3A50"/>
    <w:rsid w:val="0072543C"/>
    <w:rsid w:val="00734D1F"/>
    <w:rsid w:val="00737CA9"/>
    <w:rsid w:val="007F34EB"/>
    <w:rsid w:val="00803EA7"/>
    <w:rsid w:val="00936540"/>
    <w:rsid w:val="009947FE"/>
    <w:rsid w:val="009B5E6D"/>
    <w:rsid w:val="009E077E"/>
    <w:rsid w:val="00AC7F06"/>
    <w:rsid w:val="00B72C38"/>
    <w:rsid w:val="00BB02B6"/>
    <w:rsid w:val="00BC10DE"/>
    <w:rsid w:val="00CF2A70"/>
    <w:rsid w:val="00D22EBA"/>
    <w:rsid w:val="00F079F9"/>
    <w:rsid w:val="00F1108D"/>
    <w:rsid w:val="00FB3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6A0361"/>
  <w15:docId w15:val="{8F9DE404-513F-8B45-A73A-7B1AD590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FB33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235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1145</TotalTime>
  <Pages>7</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Daws, Richard E</cp:lastModifiedBy>
  <cp:revision>23</cp:revision>
  <dcterms:created xsi:type="dcterms:W3CDTF">2021-04-19T18:08:00Z</dcterms:created>
  <dcterms:modified xsi:type="dcterms:W3CDTF">2021-04-26T10:15:00Z</dcterms:modified>
</cp:coreProperties>
</file>