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3723" w:rsidRPr="00D43723" w:rsidRDefault="00D43723" w:rsidP="004F1423">
      <w:pPr>
        <w:pStyle w:val="BodyText"/>
        <w:spacing w:before="244" w:line="276" w:lineRule="auto"/>
        <w:ind w:right="1369"/>
        <w:rPr>
          <w:b/>
          <w:sz w:val="24"/>
          <w:szCs w:val="24"/>
        </w:rPr>
      </w:pPr>
      <w:r w:rsidRPr="00D43723">
        <w:rPr>
          <w:b/>
          <w:sz w:val="24"/>
          <w:szCs w:val="24"/>
        </w:rPr>
        <w:t>Appendix 3: Ward Exclusions</w:t>
      </w:r>
    </w:p>
    <w:p w:rsidR="00D43723" w:rsidRPr="00D43723" w:rsidRDefault="00D43723" w:rsidP="004F1423">
      <w:pPr>
        <w:spacing w:before="243"/>
        <w:jc w:val="both"/>
      </w:pPr>
      <w:r w:rsidRPr="00D43723">
        <w:t>What proportions of wards embed</w:t>
      </w:r>
      <w:r w:rsidR="004F1423">
        <w:t>ded</w:t>
      </w:r>
      <w:r w:rsidRPr="00D43723">
        <w:t xml:space="preserve"> PSH</w:t>
      </w:r>
      <w:r w:rsidR="004F1423">
        <w:t>s</w:t>
      </w:r>
      <w:r w:rsidRPr="00D43723">
        <w:t>?</w:t>
      </w:r>
    </w:p>
    <w:p w:rsidR="00D43723" w:rsidRDefault="00D43723" w:rsidP="00D43723">
      <w:pPr>
        <w:pStyle w:val="BodyText"/>
        <w:spacing w:before="10"/>
        <w:rPr>
          <w:b/>
          <w:sz w:val="19"/>
        </w:rPr>
      </w:pPr>
    </w:p>
    <w:p w:rsidR="00D43723" w:rsidRDefault="00D43723" w:rsidP="004F1423">
      <w:pPr>
        <w:pStyle w:val="BodyText"/>
        <w:spacing w:line="276" w:lineRule="auto"/>
        <w:ind w:right="1335"/>
        <w:jc w:val="both"/>
      </w:pPr>
      <w:r>
        <w:t>There were 92 wards in the evaluation. Of these, four wards (4%=4/92) did not commence PSHs. Seventy five wards (82%=75/92) were noted as being embedded on the operational plan, but on independent observations 64 wards (85%=64/75, 70%=64/92) were found to be undertaking a PSH. Fifteen percent (=11/75) of the embedded wards were found to not have a PSH on the ward or not to be conducting a PSH on the day of the observation. Thirteen wards (14%=13/92) commenced PSHs but did not achieve embedded status of their PSH by the close of the evaluation</w:t>
      </w:r>
      <w:r>
        <w:rPr>
          <w:spacing w:val="-27"/>
        </w:rPr>
        <w:t xml:space="preserve"> </w:t>
      </w:r>
      <w:r>
        <w:t>(31.07.2017).</w:t>
      </w:r>
    </w:p>
    <w:p w:rsidR="00D43723" w:rsidRDefault="00D43723" w:rsidP="00D43723">
      <w:pPr>
        <w:pStyle w:val="BodyText"/>
        <w:spacing w:before="4"/>
        <w:rPr>
          <w:sz w:val="16"/>
        </w:rPr>
      </w:pPr>
    </w:p>
    <w:p w:rsidR="00D43723" w:rsidRDefault="00D43723" w:rsidP="004F1423">
      <w:pPr>
        <w:pStyle w:val="BodyText"/>
        <w:spacing w:line="276" w:lineRule="auto"/>
        <w:ind w:right="1333"/>
        <w:jc w:val="both"/>
      </w:pPr>
      <w:r>
        <w:t>Four wards did not wish to huddle or faced major barriers at engagement. Barriers to, or a reluctance to implement huddles have been identified through general feedback and at operation meetings. The reasons for not implementing the PSH tended to fall into three main areas</w:t>
      </w:r>
      <w:r w:rsidR="004F1423">
        <w:rPr>
          <w:vertAlign w:val="superscript"/>
        </w:rPr>
        <w:t xml:space="preserve"> </w:t>
      </w:r>
      <w:r>
        <w:t>as follows:</w:t>
      </w:r>
    </w:p>
    <w:p w:rsidR="00D43723" w:rsidRDefault="00D43723" w:rsidP="00D43723">
      <w:pPr>
        <w:pStyle w:val="BodyText"/>
        <w:spacing w:before="5"/>
        <w:rPr>
          <w:sz w:val="16"/>
        </w:rPr>
      </w:pPr>
    </w:p>
    <w:p w:rsidR="00D43723" w:rsidRDefault="00D43723" w:rsidP="00D43723">
      <w:pPr>
        <w:pStyle w:val="ListParagraph"/>
        <w:numPr>
          <w:ilvl w:val="2"/>
          <w:numId w:val="1"/>
        </w:numPr>
        <w:tabs>
          <w:tab w:val="left" w:pos="1401"/>
        </w:tabs>
      </w:pPr>
      <w:r>
        <w:t>Ward leaders or teams stated that they did not wish to implement the</w:t>
      </w:r>
      <w:r>
        <w:rPr>
          <w:spacing w:val="-22"/>
        </w:rPr>
        <w:t xml:space="preserve"> </w:t>
      </w:r>
      <w:r>
        <w:t>PSH;</w:t>
      </w:r>
    </w:p>
    <w:p w:rsidR="00D43723" w:rsidRDefault="00D43723" w:rsidP="00D43723">
      <w:pPr>
        <w:pStyle w:val="ListParagraph"/>
        <w:numPr>
          <w:ilvl w:val="2"/>
          <w:numId w:val="1"/>
        </w:numPr>
        <w:tabs>
          <w:tab w:val="left" w:pos="1401"/>
        </w:tabs>
        <w:spacing w:before="38" w:line="276" w:lineRule="auto"/>
        <w:ind w:right="1333"/>
        <w:jc w:val="both"/>
      </w:pPr>
      <w:r>
        <w:t>Small units or wards (eight beds or less for example) that had a specialist remit and considered that they already have effective communication and multi-disciplinary working in place; and</w:t>
      </w:r>
    </w:p>
    <w:p w:rsidR="00D43723" w:rsidRDefault="00D43723" w:rsidP="00D43723">
      <w:pPr>
        <w:pStyle w:val="ListParagraph"/>
        <w:numPr>
          <w:ilvl w:val="2"/>
          <w:numId w:val="1"/>
        </w:numPr>
        <w:tabs>
          <w:tab w:val="left" w:pos="1401"/>
        </w:tabs>
        <w:spacing w:line="278" w:lineRule="auto"/>
        <w:ind w:right="1337"/>
        <w:jc w:val="both"/>
      </w:pPr>
      <w:r>
        <w:t>Ward leaders who considered that patient safety issues are adequately covered as part of the handover (at shift changes) or other ward based</w:t>
      </w:r>
      <w:r>
        <w:rPr>
          <w:spacing w:val="-15"/>
        </w:rPr>
        <w:t xml:space="preserve"> </w:t>
      </w:r>
      <w:r>
        <w:t>meetings.</w:t>
      </w:r>
    </w:p>
    <w:p w:rsidR="00343E33" w:rsidRDefault="00343E33" w:rsidP="004F1423">
      <w:pPr>
        <w:pStyle w:val="BodyText"/>
        <w:spacing w:before="244" w:line="276" w:lineRule="auto"/>
        <w:ind w:right="1369"/>
      </w:pPr>
      <w:r>
        <w:t xml:space="preserve">The final number of </w:t>
      </w:r>
      <w:r w:rsidR="00D43723">
        <w:t xml:space="preserve">wards in the evaluation was 92 (Table </w:t>
      </w:r>
      <w:r w:rsidR="00132707">
        <w:t>S</w:t>
      </w:r>
      <w:bookmarkStart w:id="0" w:name="_GoBack"/>
      <w:bookmarkEnd w:id="0"/>
      <w:r w:rsidR="00D43723">
        <w:t>1</w:t>
      </w:r>
      <w:r>
        <w:t xml:space="preserve">), of which 82% (75/92) were recorded by the HUSH team as having embedded PSHs over </w:t>
      </w:r>
      <w:r w:rsidR="00132707">
        <w:t>a two-year time period (start date</w:t>
      </w:r>
      <w:r>
        <w:t>: Aug</w:t>
      </w:r>
      <w:r>
        <w:rPr>
          <w:spacing w:val="-18"/>
        </w:rPr>
        <w:t xml:space="preserve"> </w:t>
      </w:r>
      <w:r>
        <w:t>2015).</w:t>
      </w:r>
    </w:p>
    <w:p w:rsidR="00343E33" w:rsidRDefault="00343E33" w:rsidP="00343E33">
      <w:pPr>
        <w:pStyle w:val="BodyText"/>
        <w:spacing w:before="6"/>
        <w:rPr>
          <w:sz w:val="16"/>
        </w:rPr>
      </w:pPr>
    </w:p>
    <w:tbl>
      <w:tblPr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21"/>
        <w:gridCol w:w="2434"/>
      </w:tblGrid>
      <w:tr w:rsidR="00343E33" w:rsidTr="0004627E">
        <w:trPr>
          <w:trHeight w:val="268"/>
        </w:trPr>
        <w:tc>
          <w:tcPr>
            <w:tcW w:w="4621" w:type="dxa"/>
          </w:tcPr>
          <w:p w:rsidR="00343E33" w:rsidRDefault="00343E33" w:rsidP="0004627E">
            <w:pPr>
              <w:pStyle w:val="TableParagraph"/>
              <w:spacing w:line="248" w:lineRule="exact"/>
              <w:ind w:left="112" w:right="102"/>
              <w:rPr>
                <w:b/>
              </w:rPr>
            </w:pPr>
            <w:r>
              <w:rPr>
                <w:b/>
              </w:rPr>
              <w:t>Ward set</w:t>
            </w:r>
          </w:p>
        </w:tc>
        <w:tc>
          <w:tcPr>
            <w:tcW w:w="2434" w:type="dxa"/>
          </w:tcPr>
          <w:p w:rsidR="00343E33" w:rsidRDefault="00343E33" w:rsidP="0004627E">
            <w:pPr>
              <w:pStyle w:val="TableParagraph"/>
              <w:spacing w:line="248" w:lineRule="exact"/>
              <w:ind w:left="400" w:right="391"/>
              <w:rPr>
                <w:b/>
              </w:rPr>
            </w:pPr>
            <w:r>
              <w:rPr>
                <w:b/>
              </w:rPr>
              <w:t>Number of wards</w:t>
            </w:r>
          </w:p>
        </w:tc>
      </w:tr>
      <w:tr w:rsidR="00343E33" w:rsidTr="0004627E">
        <w:trPr>
          <w:trHeight w:val="268"/>
        </w:trPr>
        <w:tc>
          <w:tcPr>
            <w:tcW w:w="4621" w:type="dxa"/>
          </w:tcPr>
          <w:p w:rsidR="00343E33" w:rsidRDefault="00343E33" w:rsidP="0004627E">
            <w:pPr>
              <w:pStyle w:val="TableParagraph"/>
              <w:spacing w:line="248" w:lineRule="exact"/>
              <w:ind w:left="112" w:right="104"/>
            </w:pPr>
            <w:r>
              <w:t>Number of wards in Operation Plan (31.07.2017)</w:t>
            </w:r>
          </w:p>
        </w:tc>
        <w:tc>
          <w:tcPr>
            <w:tcW w:w="2434" w:type="dxa"/>
          </w:tcPr>
          <w:p w:rsidR="00343E33" w:rsidRDefault="00343E33" w:rsidP="0004627E">
            <w:pPr>
              <w:pStyle w:val="TableParagraph"/>
              <w:spacing w:line="248" w:lineRule="exact"/>
              <w:ind w:left="398" w:right="391"/>
              <w:rPr>
                <w:b/>
              </w:rPr>
            </w:pPr>
            <w:r>
              <w:rPr>
                <w:b/>
              </w:rPr>
              <w:t>136</w:t>
            </w:r>
          </w:p>
        </w:tc>
      </w:tr>
      <w:tr w:rsidR="00343E33" w:rsidTr="0004627E">
        <w:trPr>
          <w:trHeight w:val="268"/>
        </w:trPr>
        <w:tc>
          <w:tcPr>
            <w:tcW w:w="4621" w:type="dxa"/>
          </w:tcPr>
          <w:p w:rsidR="00343E33" w:rsidRDefault="00343E33" w:rsidP="0004627E">
            <w:pPr>
              <w:pStyle w:val="TableParagraph"/>
              <w:spacing w:line="248" w:lineRule="exact"/>
              <w:ind w:left="112" w:right="101"/>
            </w:pPr>
            <w:r>
              <w:t>Wards excluded</w:t>
            </w:r>
          </w:p>
        </w:tc>
        <w:tc>
          <w:tcPr>
            <w:tcW w:w="2434" w:type="dxa"/>
          </w:tcPr>
          <w:p w:rsidR="00343E33" w:rsidRDefault="00343E33" w:rsidP="0004627E">
            <w:pPr>
              <w:pStyle w:val="TableParagraph"/>
              <w:spacing w:line="248" w:lineRule="exact"/>
              <w:ind w:left="400" w:right="391"/>
              <w:rPr>
                <w:b/>
              </w:rPr>
            </w:pPr>
            <w:r>
              <w:rPr>
                <w:b/>
              </w:rPr>
              <w:t>44</w:t>
            </w:r>
          </w:p>
        </w:tc>
      </w:tr>
      <w:tr w:rsidR="00343E33" w:rsidTr="0004627E">
        <w:trPr>
          <w:trHeight w:val="268"/>
        </w:trPr>
        <w:tc>
          <w:tcPr>
            <w:tcW w:w="4621" w:type="dxa"/>
          </w:tcPr>
          <w:p w:rsidR="00343E33" w:rsidRDefault="00343E33" w:rsidP="0004627E">
            <w:pPr>
              <w:pStyle w:val="TableParagraph"/>
              <w:spacing w:line="248" w:lineRule="exact"/>
              <w:ind w:left="112" w:right="103"/>
            </w:pPr>
            <w:r>
              <w:t>Wards included in this evaluation</w:t>
            </w:r>
          </w:p>
        </w:tc>
        <w:tc>
          <w:tcPr>
            <w:tcW w:w="2434" w:type="dxa"/>
          </w:tcPr>
          <w:p w:rsidR="00343E33" w:rsidRDefault="00343E33" w:rsidP="0004627E">
            <w:pPr>
              <w:pStyle w:val="TableParagraph"/>
              <w:spacing w:line="248" w:lineRule="exact"/>
              <w:ind w:left="400" w:right="391"/>
              <w:rPr>
                <w:b/>
              </w:rPr>
            </w:pPr>
            <w:r>
              <w:rPr>
                <w:b/>
              </w:rPr>
              <w:t>92</w:t>
            </w:r>
          </w:p>
        </w:tc>
      </w:tr>
      <w:tr w:rsidR="00343E33" w:rsidTr="0004627E">
        <w:trPr>
          <w:trHeight w:val="269"/>
        </w:trPr>
        <w:tc>
          <w:tcPr>
            <w:tcW w:w="4621" w:type="dxa"/>
          </w:tcPr>
          <w:p w:rsidR="00343E33" w:rsidRDefault="00343E33" w:rsidP="0004627E">
            <w:pPr>
              <w:pStyle w:val="TableParagraph"/>
              <w:spacing w:line="249" w:lineRule="exact"/>
              <w:ind w:left="112" w:right="103"/>
            </w:pPr>
            <w:r>
              <w:t>Embedded wards</w:t>
            </w:r>
          </w:p>
        </w:tc>
        <w:tc>
          <w:tcPr>
            <w:tcW w:w="2434" w:type="dxa"/>
          </w:tcPr>
          <w:p w:rsidR="00343E33" w:rsidRDefault="00343E33" w:rsidP="0004627E">
            <w:pPr>
              <w:pStyle w:val="TableParagraph"/>
              <w:spacing w:line="249" w:lineRule="exact"/>
              <w:ind w:left="400" w:right="391"/>
              <w:rPr>
                <w:b/>
              </w:rPr>
            </w:pPr>
            <w:r>
              <w:rPr>
                <w:b/>
              </w:rPr>
              <w:t>75</w:t>
            </w:r>
          </w:p>
        </w:tc>
      </w:tr>
    </w:tbl>
    <w:p w:rsidR="00343E33" w:rsidRDefault="00343E33" w:rsidP="00343E33">
      <w:pPr>
        <w:pStyle w:val="BodyText"/>
        <w:spacing w:before="5"/>
        <w:rPr>
          <w:sz w:val="16"/>
        </w:rPr>
      </w:pPr>
    </w:p>
    <w:p w:rsidR="00343E33" w:rsidRDefault="00D43723" w:rsidP="00343E33">
      <w:pPr>
        <w:ind w:left="680"/>
        <w:rPr>
          <w:b/>
          <w:sz w:val="18"/>
        </w:rPr>
      </w:pPr>
      <w:bookmarkStart w:id="1" w:name="_bookmark49"/>
      <w:bookmarkEnd w:id="1"/>
      <w:r>
        <w:rPr>
          <w:b/>
          <w:sz w:val="18"/>
        </w:rPr>
        <w:t xml:space="preserve">Table </w:t>
      </w:r>
      <w:r w:rsidR="00132707">
        <w:rPr>
          <w:b/>
          <w:sz w:val="18"/>
        </w:rPr>
        <w:t>S</w:t>
      </w:r>
      <w:r>
        <w:rPr>
          <w:b/>
          <w:sz w:val="18"/>
        </w:rPr>
        <w:t>1</w:t>
      </w:r>
      <w:r w:rsidR="00343E33">
        <w:rPr>
          <w:b/>
          <w:sz w:val="18"/>
        </w:rPr>
        <w:t>: Number of wards in the evaluation</w:t>
      </w:r>
    </w:p>
    <w:p w:rsidR="00343E33" w:rsidRDefault="00343E33" w:rsidP="00343E33">
      <w:pPr>
        <w:pStyle w:val="BodyText"/>
        <w:spacing w:before="3"/>
        <w:rPr>
          <w:b/>
          <w:sz w:val="16"/>
        </w:rPr>
      </w:pPr>
    </w:p>
    <w:p w:rsidR="004F1423" w:rsidRDefault="004F1423" w:rsidP="004F1423">
      <w:pPr>
        <w:pStyle w:val="BodyText"/>
        <w:spacing w:line="276" w:lineRule="auto"/>
        <w:ind w:right="1333"/>
        <w:jc w:val="both"/>
      </w:pPr>
    </w:p>
    <w:p w:rsidR="004F1423" w:rsidRDefault="004F1423" w:rsidP="004F1423">
      <w:pPr>
        <w:pStyle w:val="BodyText"/>
        <w:spacing w:line="276" w:lineRule="auto"/>
        <w:ind w:right="1333"/>
        <w:jc w:val="both"/>
      </w:pPr>
    </w:p>
    <w:p w:rsidR="00343E33" w:rsidRDefault="00343E33" w:rsidP="004F1423">
      <w:pPr>
        <w:pStyle w:val="BodyText"/>
        <w:spacing w:line="276" w:lineRule="auto"/>
        <w:ind w:right="1333"/>
        <w:jc w:val="both"/>
      </w:pPr>
      <w:r>
        <w:t>The table below shows the included/excluded wards by hospital. Scarborough General Hospital (SGH) had 100% (12/12) embedded PSHs, Leeds Trust (LTHT) including St James’s University Hospital (SJUH), Leeds General Infirmary (LGI) and Chapel Allerton Hospital (CAH) had 81% (52/64); and Barnsley General Hospital (BGH) (Barnsley NHS Foundation Trust) had 69%</w:t>
      </w:r>
      <w:r>
        <w:rPr>
          <w:spacing w:val="-17"/>
        </w:rPr>
        <w:t xml:space="preserve"> </w:t>
      </w:r>
      <w:r>
        <w:t>(11/16).</w:t>
      </w:r>
    </w:p>
    <w:p w:rsidR="004F1423" w:rsidRDefault="004F1423" w:rsidP="004F1423">
      <w:pPr>
        <w:pStyle w:val="BodyText"/>
        <w:spacing w:line="276" w:lineRule="auto"/>
        <w:ind w:right="1333"/>
        <w:jc w:val="both"/>
      </w:pPr>
    </w:p>
    <w:p w:rsidR="00343E33" w:rsidRDefault="00343E33" w:rsidP="00343E33">
      <w:pPr>
        <w:pStyle w:val="BodyText"/>
        <w:spacing w:before="7"/>
        <w:rPr>
          <w:sz w:val="16"/>
        </w:rPr>
      </w:pPr>
    </w:p>
    <w:tbl>
      <w:tblPr>
        <w:tblW w:w="924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38"/>
        <w:gridCol w:w="1447"/>
        <w:gridCol w:w="1442"/>
        <w:gridCol w:w="1423"/>
        <w:gridCol w:w="1439"/>
        <w:gridCol w:w="1449"/>
        <w:gridCol w:w="803"/>
      </w:tblGrid>
      <w:tr w:rsidR="00343E33" w:rsidTr="004F1423">
        <w:trPr>
          <w:trHeight w:val="268"/>
        </w:trPr>
        <w:tc>
          <w:tcPr>
            <w:tcW w:w="1238" w:type="dxa"/>
          </w:tcPr>
          <w:p w:rsidR="00343E33" w:rsidRDefault="00343E33" w:rsidP="0004627E">
            <w:pPr>
              <w:pStyle w:val="TableParagraph"/>
              <w:spacing w:line="248" w:lineRule="exact"/>
              <w:ind w:left="105" w:right="94"/>
              <w:rPr>
                <w:b/>
              </w:rPr>
            </w:pPr>
            <w:r>
              <w:rPr>
                <w:b/>
              </w:rPr>
              <w:lastRenderedPageBreak/>
              <w:t>NHS Trust</w:t>
            </w:r>
          </w:p>
        </w:tc>
        <w:tc>
          <w:tcPr>
            <w:tcW w:w="1447" w:type="dxa"/>
          </w:tcPr>
          <w:p w:rsidR="00343E33" w:rsidRDefault="00343E33" w:rsidP="0004627E">
            <w:pPr>
              <w:pStyle w:val="TableParagraph"/>
              <w:spacing w:line="248" w:lineRule="exact"/>
              <w:ind w:left="226" w:right="216"/>
              <w:rPr>
                <w:b/>
              </w:rPr>
            </w:pPr>
            <w:r>
              <w:rPr>
                <w:b/>
              </w:rPr>
              <w:t>Leeds</w:t>
            </w:r>
          </w:p>
        </w:tc>
        <w:tc>
          <w:tcPr>
            <w:tcW w:w="1442" w:type="dxa"/>
          </w:tcPr>
          <w:p w:rsidR="00343E33" w:rsidRDefault="00343E33" w:rsidP="0004627E">
            <w:pPr>
              <w:pStyle w:val="TableParagraph"/>
              <w:spacing w:line="248" w:lineRule="exact"/>
              <w:ind w:left="307" w:right="296"/>
              <w:rPr>
                <w:b/>
              </w:rPr>
            </w:pPr>
            <w:r>
              <w:rPr>
                <w:b/>
              </w:rPr>
              <w:t>Leeds</w:t>
            </w:r>
          </w:p>
        </w:tc>
        <w:tc>
          <w:tcPr>
            <w:tcW w:w="1423" w:type="dxa"/>
          </w:tcPr>
          <w:p w:rsidR="00343E33" w:rsidRDefault="00343E33" w:rsidP="0004627E">
            <w:pPr>
              <w:pStyle w:val="TableParagraph"/>
              <w:spacing w:line="248" w:lineRule="exact"/>
              <w:ind w:left="298" w:right="286"/>
              <w:rPr>
                <w:b/>
              </w:rPr>
            </w:pPr>
            <w:r>
              <w:rPr>
                <w:b/>
              </w:rPr>
              <w:t>Leeds</w:t>
            </w:r>
          </w:p>
        </w:tc>
        <w:tc>
          <w:tcPr>
            <w:tcW w:w="1439" w:type="dxa"/>
          </w:tcPr>
          <w:p w:rsidR="00343E33" w:rsidRDefault="00343E33" w:rsidP="0004627E">
            <w:pPr>
              <w:pStyle w:val="TableParagraph"/>
              <w:spacing w:line="248" w:lineRule="exact"/>
              <w:ind w:left="125" w:right="108"/>
              <w:rPr>
                <w:b/>
              </w:rPr>
            </w:pPr>
            <w:r>
              <w:rPr>
                <w:b/>
              </w:rPr>
              <w:t>Barnsley</w:t>
            </w:r>
          </w:p>
        </w:tc>
        <w:tc>
          <w:tcPr>
            <w:tcW w:w="1449" w:type="dxa"/>
          </w:tcPr>
          <w:p w:rsidR="00343E33" w:rsidRDefault="00343E33" w:rsidP="0004627E">
            <w:pPr>
              <w:pStyle w:val="TableParagraph"/>
              <w:spacing w:line="248" w:lineRule="exact"/>
              <w:ind w:left="235" w:right="219"/>
              <w:rPr>
                <w:b/>
              </w:rPr>
            </w:pPr>
            <w:r>
              <w:rPr>
                <w:b/>
              </w:rPr>
              <w:t>York</w:t>
            </w:r>
          </w:p>
        </w:tc>
        <w:tc>
          <w:tcPr>
            <w:tcW w:w="803" w:type="dxa"/>
            <w:vMerge w:val="restart"/>
          </w:tcPr>
          <w:p w:rsidR="00343E33" w:rsidRDefault="00343E33" w:rsidP="0004627E">
            <w:pPr>
              <w:pStyle w:val="TableParagraph"/>
              <w:spacing w:before="136"/>
              <w:ind w:left="92" w:right="72"/>
              <w:rPr>
                <w:b/>
              </w:rPr>
            </w:pPr>
            <w:r>
              <w:rPr>
                <w:b/>
              </w:rPr>
              <w:t>All</w:t>
            </w:r>
          </w:p>
        </w:tc>
      </w:tr>
      <w:tr w:rsidR="00343E33" w:rsidTr="004F1423">
        <w:trPr>
          <w:trHeight w:val="268"/>
        </w:trPr>
        <w:tc>
          <w:tcPr>
            <w:tcW w:w="1238" w:type="dxa"/>
          </w:tcPr>
          <w:p w:rsidR="00343E33" w:rsidRDefault="00343E33" w:rsidP="0004627E">
            <w:pPr>
              <w:pStyle w:val="TableParagraph"/>
              <w:spacing w:line="248" w:lineRule="exact"/>
              <w:ind w:left="104" w:right="96"/>
              <w:rPr>
                <w:b/>
              </w:rPr>
            </w:pPr>
            <w:r>
              <w:rPr>
                <w:b/>
              </w:rPr>
              <w:t>Hospital</w:t>
            </w:r>
          </w:p>
        </w:tc>
        <w:tc>
          <w:tcPr>
            <w:tcW w:w="1447" w:type="dxa"/>
          </w:tcPr>
          <w:p w:rsidR="00343E33" w:rsidRDefault="00343E33" w:rsidP="0004627E">
            <w:pPr>
              <w:pStyle w:val="TableParagraph"/>
              <w:spacing w:line="248" w:lineRule="exact"/>
              <w:ind w:left="226" w:right="216"/>
              <w:rPr>
                <w:b/>
              </w:rPr>
            </w:pPr>
            <w:r>
              <w:rPr>
                <w:b/>
              </w:rPr>
              <w:t>SJUH</w:t>
            </w:r>
          </w:p>
        </w:tc>
        <w:tc>
          <w:tcPr>
            <w:tcW w:w="1442" w:type="dxa"/>
          </w:tcPr>
          <w:p w:rsidR="00343E33" w:rsidRDefault="00343E33" w:rsidP="0004627E">
            <w:pPr>
              <w:pStyle w:val="TableParagraph"/>
              <w:spacing w:line="248" w:lineRule="exact"/>
              <w:ind w:left="307" w:right="297"/>
              <w:rPr>
                <w:b/>
              </w:rPr>
            </w:pPr>
            <w:r>
              <w:rPr>
                <w:b/>
              </w:rPr>
              <w:t>LGI</w:t>
            </w:r>
          </w:p>
        </w:tc>
        <w:tc>
          <w:tcPr>
            <w:tcW w:w="1423" w:type="dxa"/>
          </w:tcPr>
          <w:p w:rsidR="00343E33" w:rsidRDefault="00343E33" w:rsidP="0004627E">
            <w:pPr>
              <w:pStyle w:val="TableParagraph"/>
              <w:spacing w:line="248" w:lineRule="exact"/>
              <w:ind w:left="298" w:right="286"/>
              <w:rPr>
                <w:b/>
              </w:rPr>
            </w:pPr>
            <w:r>
              <w:rPr>
                <w:b/>
              </w:rPr>
              <w:t>CAH</w:t>
            </w:r>
          </w:p>
        </w:tc>
        <w:tc>
          <w:tcPr>
            <w:tcW w:w="1439" w:type="dxa"/>
          </w:tcPr>
          <w:p w:rsidR="00343E33" w:rsidRDefault="00343E33" w:rsidP="0004627E">
            <w:pPr>
              <w:pStyle w:val="TableParagraph"/>
              <w:spacing w:line="248" w:lineRule="exact"/>
              <w:ind w:left="126" w:right="108"/>
              <w:rPr>
                <w:b/>
              </w:rPr>
            </w:pPr>
            <w:r>
              <w:rPr>
                <w:b/>
              </w:rPr>
              <w:t>BGH</w:t>
            </w:r>
          </w:p>
        </w:tc>
        <w:tc>
          <w:tcPr>
            <w:tcW w:w="1449" w:type="dxa"/>
          </w:tcPr>
          <w:p w:rsidR="00343E33" w:rsidRDefault="00343E33" w:rsidP="0004627E">
            <w:pPr>
              <w:pStyle w:val="TableParagraph"/>
              <w:spacing w:line="248" w:lineRule="exact"/>
              <w:ind w:left="235" w:right="219"/>
              <w:rPr>
                <w:b/>
              </w:rPr>
            </w:pPr>
            <w:r>
              <w:rPr>
                <w:b/>
              </w:rPr>
              <w:t>SGH</w:t>
            </w:r>
          </w:p>
        </w:tc>
        <w:tc>
          <w:tcPr>
            <w:tcW w:w="803" w:type="dxa"/>
            <w:vMerge/>
            <w:tcBorders>
              <w:top w:val="nil"/>
            </w:tcBorders>
          </w:tcPr>
          <w:p w:rsidR="00343E33" w:rsidRDefault="00343E33" w:rsidP="0004627E">
            <w:pPr>
              <w:rPr>
                <w:sz w:val="2"/>
                <w:szCs w:val="2"/>
              </w:rPr>
            </w:pPr>
          </w:p>
        </w:tc>
      </w:tr>
      <w:tr w:rsidR="00343E33" w:rsidTr="004F1423">
        <w:trPr>
          <w:trHeight w:val="537"/>
        </w:trPr>
        <w:tc>
          <w:tcPr>
            <w:tcW w:w="1238" w:type="dxa"/>
          </w:tcPr>
          <w:p w:rsidR="00343E33" w:rsidRDefault="00343E33" w:rsidP="0004627E">
            <w:pPr>
              <w:pStyle w:val="TableParagraph"/>
              <w:spacing w:line="265" w:lineRule="exact"/>
              <w:ind w:left="105" w:right="96"/>
              <w:rPr>
                <w:b/>
              </w:rPr>
            </w:pPr>
            <w:r>
              <w:rPr>
                <w:b/>
              </w:rPr>
              <w:t>Number of</w:t>
            </w:r>
          </w:p>
          <w:p w:rsidR="00343E33" w:rsidRDefault="00343E33" w:rsidP="0004627E">
            <w:pPr>
              <w:pStyle w:val="TableParagraph"/>
              <w:spacing w:line="252" w:lineRule="exact"/>
              <w:ind w:left="105" w:right="94"/>
              <w:rPr>
                <w:b/>
              </w:rPr>
            </w:pPr>
            <w:r>
              <w:rPr>
                <w:b/>
              </w:rPr>
              <w:t>wards</w:t>
            </w:r>
          </w:p>
        </w:tc>
        <w:tc>
          <w:tcPr>
            <w:tcW w:w="1447" w:type="dxa"/>
          </w:tcPr>
          <w:p w:rsidR="00343E33" w:rsidRDefault="00343E33" w:rsidP="0004627E">
            <w:pPr>
              <w:pStyle w:val="TableParagraph"/>
              <w:spacing w:before="131"/>
              <w:ind w:left="226" w:right="216"/>
            </w:pPr>
            <w:r>
              <w:t>N=50</w:t>
            </w:r>
          </w:p>
        </w:tc>
        <w:tc>
          <w:tcPr>
            <w:tcW w:w="1442" w:type="dxa"/>
          </w:tcPr>
          <w:p w:rsidR="00343E33" w:rsidRDefault="00343E33" w:rsidP="0004627E">
            <w:pPr>
              <w:pStyle w:val="TableParagraph"/>
              <w:spacing w:before="131"/>
              <w:ind w:left="307" w:right="295"/>
            </w:pPr>
            <w:r>
              <w:t>N=43</w:t>
            </w:r>
          </w:p>
        </w:tc>
        <w:tc>
          <w:tcPr>
            <w:tcW w:w="1423" w:type="dxa"/>
          </w:tcPr>
          <w:p w:rsidR="00343E33" w:rsidRDefault="00343E33" w:rsidP="0004627E">
            <w:pPr>
              <w:pStyle w:val="TableParagraph"/>
              <w:spacing w:before="131"/>
              <w:ind w:left="298" w:right="284"/>
            </w:pPr>
            <w:r>
              <w:t>N=3</w:t>
            </w:r>
          </w:p>
        </w:tc>
        <w:tc>
          <w:tcPr>
            <w:tcW w:w="1439" w:type="dxa"/>
          </w:tcPr>
          <w:p w:rsidR="00343E33" w:rsidRDefault="00343E33" w:rsidP="0004627E">
            <w:pPr>
              <w:pStyle w:val="TableParagraph"/>
              <w:spacing w:before="131"/>
              <w:ind w:left="125" w:right="108"/>
            </w:pPr>
            <w:r>
              <w:t>N=27</w:t>
            </w:r>
          </w:p>
        </w:tc>
        <w:tc>
          <w:tcPr>
            <w:tcW w:w="1449" w:type="dxa"/>
          </w:tcPr>
          <w:p w:rsidR="00343E33" w:rsidRDefault="00343E33" w:rsidP="0004627E">
            <w:pPr>
              <w:pStyle w:val="TableParagraph"/>
              <w:spacing w:before="131"/>
              <w:ind w:left="235" w:right="216"/>
            </w:pPr>
            <w:r>
              <w:t>N=13</w:t>
            </w:r>
          </w:p>
        </w:tc>
        <w:tc>
          <w:tcPr>
            <w:tcW w:w="803" w:type="dxa"/>
          </w:tcPr>
          <w:p w:rsidR="00343E33" w:rsidRDefault="00343E33" w:rsidP="0004627E">
            <w:pPr>
              <w:pStyle w:val="TableParagraph"/>
              <w:spacing w:before="131"/>
              <w:ind w:left="92" w:right="74"/>
            </w:pPr>
            <w:r>
              <w:t>N=136</w:t>
            </w:r>
          </w:p>
        </w:tc>
      </w:tr>
      <w:tr w:rsidR="00343E33" w:rsidTr="004F1423">
        <w:trPr>
          <w:trHeight w:val="2685"/>
        </w:trPr>
        <w:tc>
          <w:tcPr>
            <w:tcW w:w="1238" w:type="dxa"/>
          </w:tcPr>
          <w:p w:rsidR="00343E33" w:rsidRDefault="00343E33" w:rsidP="0004627E">
            <w:pPr>
              <w:pStyle w:val="TableParagraph"/>
              <w:jc w:val="left"/>
            </w:pPr>
          </w:p>
          <w:p w:rsidR="00343E33" w:rsidRDefault="00343E33" w:rsidP="0004627E">
            <w:pPr>
              <w:pStyle w:val="TableParagraph"/>
              <w:jc w:val="left"/>
            </w:pPr>
          </w:p>
          <w:p w:rsidR="00343E33" w:rsidRDefault="00343E33" w:rsidP="0004627E">
            <w:pPr>
              <w:pStyle w:val="TableParagraph"/>
              <w:jc w:val="left"/>
            </w:pPr>
          </w:p>
          <w:p w:rsidR="00343E33" w:rsidRDefault="00343E33" w:rsidP="0004627E">
            <w:pPr>
              <w:pStyle w:val="TableParagraph"/>
              <w:spacing w:before="12"/>
              <w:jc w:val="left"/>
              <w:rPr>
                <w:sz w:val="21"/>
              </w:rPr>
            </w:pPr>
          </w:p>
          <w:p w:rsidR="00343E33" w:rsidRDefault="00343E33" w:rsidP="0004627E">
            <w:pPr>
              <w:pStyle w:val="TableParagraph"/>
              <w:spacing w:line="237" w:lineRule="auto"/>
              <w:ind w:left="206" w:right="179" w:firstLine="115"/>
              <w:jc w:val="left"/>
              <w:rPr>
                <w:b/>
              </w:rPr>
            </w:pPr>
            <w:r>
              <w:rPr>
                <w:b/>
              </w:rPr>
              <w:t>Wards excluded</w:t>
            </w:r>
          </w:p>
        </w:tc>
        <w:tc>
          <w:tcPr>
            <w:tcW w:w="1447" w:type="dxa"/>
          </w:tcPr>
          <w:p w:rsidR="00343E33" w:rsidRDefault="00343E33" w:rsidP="0004627E">
            <w:pPr>
              <w:pStyle w:val="TableParagraph"/>
              <w:spacing w:before="131"/>
              <w:ind w:left="224" w:right="216"/>
            </w:pPr>
            <w:r>
              <w:t>12</w:t>
            </w:r>
          </w:p>
          <w:p w:rsidR="00343E33" w:rsidRDefault="00343E33" w:rsidP="0004627E">
            <w:pPr>
              <w:pStyle w:val="TableParagraph"/>
              <w:ind w:left="168" w:right="154" w:hanging="2"/>
            </w:pPr>
            <w:r>
              <w:t>Embedded cohort (n=8) Paediatric wards (n=1) Temporary wards (n=2) Day case ward (n=1)</w:t>
            </w:r>
          </w:p>
        </w:tc>
        <w:tc>
          <w:tcPr>
            <w:tcW w:w="1442" w:type="dxa"/>
          </w:tcPr>
          <w:p w:rsidR="00343E33" w:rsidRDefault="00343E33" w:rsidP="0004627E">
            <w:pPr>
              <w:pStyle w:val="TableParagraph"/>
              <w:spacing w:line="265" w:lineRule="exact"/>
              <w:ind w:left="307" w:right="293"/>
            </w:pPr>
            <w:r>
              <w:t>20</w:t>
            </w:r>
          </w:p>
          <w:p w:rsidR="00343E33" w:rsidRDefault="00343E33" w:rsidP="0004627E">
            <w:pPr>
              <w:pStyle w:val="TableParagraph"/>
              <w:ind w:left="135" w:right="121" w:hanging="1"/>
            </w:pPr>
            <w:r>
              <w:t>Paediatric wards (n=13) Day case wards (n=1) Ward moves (n=3)</w:t>
            </w:r>
          </w:p>
          <w:p w:rsidR="00343E33" w:rsidRDefault="00343E33" w:rsidP="0004627E">
            <w:pPr>
              <w:pStyle w:val="TableParagraph"/>
              <w:ind w:left="351" w:right="339" w:firstLine="1"/>
            </w:pPr>
            <w:r>
              <w:t>Ward mergers</w:t>
            </w:r>
          </w:p>
          <w:p w:rsidR="00343E33" w:rsidRDefault="00343E33" w:rsidP="0004627E">
            <w:pPr>
              <w:pStyle w:val="TableParagraph"/>
              <w:spacing w:line="252" w:lineRule="exact"/>
              <w:ind w:left="307" w:right="296"/>
            </w:pPr>
            <w:r>
              <w:t>(n=3)</w:t>
            </w:r>
          </w:p>
        </w:tc>
        <w:tc>
          <w:tcPr>
            <w:tcW w:w="1423" w:type="dxa"/>
          </w:tcPr>
          <w:p w:rsidR="00343E33" w:rsidRDefault="00343E33" w:rsidP="0004627E">
            <w:pPr>
              <w:pStyle w:val="TableParagraph"/>
              <w:jc w:val="left"/>
            </w:pPr>
          </w:p>
          <w:p w:rsidR="00343E33" w:rsidRDefault="00343E33" w:rsidP="0004627E">
            <w:pPr>
              <w:pStyle w:val="TableParagraph"/>
              <w:jc w:val="left"/>
            </w:pPr>
          </w:p>
          <w:p w:rsidR="00343E33" w:rsidRDefault="00343E33" w:rsidP="0004627E">
            <w:pPr>
              <w:pStyle w:val="TableParagraph"/>
              <w:jc w:val="left"/>
            </w:pPr>
          </w:p>
          <w:p w:rsidR="00343E33" w:rsidRDefault="00343E33" w:rsidP="0004627E">
            <w:pPr>
              <w:pStyle w:val="TableParagraph"/>
              <w:spacing w:before="10"/>
              <w:jc w:val="left"/>
              <w:rPr>
                <w:sz w:val="32"/>
              </w:rPr>
            </w:pPr>
          </w:p>
          <w:p w:rsidR="00343E33" w:rsidRDefault="00343E33" w:rsidP="0004627E">
            <w:pPr>
              <w:pStyle w:val="TableParagraph"/>
              <w:ind w:left="10"/>
            </w:pPr>
            <w:r>
              <w:t>-</w:t>
            </w:r>
          </w:p>
        </w:tc>
        <w:tc>
          <w:tcPr>
            <w:tcW w:w="1439" w:type="dxa"/>
          </w:tcPr>
          <w:p w:rsidR="00343E33" w:rsidRDefault="00343E33" w:rsidP="0004627E">
            <w:pPr>
              <w:pStyle w:val="TableParagraph"/>
              <w:spacing w:line="265" w:lineRule="exact"/>
              <w:ind w:left="126" w:right="107"/>
            </w:pPr>
            <w:r>
              <w:t>11</w:t>
            </w:r>
          </w:p>
          <w:p w:rsidR="00343E33" w:rsidRDefault="00343E33" w:rsidP="0004627E">
            <w:pPr>
              <w:pStyle w:val="TableParagraph"/>
              <w:ind w:left="126" w:right="108"/>
            </w:pPr>
            <w:r>
              <w:t xml:space="preserve">Ward </w:t>
            </w:r>
            <w:r>
              <w:rPr>
                <w:spacing w:val="-3"/>
              </w:rPr>
              <w:t xml:space="preserve">closure </w:t>
            </w:r>
            <w:r>
              <w:t>(n=1)</w:t>
            </w:r>
          </w:p>
          <w:p w:rsidR="00343E33" w:rsidRDefault="00343E33" w:rsidP="0004627E">
            <w:pPr>
              <w:pStyle w:val="TableParagraph"/>
              <w:ind w:left="191" w:right="172" w:hanging="1"/>
            </w:pPr>
            <w:r>
              <w:t xml:space="preserve">Paediatric wards </w:t>
            </w:r>
            <w:r>
              <w:rPr>
                <w:spacing w:val="-4"/>
              </w:rPr>
              <w:t xml:space="preserve">(n=3) </w:t>
            </w:r>
            <w:r>
              <w:t>Ward move (n=1)</w:t>
            </w:r>
          </w:p>
          <w:p w:rsidR="00343E33" w:rsidRDefault="00343E33" w:rsidP="0004627E">
            <w:pPr>
              <w:pStyle w:val="TableParagraph"/>
              <w:ind w:left="352" w:right="335" w:firstLine="1"/>
            </w:pPr>
            <w:r>
              <w:t>Ward mergers</w:t>
            </w:r>
          </w:p>
          <w:p w:rsidR="00343E33" w:rsidRDefault="00343E33" w:rsidP="0004627E">
            <w:pPr>
              <w:pStyle w:val="TableParagraph"/>
              <w:spacing w:line="252" w:lineRule="exact"/>
              <w:ind w:left="124" w:right="108"/>
            </w:pPr>
            <w:r>
              <w:t>(n=6)</w:t>
            </w:r>
          </w:p>
        </w:tc>
        <w:tc>
          <w:tcPr>
            <w:tcW w:w="1449" w:type="dxa"/>
          </w:tcPr>
          <w:p w:rsidR="00343E33" w:rsidRDefault="00343E33" w:rsidP="0004627E">
            <w:pPr>
              <w:pStyle w:val="TableParagraph"/>
              <w:jc w:val="left"/>
            </w:pPr>
          </w:p>
          <w:p w:rsidR="00343E33" w:rsidRDefault="00343E33" w:rsidP="0004627E">
            <w:pPr>
              <w:pStyle w:val="TableParagraph"/>
              <w:jc w:val="left"/>
            </w:pPr>
          </w:p>
          <w:p w:rsidR="00343E33" w:rsidRDefault="00343E33" w:rsidP="0004627E">
            <w:pPr>
              <w:pStyle w:val="TableParagraph"/>
              <w:spacing w:before="9"/>
              <w:jc w:val="left"/>
              <w:rPr>
                <w:sz w:val="32"/>
              </w:rPr>
            </w:pPr>
          </w:p>
          <w:p w:rsidR="00343E33" w:rsidRDefault="00343E33" w:rsidP="0004627E">
            <w:pPr>
              <w:pStyle w:val="TableParagraph"/>
              <w:ind w:left="19"/>
            </w:pPr>
            <w:r>
              <w:t>1</w:t>
            </w:r>
          </w:p>
          <w:p w:rsidR="00343E33" w:rsidRDefault="00343E33" w:rsidP="0004627E">
            <w:pPr>
              <w:pStyle w:val="TableParagraph"/>
              <w:spacing w:before="3" w:line="237" w:lineRule="auto"/>
              <w:ind w:left="235" w:right="220"/>
            </w:pPr>
            <w:r>
              <w:t>Paediatrics (n=1)</w:t>
            </w:r>
          </w:p>
        </w:tc>
        <w:tc>
          <w:tcPr>
            <w:tcW w:w="803" w:type="dxa"/>
          </w:tcPr>
          <w:p w:rsidR="00343E33" w:rsidRDefault="00343E33" w:rsidP="0004627E">
            <w:pPr>
              <w:pStyle w:val="TableParagraph"/>
              <w:jc w:val="left"/>
            </w:pPr>
          </w:p>
          <w:p w:rsidR="00343E33" w:rsidRDefault="00343E33" w:rsidP="0004627E">
            <w:pPr>
              <w:pStyle w:val="TableParagraph"/>
              <w:jc w:val="left"/>
            </w:pPr>
          </w:p>
          <w:p w:rsidR="00343E33" w:rsidRDefault="00343E33" w:rsidP="0004627E">
            <w:pPr>
              <w:pStyle w:val="TableParagraph"/>
              <w:jc w:val="left"/>
            </w:pPr>
          </w:p>
          <w:p w:rsidR="00343E33" w:rsidRDefault="00343E33" w:rsidP="0004627E">
            <w:pPr>
              <w:pStyle w:val="TableParagraph"/>
              <w:spacing w:before="10"/>
              <w:jc w:val="left"/>
              <w:rPr>
                <w:sz w:val="32"/>
              </w:rPr>
            </w:pPr>
          </w:p>
          <w:p w:rsidR="00343E33" w:rsidRDefault="00343E33" w:rsidP="0004627E">
            <w:pPr>
              <w:pStyle w:val="TableParagraph"/>
              <w:ind w:left="92" w:right="71"/>
            </w:pPr>
            <w:r>
              <w:t>44</w:t>
            </w:r>
          </w:p>
        </w:tc>
      </w:tr>
      <w:tr w:rsidR="00343E33" w:rsidTr="004F1423">
        <w:trPr>
          <w:trHeight w:val="806"/>
        </w:trPr>
        <w:tc>
          <w:tcPr>
            <w:tcW w:w="1238" w:type="dxa"/>
          </w:tcPr>
          <w:p w:rsidR="00343E33" w:rsidRDefault="00343E33" w:rsidP="0004627E">
            <w:pPr>
              <w:pStyle w:val="TableParagraph"/>
              <w:ind w:left="465" w:right="184" w:hanging="255"/>
              <w:jc w:val="left"/>
              <w:rPr>
                <w:b/>
              </w:rPr>
            </w:pPr>
            <w:r>
              <w:rPr>
                <w:b/>
              </w:rPr>
              <w:t>Wards in the</w:t>
            </w:r>
          </w:p>
          <w:p w:rsidR="00343E33" w:rsidRDefault="00343E33" w:rsidP="0004627E">
            <w:pPr>
              <w:pStyle w:val="TableParagraph"/>
              <w:spacing w:line="252" w:lineRule="exact"/>
              <w:ind w:left="131"/>
              <w:jc w:val="left"/>
              <w:rPr>
                <w:b/>
              </w:rPr>
            </w:pPr>
            <w:r>
              <w:rPr>
                <w:b/>
              </w:rPr>
              <w:t>evaluation</w:t>
            </w:r>
          </w:p>
        </w:tc>
        <w:tc>
          <w:tcPr>
            <w:tcW w:w="1447" w:type="dxa"/>
          </w:tcPr>
          <w:p w:rsidR="00343E33" w:rsidRDefault="00343E33" w:rsidP="0004627E">
            <w:pPr>
              <w:pStyle w:val="TableParagraph"/>
              <w:spacing w:before="9"/>
              <w:jc w:val="left"/>
              <w:rPr>
                <w:sz w:val="21"/>
              </w:rPr>
            </w:pPr>
          </w:p>
          <w:p w:rsidR="00343E33" w:rsidRDefault="00343E33" w:rsidP="0004627E">
            <w:pPr>
              <w:pStyle w:val="TableParagraph"/>
              <w:ind w:left="227" w:right="215"/>
            </w:pPr>
            <w:r>
              <w:t>38</w:t>
            </w:r>
          </w:p>
        </w:tc>
        <w:tc>
          <w:tcPr>
            <w:tcW w:w="1442" w:type="dxa"/>
          </w:tcPr>
          <w:p w:rsidR="00343E33" w:rsidRDefault="00343E33" w:rsidP="0004627E">
            <w:pPr>
              <w:pStyle w:val="TableParagraph"/>
              <w:spacing w:before="9"/>
              <w:jc w:val="left"/>
              <w:rPr>
                <w:sz w:val="21"/>
              </w:rPr>
            </w:pPr>
          </w:p>
          <w:p w:rsidR="00343E33" w:rsidRDefault="00343E33" w:rsidP="0004627E">
            <w:pPr>
              <w:pStyle w:val="TableParagraph"/>
              <w:ind w:left="307" w:right="293"/>
            </w:pPr>
            <w:r>
              <w:t>23</w:t>
            </w:r>
          </w:p>
        </w:tc>
        <w:tc>
          <w:tcPr>
            <w:tcW w:w="1423" w:type="dxa"/>
          </w:tcPr>
          <w:p w:rsidR="00343E33" w:rsidRDefault="00343E33" w:rsidP="0004627E">
            <w:pPr>
              <w:pStyle w:val="TableParagraph"/>
              <w:spacing w:before="9"/>
              <w:jc w:val="left"/>
              <w:rPr>
                <w:sz w:val="21"/>
              </w:rPr>
            </w:pPr>
          </w:p>
          <w:p w:rsidR="00343E33" w:rsidRDefault="00343E33" w:rsidP="0004627E">
            <w:pPr>
              <w:pStyle w:val="TableParagraph"/>
              <w:ind w:left="11"/>
            </w:pPr>
            <w:r>
              <w:t>3</w:t>
            </w:r>
          </w:p>
        </w:tc>
        <w:tc>
          <w:tcPr>
            <w:tcW w:w="1439" w:type="dxa"/>
          </w:tcPr>
          <w:p w:rsidR="00343E33" w:rsidRDefault="00343E33" w:rsidP="0004627E">
            <w:pPr>
              <w:pStyle w:val="TableParagraph"/>
              <w:spacing w:before="9"/>
              <w:jc w:val="left"/>
              <w:rPr>
                <w:sz w:val="21"/>
              </w:rPr>
            </w:pPr>
          </w:p>
          <w:p w:rsidR="00343E33" w:rsidRDefault="00343E33" w:rsidP="0004627E">
            <w:pPr>
              <w:pStyle w:val="TableParagraph"/>
              <w:ind w:left="126" w:right="107"/>
            </w:pPr>
            <w:r>
              <w:t>16</w:t>
            </w:r>
          </w:p>
        </w:tc>
        <w:tc>
          <w:tcPr>
            <w:tcW w:w="1449" w:type="dxa"/>
          </w:tcPr>
          <w:p w:rsidR="00343E33" w:rsidRDefault="00343E33" w:rsidP="0004627E">
            <w:pPr>
              <w:pStyle w:val="TableParagraph"/>
              <w:spacing w:before="9"/>
              <w:jc w:val="left"/>
              <w:rPr>
                <w:sz w:val="21"/>
              </w:rPr>
            </w:pPr>
          </w:p>
          <w:p w:rsidR="00343E33" w:rsidRDefault="00343E33" w:rsidP="0004627E">
            <w:pPr>
              <w:pStyle w:val="TableParagraph"/>
              <w:ind w:left="235" w:right="218"/>
            </w:pPr>
            <w:r>
              <w:t>12</w:t>
            </w:r>
          </w:p>
        </w:tc>
        <w:tc>
          <w:tcPr>
            <w:tcW w:w="803" w:type="dxa"/>
          </w:tcPr>
          <w:p w:rsidR="00343E33" w:rsidRDefault="00343E33" w:rsidP="0004627E">
            <w:pPr>
              <w:pStyle w:val="TableParagraph"/>
              <w:spacing w:before="9"/>
              <w:jc w:val="left"/>
              <w:rPr>
                <w:sz w:val="21"/>
              </w:rPr>
            </w:pPr>
          </w:p>
          <w:p w:rsidR="00343E33" w:rsidRDefault="00343E33" w:rsidP="0004627E">
            <w:pPr>
              <w:pStyle w:val="TableParagraph"/>
              <w:ind w:left="92" w:right="71"/>
            </w:pPr>
            <w:r>
              <w:t>92</w:t>
            </w:r>
          </w:p>
        </w:tc>
      </w:tr>
      <w:tr w:rsidR="00343E33" w:rsidTr="004F1423">
        <w:trPr>
          <w:trHeight w:val="537"/>
        </w:trPr>
        <w:tc>
          <w:tcPr>
            <w:tcW w:w="1238" w:type="dxa"/>
          </w:tcPr>
          <w:p w:rsidR="00343E33" w:rsidRDefault="00343E33" w:rsidP="0004627E">
            <w:pPr>
              <w:pStyle w:val="TableParagraph"/>
              <w:spacing w:line="265" w:lineRule="exact"/>
              <w:ind w:left="105" w:right="95"/>
              <w:rPr>
                <w:b/>
              </w:rPr>
            </w:pPr>
            <w:r>
              <w:rPr>
                <w:b/>
              </w:rPr>
              <w:t>Embedded</w:t>
            </w:r>
          </w:p>
          <w:p w:rsidR="00343E33" w:rsidRDefault="00343E33" w:rsidP="0004627E">
            <w:pPr>
              <w:pStyle w:val="TableParagraph"/>
              <w:spacing w:line="252" w:lineRule="exact"/>
              <w:ind w:left="105" w:right="94"/>
              <w:rPr>
                <w:b/>
              </w:rPr>
            </w:pPr>
            <w:r>
              <w:rPr>
                <w:b/>
              </w:rPr>
              <w:t>wards</w:t>
            </w:r>
          </w:p>
        </w:tc>
        <w:tc>
          <w:tcPr>
            <w:tcW w:w="1447" w:type="dxa"/>
          </w:tcPr>
          <w:p w:rsidR="00343E33" w:rsidRDefault="00343E33" w:rsidP="0004627E">
            <w:pPr>
              <w:pStyle w:val="TableParagraph"/>
              <w:spacing w:before="131"/>
              <w:ind w:left="227" w:right="216"/>
            </w:pPr>
            <w:r>
              <w:t>31 (81.5%)</w:t>
            </w:r>
          </w:p>
        </w:tc>
        <w:tc>
          <w:tcPr>
            <w:tcW w:w="1442" w:type="dxa"/>
          </w:tcPr>
          <w:p w:rsidR="00343E33" w:rsidRDefault="00343E33" w:rsidP="0004627E">
            <w:pPr>
              <w:pStyle w:val="TableParagraph"/>
              <w:spacing w:before="131"/>
              <w:ind w:left="307" w:right="297"/>
            </w:pPr>
            <w:r>
              <w:t>18 (78%)</w:t>
            </w:r>
          </w:p>
        </w:tc>
        <w:tc>
          <w:tcPr>
            <w:tcW w:w="1423" w:type="dxa"/>
          </w:tcPr>
          <w:p w:rsidR="00343E33" w:rsidRDefault="00343E33" w:rsidP="0004627E">
            <w:pPr>
              <w:pStyle w:val="TableParagraph"/>
              <w:spacing w:before="131"/>
              <w:ind w:left="298" w:right="287"/>
            </w:pPr>
            <w:r>
              <w:t>3 (100%)</w:t>
            </w:r>
          </w:p>
        </w:tc>
        <w:tc>
          <w:tcPr>
            <w:tcW w:w="1439" w:type="dxa"/>
          </w:tcPr>
          <w:p w:rsidR="00343E33" w:rsidRDefault="00343E33" w:rsidP="0004627E">
            <w:pPr>
              <w:pStyle w:val="TableParagraph"/>
              <w:spacing w:before="131"/>
              <w:ind w:left="123" w:right="108"/>
            </w:pPr>
            <w:r>
              <w:t>11 (69%)</w:t>
            </w:r>
          </w:p>
        </w:tc>
        <w:tc>
          <w:tcPr>
            <w:tcW w:w="1449" w:type="dxa"/>
          </w:tcPr>
          <w:p w:rsidR="00343E33" w:rsidRDefault="00343E33" w:rsidP="0004627E">
            <w:pPr>
              <w:pStyle w:val="TableParagraph"/>
              <w:spacing w:before="131"/>
              <w:ind w:left="235" w:right="218"/>
            </w:pPr>
            <w:r>
              <w:t>12 (100%)</w:t>
            </w:r>
          </w:p>
        </w:tc>
        <w:tc>
          <w:tcPr>
            <w:tcW w:w="803" w:type="dxa"/>
          </w:tcPr>
          <w:p w:rsidR="00343E33" w:rsidRDefault="00343E33" w:rsidP="0004627E">
            <w:pPr>
              <w:pStyle w:val="TableParagraph"/>
              <w:spacing w:before="131"/>
              <w:ind w:left="92" w:right="71"/>
            </w:pPr>
            <w:r>
              <w:t>75</w:t>
            </w:r>
          </w:p>
        </w:tc>
      </w:tr>
    </w:tbl>
    <w:p w:rsidR="00343E33" w:rsidRDefault="00343E33" w:rsidP="00343E33">
      <w:pPr>
        <w:pStyle w:val="BodyText"/>
        <w:spacing w:before="2"/>
        <w:rPr>
          <w:sz w:val="16"/>
        </w:rPr>
      </w:pPr>
    </w:p>
    <w:p w:rsidR="00343E33" w:rsidRDefault="00D43723" w:rsidP="00343E33">
      <w:pPr>
        <w:spacing w:before="1"/>
        <w:ind w:left="680" w:right="1335"/>
        <w:rPr>
          <w:b/>
          <w:sz w:val="18"/>
        </w:rPr>
      </w:pPr>
      <w:bookmarkStart w:id="2" w:name="_bookmark50"/>
      <w:bookmarkEnd w:id="2"/>
      <w:r>
        <w:rPr>
          <w:b/>
          <w:sz w:val="18"/>
        </w:rPr>
        <w:t xml:space="preserve">Table </w:t>
      </w:r>
      <w:r w:rsidR="00132707">
        <w:rPr>
          <w:b/>
          <w:sz w:val="18"/>
        </w:rPr>
        <w:t>S</w:t>
      </w:r>
      <w:r>
        <w:rPr>
          <w:b/>
          <w:sz w:val="18"/>
        </w:rPr>
        <w:t>2</w:t>
      </w:r>
      <w:r w:rsidR="00343E33">
        <w:rPr>
          <w:b/>
          <w:sz w:val="18"/>
        </w:rPr>
        <w:t>: Number of: wards, excluded wards, evaluation wards and embedded evaluation wards (based on the Operation Plan 31/07/2017) by hospital</w:t>
      </w:r>
    </w:p>
    <w:p w:rsidR="00F816CE" w:rsidRDefault="00F816CE"/>
    <w:sectPr w:rsidR="00F816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AD2232"/>
    <w:multiLevelType w:val="multilevel"/>
    <w:tmpl w:val="DE7862D8"/>
    <w:lvl w:ilvl="0">
      <w:start w:val="4"/>
      <w:numFmt w:val="decimal"/>
      <w:lvlText w:val="%1"/>
      <w:lvlJc w:val="left"/>
      <w:pPr>
        <w:ind w:left="1256" w:hanging="576"/>
      </w:pPr>
      <w:rPr>
        <w:rFonts w:hint="default"/>
        <w:lang w:val="en-GB" w:eastAsia="en-GB" w:bidi="en-GB"/>
      </w:rPr>
    </w:lvl>
    <w:lvl w:ilvl="1">
      <w:start w:val="1"/>
      <w:numFmt w:val="decimal"/>
      <w:lvlText w:val="%1.%2"/>
      <w:lvlJc w:val="left"/>
      <w:pPr>
        <w:ind w:left="1256" w:hanging="576"/>
      </w:pPr>
      <w:rPr>
        <w:rFonts w:ascii="Cambria" w:eastAsia="Cambria" w:hAnsi="Cambria" w:cs="Cambria" w:hint="default"/>
        <w:b/>
        <w:bCs/>
        <w:spacing w:val="-1"/>
        <w:w w:val="99"/>
        <w:sz w:val="26"/>
        <w:szCs w:val="26"/>
        <w:lang w:val="en-GB" w:eastAsia="en-GB" w:bidi="en-GB"/>
      </w:rPr>
    </w:lvl>
    <w:lvl w:ilvl="2">
      <w:start w:val="1"/>
      <w:numFmt w:val="decimal"/>
      <w:lvlText w:val="%3."/>
      <w:lvlJc w:val="left"/>
      <w:pPr>
        <w:ind w:left="1400" w:hanging="360"/>
      </w:pPr>
      <w:rPr>
        <w:rFonts w:ascii="Calibri" w:eastAsia="Calibri" w:hAnsi="Calibri" w:cs="Calibri" w:hint="default"/>
        <w:w w:val="100"/>
        <w:sz w:val="22"/>
        <w:szCs w:val="22"/>
        <w:lang w:val="en-GB" w:eastAsia="en-GB" w:bidi="en-GB"/>
      </w:rPr>
    </w:lvl>
    <w:lvl w:ilvl="3">
      <w:numFmt w:val="bullet"/>
      <w:lvlText w:val="•"/>
      <w:lvlJc w:val="left"/>
      <w:pPr>
        <w:ind w:left="3543" w:hanging="360"/>
      </w:pPr>
      <w:rPr>
        <w:rFonts w:hint="default"/>
        <w:lang w:val="en-GB" w:eastAsia="en-GB" w:bidi="en-GB"/>
      </w:rPr>
    </w:lvl>
    <w:lvl w:ilvl="4">
      <w:numFmt w:val="bullet"/>
      <w:lvlText w:val="•"/>
      <w:lvlJc w:val="left"/>
      <w:pPr>
        <w:ind w:left="4615" w:hanging="360"/>
      </w:pPr>
      <w:rPr>
        <w:rFonts w:hint="default"/>
        <w:lang w:val="en-GB" w:eastAsia="en-GB" w:bidi="en-GB"/>
      </w:rPr>
    </w:lvl>
    <w:lvl w:ilvl="5">
      <w:numFmt w:val="bullet"/>
      <w:lvlText w:val="•"/>
      <w:lvlJc w:val="left"/>
      <w:pPr>
        <w:ind w:left="5687" w:hanging="360"/>
      </w:pPr>
      <w:rPr>
        <w:rFonts w:hint="default"/>
        <w:lang w:val="en-GB" w:eastAsia="en-GB" w:bidi="en-GB"/>
      </w:rPr>
    </w:lvl>
    <w:lvl w:ilvl="6">
      <w:numFmt w:val="bullet"/>
      <w:lvlText w:val="•"/>
      <w:lvlJc w:val="left"/>
      <w:pPr>
        <w:ind w:left="6759" w:hanging="360"/>
      </w:pPr>
      <w:rPr>
        <w:rFonts w:hint="default"/>
        <w:lang w:val="en-GB" w:eastAsia="en-GB" w:bidi="en-GB"/>
      </w:rPr>
    </w:lvl>
    <w:lvl w:ilvl="7">
      <w:numFmt w:val="bullet"/>
      <w:lvlText w:val="•"/>
      <w:lvlJc w:val="left"/>
      <w:pPr>
        <w:ind w:left="7830" w:hanging="360"/>
      </w:pPr>
      <w:rPr>
        <w:rFonts w:hint="default"/>
        <w:lang w:val="en-GB" w:eastAsia="en-GB" w:bidi="en-GB"/>
      </w:rPr>
    </w:lvl>
    <w:lvl w:ilvl="8">
      <w:numFmt w:val="bullet"/>
      <w:lvlText w:val="•"/>
      <w:lvlJc w:val="left"/>
      <w:pPr>
        <w:ind w:left="8902" w:hanging="360"/>
      </w:pPr>
      <w:rPr>
        <w:rFonts w:hint="default"/>
        <w:lang w:val="en-GB" w:eastAsia="en-GB" w:bidi="en-GB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E33"/>
    <w:rsid w:val="00132707"/>
    <w:rsid w:val="00343E33"/>
    <w:rsid w:val="004F1423"/>
    <w:rsid w:val="00D43723"/>
    <w:rsid w:val="00F81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BAFF1"/>
  <w15:chartTrackingRefBased/>
  <w15:docId w15:val="{C897838E-ED09-4498-9FD6-BA706102D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3E3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43E33"/>
  </w:style>
  <w:style w:type="character" w:customStyle="1" w:styleId="BodyTextChar">
    <w:name w:val="Body Text Char"/>
    <w:basedOn w:val="DefaultParagraphFont"/>
    <w:link w:val="BodyText"/>
    <w:uiPriority w:val="1"/>
    <w:rsid w:val="00343E33"/>
    <w:rPr>
      <w:rFonts w:ascii="Calibri" w:eastAsia="Calibri" w:hAnsi="Calibri" w:cs="Calibri"/>
      <w:lang w:eastAsia="en-GB" w:bidi="en-GB"/>
    </w:rPr>
  </w:style>
  <w:style w:type="paragraph" w:customStyle="1" w:styleId="TableParagraph">
    <w:name w:val="Table Paragraph"/>
    <w:basedOn w:val="Normal"/>
    <w:uiPriority w:val="1"/>
    <w:qFormat/>
    <w:rsid w:val="00343E33"/>
    <w:pPr>
      <w:jc w:val="center"/>
    </w:pPr>
  </w:style>
  <w:style w:type="paragraph" w:styleId="ListParagraph">
    <w:name w:val="List Paragraph"/>
    <w:basedOn w:val="Normal"/>
    <w:uiPriority w:val="1"/>
    <w:qFormat/>
    <w:rsid w:val="00D43723"/>
    <w:pPr>
      <w:ind w:left="940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416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Bradford</Company>
  <LinksUpToDate>false</LinksUpToDate>
  <CharactersWithSpaces>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JMontagu</dc:creator>
  <cp:keywords/>
  <dc:description/>
  <cp:lastModifiedBy>JMontagu</cp:lastModifiedBy>
  <cp:revision>3</cp:revision>
  <dcterms:created xsi:type="dcterms:W3CDTF">2021-02-26T09:31:00Z</dcterms:created>
  <dcterms:modified xsi:type="dcterms:W3CDTF">2021-05-12T08:30:00Z</dcterms:modified>
</cp:coreProperties>
</file>