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629F" w:rsidRPr="00E73D9E" w:rsidRDefault="0035629F" w:rsidP="0035629F">
      <w:pPr>
        <w:pStyle w:val="ListParagraph"/>
        <w:widowControl/>
        <w:autoSpaceDE/>
        <w:autoSpaceDN/>
        <w:spacing w:after="160" w:line="259" w:lineRule="auto"/>
        <w:ind w:left="720" w:firstLine="0"/>
        <w:contextualSpacing/>
        <w:rPr>
          <w:b/>
          <w:sz w:val="28"/>
          <w:szCs w:val="28"/>
        </w:rPr>
      </w:pPr>
      <w:r w:rsidRPr="00E73D9E">
        <w:rPr>
          <w:b/>
          <w:sz w:val="28"/>
          <w:szCs w:val="28"/>
        </w:rPr>
        <w:t xml:space="preserve">Appendix 1: </w:t>
      </w:r>
      <w:r w:rsidRPr="00E73D9E">
        <w:rPr>
          <w:b/>
          <w:sz w:val="28"/>
          <w:szCs w:val="28"/>
        </w:rPr>
        <w:t>Stages of Implementation checklist</w:t>
      </w:r>
    </w:p>
    <w:p w:rsidR="0035629F" w:rsidRPr="0035629F" w:rsidRDefault="0035629F" w:rsidP="0035629F">
      <w:pPr>
        <w:tabs>
          <w:tab w:val="left" w:pos="1400"/>
          <w:tab w:val="left" w:pos="1401"/>
        </w:tabs>
        <w:spacing w:before="41"/>
        <w:ind w:left="709"/>
        <w:rPr>
          <w:b/>
          <w:sz w:val="24"/>
        </w:rPr>
      </w:pPr>
    </w:p>
    <w:p w:rsidR="0035629F" w:rsidRPr="0035629F" w:rsidRDefault="0035629F" w:rsidP="0035629F">
      <w:pPr>
        <w:tabs>
          <w:tab w:val="left" w:pos="1400"/>
          <w:tab w:val="left" w:pos="1401"/>
        </w:tabs>
        <w:spacing w:before="41"/>
        <w:rPr>
          <w:b/>
          <w:sz w:val="24"/>
        </w:rPr>
      </w:pPr>
    </w:p>
    <w:p w:rsidR="00B43378" w:rsidRDefault="00B43378" w:rsidP="00B43378">
      <w:pPr>
        <w:pStyle w:val="BodyText"/>
        <w:spacing w:before="10"/>
        <w:rPr>
          <w:b/>
          <w:sz w:val="19"/>
        </w:rPr>
      </w:pPr>
    </w:p>
    <w:p w:rsidR="00B43378" w:rsidRDefault="00E73D9E" w:rsidP="00B43378">
      <w:pPr>
        <w:pStyle w:val="BodyText"/>
        <w:spacing w:line="276" w:lineRule="auto"/>
        <w:ind w:left="680" w:right="1333"/>
        <w:jc w:val="both"/>
      </w:pPr>
      <w:r>
        <w:t>The table bel</w:t>
      </w:r>
      <w:r w:rsidR="0035629F">
        <w:t>o</w:t>
      </w:r>
      <w:r>
        <w:t>w</w:t>
      </w:r>
      <w:r w:rsidR="0035629F">
        <w:t xml:space="preserve"> </w:t>
      </w:r>
      <w:r w:rsidR="00B43378">
        <w:t>summarises the number of weeks from ‘start date of implementation to PSH embedded date’ for all embedded wards (n=75). The PSH on wards in SJUH and LGI achieved embedded status more quickly when compared to the other hospitals and within the 24 week period set for scaling up. The mean number of weeks for the three other hospitals (CAH, BGH and SGH) all exceeded this 24 week per</w:t>
      </w:r>
      <w:r w:rsidR="0035629F">
        <w:t xml:space="preserve">iod. However, the overall mean </w:t>
      </w:r>
      <w:r w:rsidR="00B43378">
        <w:t>for all wards (19.6) was within the anticipated 24</w:t>
      </w:r>
      <w:r w:rsidR="00B43378">
        <w:rPr>
          <w:spacing w:val="-10"/>
        </w:rPr>
        <w:t xml:space="preserve"> </w:t>
      </w:r>
      <w:r w:rsidR="00B43378">
        <w:t>weeks.</w:t>
      </w:r>
    </w:p>
    <w:p w:rsidR="00E73D9E" w:rsidRDefault="00E73D9E" w:rsidP="00B43378">
      <w:pPr>
        <w:pStyle w:val="BodyText"/>
        <w:spacing w:line="276" w:lineRule="auto"/>
        <w:ind w:left="680" w:right="1333"/>
        <w:jc w:val="both"/>
      </w:pPr>
    </w:p>
    <w:p w:rsidR="00E73D9E" w:rsidRDefault="00E73D9E" w:rsidP="00B43378">
      <w:pPr>
        <w:pStyle w:val="BodyText"/>
        <w:spacing w:line="276" w:lineRule="auto"/>
        <w:ind w:left="680" w:right="1333"/>
        <w:jc w:val="both"/>
      </w:pPr>
    </w:p>
    <w:p w:rsidR="00E73D9E" w:rsidRDefault="00E73D9E" w:rsidP="00B43378">
      <w:pPr>
        <w:pStyle w:val="BodyText"/>
        <w:spacing w:line="276" w:lineRule="auto"/>
        <w:ind w:left="680" w:right="1333"/>
        <w:jc w:val="both"/>
      </w:pPr>
      <w:bookmarkStart w:id="0" w:name="_GoBack"/>
      <w:bookmarkEnd w:id="0"/>
    </w:p>
    <w:p w:rsidR="00B43378" w:rsidRDefault="00B43378" w:rsidP="00B43378">
      <w:pPr>
        <w:pStyle w:val="BodyText"/>
        <w:spacing w:before="8"/>
        <w:rPr>
          <w:sz w:val="16"/>
        </w:rPr>
      </w:pPr>
    </w:p>
    <w:tbl>
      <w:tblPr>
        <w:tblW w:w="864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23"/>
        <w:gridCol w:w="1752"/>
        <w:gridCol w:w="1570"/>
        <w:gridCol w:w="1572"/>
        <w:gridCol w:w="1225"/>
      </w:tblGrid>
      <w:tr w:rsidR="00B43378" w:rsidTr="00B43378">
        <w:trPr>
          <w:trHeight w:val="268"/>
        </w:trPr>
        <w:tc>
          <w:tcPr>
            <w:tcW w:w="2523" w:type="dxa"/>
          </w:tcPr>
          <w:p w:rsidR="00B43378" w:rsidRDefault="00B43378" w:rsidP="0004627E">
            <w:pPr>
              <w:pStyle w:val="TableParagraph"/>
              <w:spacing w:line="248" w:lineRule="exact"/>
              <w:ind w:left="653" w:right="646"/>
              <w:rPr>
                <w:b/>
              </w:rPr>
            </w:pPr>
            <w:r>
              <w:rPr>
                <w:b/>
              </w:rPr>
              <w:t>Wards</w:t>
            </w:r>
          </w:p>
        </w:tc>
        <w:tc>
          <w:tcPr>
            <w:tcW w:w="1752" w:type="dxa"/>
          </w:tcPr>
          <w:p w:rsidR="00B43378" w:rsidRDefault="00B43378" w:rsidP="0004627E">
            <w:pPr>
              <w:pStyle w:val="TableParagraph"/>
              <w:spacing w:line="248" w:lineRule="exact"/>
              <w:ind w:left="121" w:right="113"/>
              <w:rPr>
                <w:b/>
              </w:rPr>
            </w:pPr>
            <w:r>
              <w:rPr>
                <w:b/>
              </w:rPr>
              <w:t>Median (weeks)</w:t>
            </w:r>
          </w:p>
        </w:tc>
        <w:tc>
          <w:tcPr>
            <w:tcW w:w="1570" w:type="dxa"/>
          </w:tcPr>
          <w:p w:rsidR="00B43378" w:rsidRDefault="00B43378" w:rsidP="0004627E">
            <w:pPr>
              <w:pStyle w:val="TableParagraph"/>
              <w:spacing w:line="248" w:lineRule="exact"/>
              <w:ind w:left="116" w:right="107"/>
              <w:rPr>
                <w:b/>
              </w:rPr>
            </w:pPr>
            <w:r>
              <w:rPr>
                <w:b/>
              </w:rPr>
              <w:t>Mean (weeks)</w:t>
            </w:r>
          </w:p>
        </w:tc>
        <w:tc>
          <w:tcPr>
            <w:tcW w:w="1572" w:type="dxa"/>
          </w:tcPr>
          <w:p w:rsidR="00B43378" w:rsidRDefault="00B43378" w:rsidP="0004627E">
            <w:pPr>
              <w:pStyle w:val="TableParagraph"/>
              <w:spacing w:line="248" w:lineRule="exact"/>
              <w:ind w:left="198" w:right="193"/>
              <w:rPr>
                <w:b/>
              </w:rPr>
            </w:pPr>
            <w:r>
              <w:rPr>
                <w:b/>
              </w:rPr>
              <w:t>Min (weeks)</w:t>
            </w:r>
          </w:p>
        </w:tc>
        <w:tc>
          <w:tcPr>
            <w:tcW w:w="1225" w:type="dxa"/>
          </w:tcPr>
          <w:p w:rsidR="00B43378" w:rsidRDefault="00B43378" w:rsidP="0004627E">
            <w:pPr>
              <w:pStyle w:val="TableParagraph"/>
              <w:spacing w:line="248" w:lineRule="exact"/>
              <w:ind w:left="197" w:right="186"/>
              <w:rPr>
                <w:b/>
              </w:rPr>
            </w:pPr>
            <w:r>
              <w:rPr>
                <w:b/>
              </w:rPr>
              <w:t>Max (weeks)</w:t>
            </w:r>
          </w:p>
        </w:tc>
      </w:tr>
      <w:tr w:rsidR="00B43378" w:rsidTr="00B43378">
        <w:trPr>
          <w:trHeight w:val="537"/>
        </w:trPr>
        <w:tc>
          <w:tcPr>
            <w:tcW w:w="2523" w:type="dxa"/>
          </w:tcPr>
          <w:p w:rsidR="00B43378" w:rsidRDefault="00B43378" w:rsidP="0004627E">
            <w:pPr>
              <w:pStyle w:val="TableParagraph"/>
              <w:spacing w:line="265" w:lineRule="exact"/>
              <w:ind w:left="654" w:right="645"/>
            </w:pPr>
            <w:r>
              <w:t>All</w:t>
            </w:r>
          </w:p>
          <w:p w:rsidR="00B43378" w:rsidRDefault="00B43378" w:rsidP="0004627E">
            <w:pPr>
              <w:pStyle w:val="TableParagraph"/>
              <w:spacing w:before="1" w:line="252" w:lineRule="exact"/>
              <w:ind w:left="654" w:right="646"/>
            </w:pPr>
            <w:r>
              <w:t>(n=75 wards)</w:t>
            </w:r>
          </w:p>
        </w:tc>
        <w:tc>
          <w:tcPr>
            <w:tcW w:w="1752" w:type="dxa"/>
          </w:tcPr>
          <w:p w:rsidR="00B43378" w:rsidRDefault="00B43378" w:rsidP="0004627E">
            <w:pPr>
              <w:pStyle w:val="TableParagraph"/>
              <w:spacing w:before="131"/>
              <w:ind w:left="121" w:right="112"/>
            </w:pPr>
            <w:r>
              <w:t>13</w:t>
            </w:r>
          </w:p>
        </w:tc>
        <w:tc>
          <w:tcPr>
            <w:tcW w:w="1570" w:type="dxa"/>
          </w:tcPr>
          <w:p w:rsidR="00B43378" w:rsidRDefault="00B43378" w:rsidP="0004627E">
            <w:pPr>
              <w:pStyle w:val="TableParagraph"/>
              <w:spacing w:before="131"/>
              <w:ind w:left="115" w:right="107"/>
            </w:pPr>
            <w:r>
              <w:t>19.6</w:t>
            </w:r>
          </w:p>
        </w:tc>
        <w:tc>
          <w:tcPr>
            <w:tcW w:w="1572" w:type="dxa"/>
          </w:tcPr>
          <w:p w:rsidR="00B43378" w:rsidRDefault="00B43378" w:rsidP="0004627E">
            <w:pPr>
              <w:pStyle w:val="TableParagraph"/>
              <w:spacing w:before="131"/>
              <w:ind w:left="8"/>
            </w:pPr>
            <w:r>
              <w:t>1</w:t>
            </w:r>
          </w:p>
        </w:tc>
        <w:tc>
          <w:tcPr>
            <w:tcW w:w="1225" w:type="dxa"/>
          </w:tcPr>
          <w:p w:rsidR="00B43378" w:rsidRDefault="00B43378" w:rsidP="0004627E">
            <w:pPr>
              <w:pStyle w:val="TableParagraph"/>
              <w:spacing w:before="131"/>
              <w:ind w:left="197" w:right="185"/>
            </w:pPr>
            <w:r>
              <w:t>86</w:t>
            </w:r>
          </w:p>
        </w:tc>
      </w:tr>
      <w:tr w:rsidR="00B43378" w:rsidTr="00B43378">
        <w:trPr>
          <w:trHeight w:val="537"/>
        </w:trPr>
        <w:tc>
          <w:tcPr>
            <w:tcW w:w="2523" w:type="dxa"/>
          </w:tcPr>
          <w:p w:rsidR="00B43378" w:rsidRDefault="00B43378" w:rsidP="0004627E">
            <w:pPr>
              <w:pStyle w:val="TableParagraph"/>
              <w:spacing w:line="265" w:lineRule="exact"/>
              <w:ind w:left="654" w:right="645"/>
            </w:pPr>
            <w:r>
              <w:t>SJUH</w:t>
            </w:r>
          </w:p>
          <w:p w:rsidR="00B43378" w:rsidRDefault="00B43378" w:rsidP="0004627E">
            <w:pPr>
              <w:pStyle w:val="TableParagraph"/>
              <w:spacing w:line="252" w:lineRule="exact"/>
              <w:ind w:left="654" w:right="646"/>
            </w:pPr>
            <w:r>
              <w:t>(n=31 wards)</w:t>
            </w:r>
          </w:p>
        </w:tc>
        <w:tc>
          <w:tcPr>
            <w:tcW w:w="1752" w:type="dxa"/>
          </w:tcPr>
          <w:p w:rsidR="00B43378" w:rsidRDefault="00B43378" w:rsidP="0004627E">
            <w:pPr>
              <w:pStyle w:val="TableParagraph"/>
              <w:spacing w:before="131"/>
              <w:ind w:left="121" w:right="112"/>
            </w:pPr>
            <w:r>
              <w:t>13</w:t>
            </w:r>
          </w:p>
        </w:tc>
        <w:tc>
          <w:tcPr>
            <w:tcW w:w="1570" w:type="dxa"/>
          </w:tcPr>
          <w:p w:rsidR="00B43378" w:rsidRDefault="00B43378" w:rsidP="0004627E">
            <w:pPr>
              <w:pStyle w:val="TableParagraph"/>
              <w:spacing w:before="131"/>
              <w:ind w:left="116" w:right="107"/>
            </w:pPr>
            <w:r>
              <w:t>18</w:t>
            </w:r>
          </w:p>
        </w:tc>
        <w:tc>
          <w:tcPr>
            <w:tcW w:w="1572" w:type="dxa"/>
          </w:tcPr>
          <w:p w:rsidR="00B43378" w:rsidRDefault="00B43378" w:rsidP="0004627E">
            <w:pPr>
              <w:pStyle w:val="TableParagraph"/>
              <w:spacing w:before="131"/>
              <w:ind w:left="8"/>
            </w:pPr>
            <w:r>
              <w:t>2</w:t>
            </w:r>
          </w:p>
        </w:tc>
        <w:tc>
          <w:tcPr>
            <w:tcW w:w="1225" w:type="dxa"/>
          </w:tcPr>
          <w:p w:rsidR="00B43378" w:rsidRDefault="00B43378" w:rsidP="0004627E">
            <w:pPr>
              <w:pStyle w:val="TableParagraph"/>
              <w:spacing w:before="131"/>
              <w:ind w:left="197" w:right="185"/>
            </w:pPr>
            <w:r>
              <w:t>86</w:t>
            </w:r>
          </w:p>
        </w:tc>
      </w:tr>
      <w:tr w:rsidR="00B43378" w:rsidTr="00B43378">
        <w:trPr>
          <w:trHeight w:val="537"/>
        </w:trPr>
        <w:tc>
          <w:tcPr>
            <w:tcW w:w="2523" w:type="dxa"/>
          </w:tcPr>
          <w:p w:rsidR="00B43378" w:rsidRDefault="00B43378" w:rsidP="0004627E">
            <w:pPr>
              <w:pStyle w:val="TableParagraph"/>
              <w:spacing w:line="265" w:lineRule="exact"/>
              <w:ind w:left="653" w:right="646"/>
            </w:pPr>
            <w:r>
              <w:t>CA</w:t>
            </w:r>
          </w:p>
          <w:p w:rsidR="00B43378" w:rsidRDefault="00B43378" w:rsidP="0004627E">
            <w:pPr>
              <w:pStyle w:val="TableParagraph"/>
              <w:spacing w:line="252" w:lineRule="exact"/>
              <w:ind w:left="654" w:right="646"/>
            </w:pPr>
            <w:r>
              <w:t>(n=3 wards)</w:t>
            </w:r>
          </w:p>
        </w:tc>
        <w:tc>
          <w:tcPr>
            <w:tcW w:w="1752" w:type="dxa"/>
          </w:tcPr>
          <w:p w:rsidR="00B43378" w:rsidRDefault="00B43378" w:rsidP="0004627E">
            <w:pPr>
              <w:pStyle w:val="TableParagraph"/>
              <w:spacing w:before="131"/>
              <w:ind w:left="121" w:right="112"/>
            </w:pPr>
            <w:r>
              <w:t>61</w:t>
            </w:r>
          </w:p>
        </w:tc>
        <w:tc>
          <w:tcPr>
            <w:tcW w:w="1570" w:type="dxa"/>
          </w:tcPr>
          <w:p w:rsidR="00B43378" w:rsidRDefault="00B43378" w:rsidP="0004627E">
            <w:pPr>
              <w:pStyle w:val="TableParagraph"/>
              <w:spacing w:before="131"/>
              <w:ind w:left="116" w:right="107"/>
            </w:pPr>
            <w:r>
              <w:t>48</w:t>
            </w:r>
          </w:p>
        </w:tc>
        <w:tc>
          <w:tcPr>
            <w:tcW w:w="1572" w:type="dxa"/>
          </w:tcPr>
          <w:p w:rsidR="00B43378" w:rsidRDefault="00B43378" w:rsidP="0004627E">
            <w:pPr>
              <w:pStyle w:val="TableParagraph"/>
              <w:spacing w:before="131"/>
              <w:ind w:left="8"/>
            </w:pPr>
            <w:r>
              <w:t>5</w:t>
            </w:r>
          </w:p>
        </w:tc>
        <w:tc>
          <w:tcPr>
            <w:tcW w:w="1225" w:type="dxa"/>
          </w:tcPr>
          <w:p w:rsidR="00B43378" w:rsidRDefault="00B43378" w:rsidP="0004627E">
            <w:pPr>
              <w:pStyle w:val="TableParagraph"/>
              <w:spacing w:before="131"/>
              <w:ind w:left="197" w:right="185"/>
            </w:pPr>
            <w:r>
              <w:t>79</w:t>
            </w:r>
          </w:p>
        </w:tc>
      </w:tr>
      <w:tr w:rsidR="00B43378" w:rsidTr="00B43378">
        <w:trPr>
          <w:trHeight w:val="537"/>
        </w:trPr>
        <w:tc>
          <w:tcPr>
            <w:tcW w:w="2523" w:type="dxa"/>
          </w:tcPr>
          <w:p w:rsidR="00B43378" w:rsidRDefault="00B43378" w:rsidP="0004627E">
            <w:pPr>
              <w:pStyle w:val="TableParagraph"/>
              <w:spacing w:line="265" w:lineRule="exact"/>
              <w:ind w:left="652" w:right="646"/>
            </w:pPr>
            <w:r>
              <w:t>LGI</w:t>
            </w:r>
          </w:p>
          <w:p w:rsidR="00B43378" w:rsidRDefault="00B43378" w:rsidP="0004627E">
            <w:pPr>
              <w:pStyle w:val="TableParagraph"/>
              <w:spacing w:line="252" w:lineRule="exact"/>
              <w:ind w:left="654" w:right="646"/>
            </w:pPr>
            <w:r>
              <w:t>(n=18 wards)</w:t>
            </w:r>
          </w:p>
        </w:tc>
        <w:tc>
          <w:tcPr>
            <w:tcW w:w="1752" w:type="dxa"/>
          </w:tcPr>
          <w:p w:rsidR="00B43378" w:rsidRDefault="00B43378" w:rsidP="0004627E">
            <w:pPr>
              <w:pStyle w:val="TableParagraph"/>
              <w:spacing w:before="131"/>
              <w:ind w:left="10"/>
            </w:pPr>
            <w:r>
              <w:t>9</w:t>
            </w:r>
          </w:p>
        </w:tc>
        <w:tc>
          <w:tcPr>
            <w:tcW w:w="1570" w:type="dxa"/>
          </w:tcPr>
          <w:p w:rsidR="00B43378" w:rsidRDefault="00B43378" w:rsidP="0004627E">
            <w:pPr>
              <w:pStyle w:val="TableParagraph"/>
              <w:spacing w:before="131"/>
              <w:ind w:left="116" w:right="107"/>
            </w:pPr>
            <w:r>
              <w:t>18</w:t>
            </w:r>
          </w:p>
        </w:tc>
        <w:tc>
          <w:tcPr>
            <w:tcW w:w="1572" w:type="dxa"/>
          </w:tcPr>
          <w:p w:rsidR="00B43378" w:rsidRDefault="00B43378" w:rsidP="0004627E">
            <w:pPr>
              <w:pStyle w:val="TableParagraph"/>
              <w:spacing w:before="131"/>
              <w:ind w:left="8"/>
            </w:pPr>
            <w:r>
              <w:t>1</w:t>
            </w:r>
          </w:p>
        </w:tc>
        <w:tc>
          <w:tcPr>
            <w:tcW w:w="1225" w:type="dxa"/>
          </w:tcPr>
          <w:p w:rsidR="00B43378" w:rsidRDefault="00B43378" w:rsidP="0004627E">
            <w:pPr>
              <w:pStyle w:val="TableParagraph"/>
              <w:spacing w:before="131"/>
              <w:ind w:left="197" w:right="185"/>
            </w:pPr>
            <w:r>
              <w:t>57</w:t>
            </w:r>
          </w:p>
        </w:tc>
      </w:tr>
      <w:tr w:rsidR="00B43378" w:rsidTr="00B43378">
        <w:trPr>
          <w:trHeight w:val="537"/>
        </w:trPr>
        <w:tc>
          <w:tcPr>
            <w:tcW w:w="2523" w:type="dxa"/>
          </w:tcPr>
          <w:p w:rsidR="00B43378" w:rsidRDefault="00B43378" w:rsidP="0004627E">
            <w:pPr>
              <w:pStyle w:val="TableParagraph"/>
              <w:spacing w:line="265" w:lineRule="exact"/>
              <w:ind w:left="653" w:right="646"/>
            </w:pPr>
            <w:r>
              <w:t>Barnsley</w:t>
            </w:r>
          </w:p>
          <w:p w:rsidR="00B43378" w:rsidRDefault="00B43378" w:rsidP="0004627E">
            <w:pPr>
              <w:pStyle w:val="TableParagraph"/>
              <w:spacing w:line="252" w:lineRule="exact"/>
              <w:ind w:left="654" w:right="646"/>
            </w:pPr>
            <w:r>
              <w:t>(n=11 wards)</w:t>
            </w:r>
          </w:p>
        </w:tc>
        <w:tc>
          <w:tcPr>
            <w:tcW w:w="1752" w:type="dxa"/>
          </w:tcPr>
          <w:p w:rsidR="00B43378" w:rsidRDefault="00B43378" w:rsidP="0004627E">
            <w:pPr>
              <w:pStyle w:val="TableParagraph"/>
              <w:spacing w:before="131"/>
              <w:ind w:left="121" w:right="113"/>
            </w:pPr>
            <w:r>
              <w:t>30.5</w:t>
            </w:r>
          </w:p>
        </w:tc>
        <w:tc>
          <w:tcPr>
            <w:tcW w:w="1570" w:type="dxa"/>
          </w:tcPr>
          <w:p w:rsidR="00B43378" w:rsidRDefault="00B43378" w:rsidP="0004627E">
            <w:pPr>
              <w:pStyle w:val="TableParagraph"/>
              <w:spacing w:before="131"/>
              <w:ind w:left="116" w:right="107"/>
            </w:pPr>
            <w:r>
              <w:t>36</w:t>
            </w:r>
          </w:p>
        </w:tc>
        <w:tc>
          <w:tcPr>
            <w:tcW w:w="1572" w:type="dxa"/>
          </w:tcPr>
          <w:p w:rsidR="00B43378" w:rsidRDefault="00B43378" w:rsidP="0004627E">
            <w:pPr>
              <w:pStyle w:val="TableParagraph"/>
              <w:spacing w:before="131"/>
              <w:ind w:left="8"/>
            </w:pPr>
            <w:r>
              <w:t>5</w:t>
            </w:r>
          </w:p>
        </w:tc>
        <w:tc>
          <w:tcPr>
            <w:tcW w:w="1225" w:type="dxa"/>
          </w:tcPr>
          <w:p w:rsidR="00B43378" w:rsidRDefault="00B43378" w:rsidP="0004627E">
            <w:pPr>
              <w:pStyle w:val="TableParagraph"/>
              <w:spacing w:before="131"/>
              <w:ind w:left="197" w:right="185"/>
            </w:pPr>
            <w:r>
              <w:t>71</w:t>
            </w:r>
          </w:p>
        </w:tc>
      </w:tr>
      <w:tr w:rsidR="00B43378" w:rsidTr="00B43378">
        <w:trPr>
          <w:trHeight w:val="537"/>
        </w:trPr>
        <w:tc>
          <w:tcPr>
            <w:tcW w:w="2523" w:type="dxa"/>
          </w:tcPr>
          <w:p w:rsidR="00B43378" w:rsidRDefault="00B43378" w:rsidP="0004627E">
            <w:pPr>
              <w:pStyle w:val="TableParagraph"/>
              <w:spacing w:line="265" w:lineRule="exact"/>
              <w:ind w:left="690"/>
              <w:jc w:val="left"/>
            </w:pPr>
            <w:r>
              <w:t>Scarborough</w:t>
            </w:r>
          </w:p>
          <w:p w:rsidR="00B43378" w:rsidRDefault="00B43378" w:rsidP="0004627E">
            <w:pPr>
              <w:pStyle w:val="TableParagraph"/>
              <w:spacing w:line="252" w:lineRule="exact"/>
              <w:ind w:left="674"/>
              <w:jc w:val="left"/>
            </w:pPr>
            <w:r>
              <w:t>(n=12</w:t>
            </w:r>
            <w:r>
              <w:rPr>
                <w:spacing w:val="-6"/>
              </w:rPr>
              <w:t xml:space="preserve"> </w:t>
            </w:r>
            <w:r>
              <w:t>wards)</w:t>
            </w:r>
          </w:p>
        </w:tc>
        <w:tc>
          <w:tcPr>
            <w:tcW w:w="1752" w:type="dxa"/>
          </w:tcPr>
          <w:p w:rsidR="00B43378" w:rsidRDefault="00B43378" w:rsidP="0004627E">
            <w:pPr>
              <w:pStyle w:val="TableParagraph"/>
              <w:spacing w:before="131"/>
              <w:ind w:left="121" w:right="112"/>
            </w:pPr>
            <w:r>
              <w:t>18</w:t>
            </w:r>
          </w:p>
        </w:tc>
        <w:tc>
          <w:tcPr>
            <w:tcW w:w="1570" w:type="dxa"/>
          </w:tcPr>
          <w:p w:rsidR="00B43378" w:rsidRDefault="00B43378" w:rsidP="0004627E">
            <w:pPr>
              <w:pStyle w:val="TableParagraph"/>
              <w:spacing w:before="131"/>
              <w:ind w:left="116" w:right="107"/>
            </w:pPr>
            <w:r>
              <w:t>25</w:t>
            </w:r>
          </w:p>
        </w:tc>
        <w:tc>
          <w:tcPr>
            <w:tcW w:w="1572" w:type="dxa"/>
          </w:tcPr>
          <w:p w:rsidR="00B43378" w:rsidRDefault="00B43378" w:rsidP="0004627E">
            <w:pPr>
              <w:pStyle w:val="TableParagraph"/>
              <w:spacing w:before="131"/>
              <w:ind w:left="8"/>
            </w:pPr>
            <w:r>
              <w:t>6</w:t>
            </w:r>
          </w:p>
        </w:tc>
        <w:tc>
          <w:tcPr>
            <w:tcW w:w="1225" w:type="dxa"/>
          </w:tcPr>
          <w:p w:rsidR="00B43378" w:rsidRDefault="00B43378" w:rsidP="0004627E">
            <w:pPr>
              <w:pStyle w:val="TableParagraph"/>
              <w:spacing w:before="131"/>
              <w:ind w:left="197" w:right="185"/>
            </w:pPr>
            <w:r>
              <w:t>85</w:t>
            </w:r>
          </w:p>
        </w:tc>
      </w:tr>
    </w:tbl>
    <w:p w:rsidR="00B43378" w:rsidRDefault="00B43378" w:rsidP="00B43378">
      <w:pPr>
        <w:pStyle w:val="BodyText"/>
        <w:spacing w:before="5"/>
        <w:rPr>
          <w:sz w:val="16"/>
        </w:rPr>
      </w:pPr>
    </w:p>
    <w:p w:rsidR="00B43378" w:rsidRDefault="00B43378" w:rsidP="00B43378">
      <w:pPr>
        <w:ind w:left="680"/>
        <w:rPr>
          <w:b/>
          <w:sz w:val="18"/>
        </w:rPr>
      </w:pPr>
      <w:bookmarkStart w:id="1" w:name="_bookmark57"/>
      <w:bookmarkEnd w:id="1"/>
      <w:r>
        <w:rPr>
          <w:b/>
          <w:sz w:val="18"/>
        </w:rPr>
        <w:t>Number of weeks between start date and embedded date for embedded wards (n=75)</w:t>
      </w:r>
    </w:p>
    <w:p w:rsidR="00F816CE" w:rsidRDefault="00F816CE"/>
    <w:sectPr w:rsidR="00F816CE" w:rsidSect="0035629F">
      <w:pgSz w:w="11906" w:h="16838" w:code="9"/>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1C2564"/>
    <w:multiLevelType w:val="multilevel"/>
    <w:tmpl w:val="88F83D0E"/>
    <w:lvl w:ilvl="0">
      <w:start w:val="4"/>
      <w:numFmt w:val="decimal"/>
      <w:lvlText w:val="%1"/>
      <w:lvlJc w:val="left"/>
      <w:pPr>
        <w:ind w:left="1400" w:hanging="720"/>
      </w:pPr>
      <w:rPr>
        <w:rFonts w:hint="default"/>
        <w:lang w:val="en-GB" w:eastAsia="en-GB" w:bidi="en-GB"/>
      </w:rPr>
    </w:lvl>
    <w:lvl w:ilvl="1">
      <w:start w:val="4"/>
      <w:numFmt w:val="decimal"/>
      <w:lvlText w:val="%1.%2"/>
      <w:lvlJc w:val="left"/>
      <w:pPr>
        <w:ind w:left="1400" w:hanging="720"/>
      </w:pPr>
      <w:rPr>
        <w:rFonts w:hint="default"/>
        <w:lang w:val="en-GB" w:eastAsia="en-GB" w:bidi="en-GB"/>
      </w:rPr>
    </w:lvl>
    <w:lvl w:ilvl="2">
      <w:start w:val="2"/>
      <w:numFmt w:val="decimal"/>
      <w:lvlText w:val="%1.%2.%3"/>
      <w:lvlJc w:val="left"/>
      <w:pPr>
        <w:ind w:left="1429" w:hanging="720"/>
      </w:pPr>
      <w:rPr>
        <w:rFonts w:ascii="Calibri" w:eastAsia="Calibri" w:hAnsi="Calibri" w:cs="Calibri" w:hint="default"/>
        <w:b/>
        <w:bCs/>
        <w:spacing w:val="-2"/>
        <w:w w:val="100"/>
        <w:sz w:val="24"/>
        <w:szCs w:val="24"/>
        <w:lang w:val="en-GB" w:eastAsia="en-GB" w:bidi="en-GB"/>
      </w:rPr>
    </w:lvl>
    <w:lvl w:ilvl="3">
      <w:numFmt w:val="bullet"/>
      <w:lvlText w:val="•"/>
      <w:lvlJc w:val="left"/>
      <w:pPr>
        <w:ind w:left="4293" w:hanging="720"/>
      </w:pPr>
      <w:rPr>
        <w:rFonts w:hint="default"/>
        <w:lang w:val="en-GB" w:eastAsia="en-GB" w:bidi="en-GB"/>
      </w:rPr>
    </w:lvl>
    <w:lvl w:ilvl="4">
      <w:numFmt w:val="bullet"/>
      <w:lvlText w:val="•"/>
      <w:lvlJc w:val="left"/>
      <w:pPr>
        <w:ind w:left="5258" w:hanging="720"/>
      </w:pPr>
      <w:rPr>
        <w:rFonts w:hint="default"/>
        <w:lang w:val="en-GB" w:eastAsia="en-GB" w:bidi="en-GB"/>
      </w:rPr>
    </w:lvl>
    <w:lvl w:ilvl="5">
      <w:numFmt w:val="bullet"/>
      <w:lvlText w:val="•"/>
      <w:lvlJc w:val="left"/>
      <w:pPr>
        <w:ind w:left="6223" w:hanging="720"/>
      </w:pPr>
      <w:rPr>
        <w:rFonts w:hint="default"/>
        <w:lang w:val="en-GB" w:eastAsia="en-GB" w:bidi="en-GB"/>
      </w:rPr>
    </w:lvl>
    <w:lvl w:ilvl="6">
      <w:numFmt w:val="bullet"/>
      <w:lvlText w:val="•"/>
      <w:lvlJc w:val="left"/>
      <w:pPr>
        <w:ind w:left="7187" w:hanging="720"/>
      </w:pPr>
      <w:rPr>
        <w:rFonts w:hint="default"/>
        <w:lang w:val="en-GB" w:eastAsia="en-GB" w:bidi="en-GB"/>
      </w:rPr>
    </w:lvl>
    <w:lvl w:ilvl="7">
      <w:numFmt w:val="bullet"/>
      <w:lvlText w:val="•"/>
      <w:lvlJc w:val="left"/>
      <w:pPr>
        <w:ind w:left="8152" w:hanging="720"/>
      </w:pPr>
      <w:rPr>
        <w:rFonts w:hint="default"/>
        <w:lang w:val="en-GB" w:eastAsia="en-GB" w:bidi="en-GB"/>
      </w:rPr>
    </w:lvl>
    <w:lvl w:ilvl="8">
      <w:numFmt w:val="bullet"/>
      <w:lvlText w:val="•"/>
      <w:lvlJc w:val="left"/>
      <w:pPr>
        <w:ind w:left="9117" w:hanging="720"/>
      </w:pPr>
      <w:rPr>
        <w:rFonts w:hint="default"/>
        <w:lang w:val="en-GB" w:eastAsia="en-GB" w:bidi="en-GB"/>
      </w:rPr>
    </w:lvl>
  </w:abstractNum>
  <w:abstractNum w:abstractNumId="1" w15:restartNumberingAfterBreak="0">
    <w:nsid w:val="61C46DC2"/>
    <w:multiLevelType w:val="hybridMultilevel"/>
    <w:tmpl w:val="010690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3378"/>
    <w:rsid w:val="0035629F"/>
    <w:rsid w:val="00B43378"/>
    <w:rsid w:val="00E73D9E"/>
    <w:rsid w:val="00F816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BBE612"/>
  <w15:chartTrackingRefBased/>
  <w15:docId w15:val="{D468307B-DF61-4AF0-A39C-525F076A1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43378"/>
    <w:pPr>
      <w:widowControl w:val="0"/>
      <w:autoSpaceDE w:val="0"/>
      <w:autoSpaceDN w:val="0"/>
      <w:spacing w:after="0" w:line="240" w:lineRule="auto"/>
    </w:pPr>
    <w:rPr>
      <w:rFonts w:ascii="Calibri" w:eastAsia="Calibri" w:hAnsi="Calibri" w:cs="Calibri"/>
      <w:lang w:eastAsia="en-GB" w:bidi="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B43378"/>
  </w:style>
  <w:style w:type="character" w:customStyle="1" w:styleId="BodyTextChar">
    <w:name w:val="Body Text Char"/>
    <w:basedOn w:val="DefaultParagraphFont"/>
    <w:link w:val="BodyText"/>
    <w:uiPriority w:val="1"/>
    <w:rsid w:val="00B43378"/>
    <w:rPr>
      <w:rFonts w:ascii="Calibri" w:eastAsia="Calibri" w:hAnsi="Calibri" w:cs="Calibri"/>
      <w:lang w:eastAsia="en-GB" w:bidi="en-GB"/>
    </w:rPr>
  </w:style>
  <w:style w:type="paragraph" w:styleId="ListParagraph">
    <w:name w:val="List Paragraph"/>
    <w:basedOn w:val="Normal"/>
    <w:uiPriority w:val="34"/>
    <w:qFormat/>
    <w:rsid w:val="00B43378"/>
    <w:pPr>
      <w:ind w:left="940" w:hanging="360"/>
    </w:pPr>
  </w:style>
  <w:style w:type="paragraph" w:customStyle="1" w:styleId="TableParagraph">
    <w:name w:val="Table Paragraph"/>
    <w:basedOn w:val="Normal"/>
    <w:uiPriority w:val="1"/>
    <w:qFormat/>
    <w:rsid w:val="00B43378"/>
    <w:pPr>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129</Words>
  <Characters>739</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University of Bradford</Company>
  <LinksUpToDate>false</LinksUpToDate>
  <CharactersWithSpaces>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JMontagu</dc:creator>
  <cp:keywords/>
  <dc:description/>
  <cp:lastModifiedBy>JMontagu</cp:lastModifiedBy>
  <cp:revision>2</cp:revision>
  <dcterms:created xsi:type="dcterms:W3CDTF">2021-02-26T09:47:00Z</dcterms:created>
  <dcterms:modified xsi:type="dcterms:W3CDTF">2021-02-26T10:19:00Z</dcterms:modified>
</cp:coreProperties>
</file>