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236C1" w:rsidRDefault="00000000">
      <w:pPr>
        <w:jc w:val="center"/>
        <w:rPr>
          <w:rFonts w:ascii="Times New Roman" w:hAnsi="Times New Roman" w:cs="Times New Roman"/>
          <w:b/>
          <w:bCs/>
          <w:color w:val="215E99" w:themeColor="text2" w:themeTint="BF"/>
          <w:sz w:val="30"/>
          <w:szCs w:val="30"/>
        </w:rPr>
      </w:pPr>
      <w:bookmarkStart w:id="0" w:name="OLE_LINK2"/>
      <w:r>
        <w:rPr>
          <w:rFonts w:ascii="Times New Roman" w:hAnsi="Times New Roman" w:cs="Times New Roman" w:hint="eastAsia"/>
          <w:b/>
          <w:bCs/>
          <w:color w:val="215E99" w:themeColor="text2" w:themeTint="BF"/>
          <w:sz w:val="30"/>
          <w:szCs w:val="30"/>
        </w:rPr>
        <w:t>Supplementary Material</w:t>
      </w:r>
    </w:p>
    <w:bookmarkEnd w:id="0"/>
    <w:p w:rsidR="00C236C1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color w:val="156082" w:themeColor="accen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56082" w:themeColor="accent1"/>
          <w:sz w:val="28"/>
          <w:szCs w:val="28"/>
        </w:rPr>
        <w:t>Mfsd2a suppresses colorectal cancer progression and liver metastasis via the S100A14/STAT3 axis</w:t>
      </w:r>
    </w:p>
    <w:p w:rsidR="00C236C1" w:rsidRDefault="00C236C1">
      <w:pPr>
        <w:spacing w:line="360" w:lineRule="auto"/>
        <w:rPr>
          <w:rFonts w:ascii="Times New Roman" w:hAnsi="Times New Roman" w:cs="Times New Roman"/>
          <w:szCs w:val="21"/>
        </w:rPr>
      </w:pPr>
    </w:p>
    <w:p w:rsidR="00C236C1" w:rsidRDefault="00000000">
      <w:pPr>
        <w:spacing w:line="360" w:lineRule="auto"/>
        <w:rPr>
          <w:rFonts w:ascii="Times New Roman" w:hAnsi="Times New Roman" w:cs="Times New Roman"/>
          <w:bCs/>
          <w:szCs w:val="21"/>
        </w:rPr>
      </w:pPr>
      <w:proofErr w:type="spellStart"/>
      <w:r>
        <w:rPr>
          <w:rFonts w:ascii="Times New Roman" w:hAnsi="Times New Roman" w:cs="Times New Roman"/>
          <w:bCs/>
          <w:szCs w:val="21"/>
        </w:rPr>
        <w:t>Linfeng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Sun</w:t>
      </w:r>
      <w:proofErr w:type="gramStart"/>
      <w:r>
        <w:rPr>
          <w:rFonts w:ascii="Times New Roman" w:hAnsi="Times New Roman" w:cs="Times New Roman"/>
          <w:bCs/>
          <w:szCs w:val="21"/>
          <w:vertAlign w:val="superscript"/>
        </w:rPr>
        <w:t>1,a</w:t>
      </w:r>
      <w:proofErr w:type="gramEnd"/>
      <w:r>
        <w:rPr>
          <w:rFonts w:ascii="Times New Roman" w:hAnsi="Times New Roman" w:cs="Times New Roman"/>
          <w:bCs/>
          <w:szCs w:val="21"/>
          <w:vertAlign w:val="superscript"/>
        </w:rPr>
        <w:t>,b,c</w:t>
      </w:r>
      <w:r>
        <w:rPr>
          <w:rFonts w:ascii="Times New Roman" w:hAnsi="Times New Roman" w:cs="Times New Roman"/>
          <w:bCs/>
          <w:szCs w:val="21"/>
        </w:rPr>
        <w:t xml:space="preserve"> , </w:t>
      </w:r>
      <w:proofErr w:type="spellStart"/>
      <w:r>
        <w:rPr>
          <w:rFonts w:ascii="Times New Roman" w:hAnsi="Times New Roman" w:cs="Times New Roman"/>
          <w:bCs/>
          <w:szCs w:val="21"/>
        </w:rPr>
        <w:t>Xiangdong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Li</w:t>
      </w:r>
      <w:r>
        <w:rPr>
          <w:rFonts w:ascii="Times New Roman" w:hAnsi="Times New Roman" w:cs="Times New Roman"/>
          <w:bCs/>
          <w:szCs w:val="21"/>
          <w:vertAlign w:val="superscript"/>
        </w:rPr>
        <w:t>1,a,b,c</w:t>
      </w:r>
      <w:r>
        <w:rPr>
          <w:rFonts w:ascii="Times New Roman" w:hAnsi="Times New Roman" w:cs="Times New Roman"/>
          <w:bCs/>
          <w:szCs w:val="21"/>
        </w:rPr>
        <w:t xml:space="preserve"> , Yuhao Xiao</w:t>
      </w:r>
      <w:r>
        <w:rPr>
          <w:rFonts w:ascii="Times New Roman" w:hAnsi="Times New Roman" w:cs="Times New Roman"/>
          <w:bCs/>
          <w:szCs w:val="21"/>
          <w:vertAlign w:val="superscript"/>
        </w:rPr>
        <w:t>1,a,b,c</w:t>
      </w:r>
      <w:r>
        <w:rPr>
          <w:rFonts w:ascii="Times New Roman" w:hAnsi="Times New Roman" w:cs="Times New Roman"/>
          <w:bCs/>
          <w:szCs w:val="21"/>
        </w:rPr>
        <w:t xml:space="preserve"> , Wenjie Yu</w:t>
      </w:r>
      <w:r>
        <w:rPr>
          <w:rFonts w:ascii="Times New Roman" w:hAnsi="Times New Roman" w:cs="Times New Roman"/>
          <w:bCs/>
          <w:szCs w:val="21"/>
          <w:vertAlign w:val="superscript"/>
        </w:rPr>
        <w:t xml:space="preserve">1,a,b,c </w:t>
      </w:r>
      <w:r>
        <w:rPr>
          <w:rFonts w:ascii="Times New Roman" w:hAnsi="Times New Roman" w:cs="Times New Roman"/>
          <w:bCs/>
          <w:szCs w:val="21"/>
        </w:rPr>
        <w:t xml:space="preserve">, Xuyang </w:t>
      </w:r>
      <w:proofErr w:type="spellStart"/>
      <w:r>
        <w:rPr>
          <w:rFonts w:ascii="Times New Roman" w:hAnsi="Times New Roman" w:cs="Times New Roman"/>
          <w:bCs/>
          <w:szCs w:val="21"/>
        </w:rPr>
        <w:t>Chen</w:t>
      </w:r>
      <w:r>
        <w:rPr>
          <w:rFonts w:ascii="Times New Roman" w:hAnsi="Times New Roman" w:cs="Times New Roman"/>
          <w:bCs/>
          <w:szCs w:val="21"/>
          <w:vertAlign w:val="superscript"/>
        </w:rPr>
        <w:t>d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, Ziyi </w:t>
      </w:r>
      <w:proofErr w:type="spellStart"/>
      <w:r>
        <w:rPr>
          <w:rFonts w:ascii="Times New Roman" w:hAnsi="Times New Roman" w:cs="Times New Roman"/>
          <w:bCs/>
          <w:szCs w:val="21"/>
        </w:rPr>
        <w:t>Wang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, Nan </w:t>
      </w:r>
      <w:proofErr w:type="spellStart"/>
      <w:r>
        <w:rPr>
          <w:rFonts w:ascii="Times New Roman" w:hAnsi="Times New Roman" w:cs="Times New Roman"/>
          <w:bCs/>
          <w:szCs w:val="21"/>
        </w:rPr>
        <w:t>Xia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, </w:t>
      </w:r>
      <w:proofErr w:type="spellStart"/>
      <w:r>
        <w:rPr>
          <w:rFonts w:ascii="Times New Roman" w:hAnsi="Times New Roman" w:cs="Times New Roman"/>
          <w:bCs/>
          <w:szCs w:val="21"/>
        </w:rPr>
        <w:t>Xuejiao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1"/>
        </w:rPr>
        <w:t>Chen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, </w:t>
      </w:r>
      <w:proofErr w:type="spellStart"/>
      <w:r>
        <w:rPr>
          <w:rFonts w:ascii="Times New Roman" w:hAnsi="Times New Roman" w:cs="Times New Roman"/>
          <w:bCs/>
          <w:szCs w:val="21"/>
        </w:rPr>
        <w:t>Minhao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1"/>
        </w:rPr>
        <w:t>Chen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Haoliang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1"/>
        </w:rPr>
        <w:t>Zhu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Jie </w:t>
      </w:r>
      <w:proofErr w:type="spellStart"/>
      <w:r>
        <w:rPr>
          <w:rFonts w:ascii="Times New Roman" w:hAnsi="Times New Roman" w:cs="Times New Roman"/>
          <w:bCs/>
          <w:szCs w:val="21"/>
        </w:rPr>
        <w:t>Li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, Jie </w:t>
      </w:r>
      <w:proofErr w:type="spellStart"/>
      <w:r>
        <w:rPr>
          <w:rFonts w:ascii="Times New Roman" w:hAnsi="Times New Roman" w:cs="Times New Roman"/>
          <w:bCs/>
          <w:szCs w:val="21"/>
        </w:rPr>
        <w:t>Wei</w:t>
      </w:r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Sheng </w:t>
      </w:r>
      <w:proofErr w:type="spellStart"/>
      <w:r>
        <w:rPr>
          <w:rFonts w:ascii="Times New Roman" w:hAnsi="Times New Roman" w:cs="Times New Roman"/>
          <w:bCs/>
          <w:szCs w:val="21"/>
        </w:rPr>
        <w:t>Han</w:t>
      </w:r>
      <w:r>
        <w:rPr>
          <w:rFonts w:ascii="Times New Roman" w:hAnsi="Times New Roman" w:cs="Times New Roman"/>
          <w:bCs/>
          <w:szCs w:val="21"/>
          <w:vertAlign w:val="superscript"/>
        </w:rPr>
        <w:t>#a,b,c</w:t>
      </w:r>
      <w:proofErr w:type="spellEnd"/>
      <w:r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1"/>
        </w:rPr>
        <w:t>Liyong</w:t>
      </w:r>
      <w:proofErr w:type="spellEnd"/>
      <w:r>
        <w:rPr>
          <w:rFonts w:ascii="Times New Roman" w:hAnsi="Times New Roman" w:cs="Times New Roman"/>
          <w:bCs/>
          <w:szCs w:val="21"/>
        </w:rPr>
        <w:t xml:space="preserve"> Pu</w:t>
      </w:r>
      <w:r>
        <w:rPr>
          <w:rFonts w:ascii="Times New Roman" w:hAnsi="Times New Roman" w:cs="Times New Roman"/>
          <w:bCs/>
          <w:szCs w:val="21"/>
          <w:vertAlign w:val="superscript"/>
        </w:rPr>
        <w:t>#,</w:t>
      </w:r>
      <w:proofErr w:type="spellStart"/>
      <w:r>
        <w:rPr>
          <w:rFonts w:ascii="Times New Roman" w:hAnsi="Times New Roman" w:cs="Times New Roman"/>
          <w:bCs/>
          <w:szCs w:val="21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, </w:t>
      </w:r>
    </w:p>
    <w:p w:rsidR="00C236C1" w:rsidRDefault="00C236C1">
      <w:pPr>
        <w:spacing w:line="360" w:lineRule="auto"/>
        <w:rPr>
          <w:rFonts w:ascii="Times New Roman" w:hAnsi="Times New Roman" w:cs="Times New Roman"/>
          <w:bCs/>
          <w:szCs w:val="21"/>
        </w:rPr>
      </w:pPr>
    </w:p>
    <w:p w:rsidR="00C236C1" w:rsidRDefault="00000000">
      <w:pPr>
        <w:numPr>
          <w:ilvl w:val="0"/>
          <w:numId w:val="1"/>
        </w:numPr>
        <w:spacing w:line="360" w:lineRule="auto"/>
        <w:rPr>
          <w:rFonts w:ascii="Times New Roman" w:eastAsia="Kaiti SC Regular" w:hAnsi="Times New Roman" w:cs="Times New Roman"/>
          <w:bCs/>
          <w:szCs w:val="21"/>
        </w:rPr>
      </w:pPr>
      <w:r>
        <w:rPr>
          <w:rFonts w:ascii="Times New Roman" w:eastAsia="Kaiti SC Regular" w:hAnsi="Times New Roman" w:cs="Times New Roman"/>
          <w:bCs/>
          <w:szCs w:val="21"/>
        </w:rPr>
        <w:t>First Authors, contributed equally.</w:t>
      </w:r>
    </w:p>
    <w:p w:rsidR="00C236C1" w:rsidRDefault="00000000">
      <w:pPr>
        <w:spacing w:line="360" w:lineRule="auto"/>
        <w:rPr>
          <w:rFonts w:ascii="Times New Roman" w:eastAsia="Kaiti SC Regular" w:hAnsi="Times New Roman" w:cs="Times New Roman"/>
          <w:bCs/>
          <w:szCs w:val="21"/>
        </w:rPr>
      </w:pPr>
      <w:r>
        <w:rPr>
          <w:rFonts w:ascii="Times New Roman" w:eastAsia="Kaiti SC Regular" w:hAnsi="Times New Roman" w:cs="Times New Roman"/>
          <w:bCs/>
          <w:szCs w:val="21"/>
        </w:rPr>
        <w:t>#. Corresponding Authors</w:t>
      </w:r>
    </w:p>
    <w:p w:rsidR="00C236C1" w:rsidRDefault="00000000">
      <w:pPr>
        <w:spacing w:line="360" w:lineRule="auto"/>
        <w:ind w:firstLineChars="100" w:firstLine="210"/>
        <w:rPr>
          <w:rFonts w:ascii="Times New Roman" w:eastAsia="Kaiti SC Regular" w:hAnsi="Times New Roman" w:cs="Times New Roman"/>
          <w:bCs/>
          <w:szCs w:val="21"/>
          <w:u w:val="single"/>
          <w:lang w:val="fr-FR"/>
        </w:rPr>
      </w:pPr>
      <w:r>
        <w:rPr>
          <w:rFonts w:ascii="Times New Roman" w:eastAsia="Kaiti SC Regular" w:hAnsi="Times New Roman" w:cs="Times New Roman"/>
          <w:bCs/>
          <w:szCs w:val="21"/>
          <w:lang w:val="fr-FR"/>
        </w:rPr>
        <w:t xml:space="preserve">Liyong Pu : </w:t>
      </w:r>
      <w:r>
        <w:fldChar w:fldCharType="begin"/>
      </w:r>
      <w:r>
        <w:rPr>
          <w:rFonts w:ascii="Times New Roman" w:hAnsi="Times New Roman" w:cs="Times New Roman"/>
          <w:szCs w:val="21"/>
        </w:rPr>
        <w:instrText>HYPERLINK "mailto:puliyong@njmu.edu.cn"</w:instrText>
      </w:r>
      <w:r>
        <w:fldChar w:fldCharType="separate"/>
      </w:r>
      <w:r>
        <w:rPr>
          <w:rStyle w:val="a8"/>
          <w:rFonts w:ascii="Times New Roman" w:eastAsia="Kaiti SC Regular" w:hAnsi="Times New Roman" w:cs="Times New Roman"/>
          <w:bCs/>
          <w:szCs w:val="21"/>
          <w:lang w:val="fr-FR"/>
        </w:rPr>
        <w:t>puliyong@njmu.edu.cn</w:t>
      </w:r>
      <w:r>
        <w:rPr>
          <w:rStyle w:val="a8"/>
          <w:rFonts w:ascii="Times New Roman" w:eastAsia="Kaiti SC Regular" w:hAnsi="Times New Roman" w:cs="Times New Roman"/>
          <w:bCs/>
          <w:szCs w:val="21"/>
          <w:lang w:val="fr-FR"/>
        </w:rPr>
        <w:fldChar w:fldCharType="end"/>
      </w:r>
    </w:p>
    <w:p w:rsidR="00C236C1" w:rsidRDefault="00C236C1">
      <w:pPr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:rsidR="00C236C1" w:rsidRDefault="00000000">
      <w:pPr>
        <w:numPr>
          <w:ilvl w:val="0"/>
          <w:numId w:val="2"/>
        </w:numPr>
        <w:spacing w:line="360" w:lineRule="auto"/>
        <w:rPr>
          <w:rFonts w:ascii="Times New Roman" w:eastAsia="Kaiti SC Regular" w:hAnsi="Times New Roman" w:cs="Times New Roman"/>
          <w:bCs/>
          <w:i/>
          <w:iCs/>
          <w:szCs w:val="21"/>
        </w:rPr>
      </w:pPr>
      <w:r>
        <w:rPr>
          <w:rFonts w:ascii="Times New Roman" w:eastAsia="Kaiti SC Regular" w:hAnsi="Times New Roman" w:cs="Times New Roman"/>
          <w:bCs/>
          <w:i/>
          <w:iCs/>
          <w:szCs w:val="21"/>
        </w:rPr>
        <w:t>Hepatobiliary Center, The First Affiliated Hospital of Nanjing Medical University, Nanjing, 210029, China</w:t>
      </w:r>
    </w:p>
    <w:p w:rsidR="00C236C1" w:rsidRDefault="00000000">
      <w:pPr>
        <w:numPr>
          <w:ilvl w:val="0"/>
          <w:numId w:val="2"/>
        </w:numPr>
        <w:spacing w:line="360" w:lineRule="auto"/>
        <w:rPr>
          <w:rFonts w:ascii="Times New Roman" w:eastAsia="Kaiti SC Regular" w:hAnsi="Times New Roman" w:cs="Times New Roman"/>
          <w:bCs/>
          <w:i/>
          <w:iCs/>
          <w:szCs w:val="21"/>
        </w:rPr>
      </w:pPr>
      <w:r>
        <w:rPr>
          <w:rFonts w:ascii="Times New Roman" w:eastAsia="Kaiti SC Regular" w:hAnsi="Times New Roman" w:cs="Times New Roman"/>
          <w:bCs/>
          <w:i/>
          <w:iCs/>
          <w:szCs w:val="21"/>
        </w:rPr>
        <w:t>Key Laboratory of Liver Transplantation, Chinese Academy of Medical Sciences, Nanjing, 210029, China</w:t>
      </w:r>
    </w:p>
    <w:p w:rsidR="00C236C1" w:rsidRDefault="00000000">
      <w:pPr>
        <w:numPr>
          <w:ilvl w:val="0"/>
          <w:numId w:val="2"/>
        </w:numPr>
        <w:spacing w:line="360" w:lineRule="auto"/>
        <w:rPr>
          <w:rFonts w:ascii="Times New Roman" w:eastAsia="Kaiti SC Regular" w:hAnsi="Times New Roman" w:cs="Times New Roman"/>
          <w:bCs/>
          <w:szCs w:val="21"/>
        </w:rPr>
      </w:pPr>
      <w:r>
        <w:rPr>
          <w:rFonts w:ascii="Times New Roman" w:eastAsia="Kaiti SC Regular" w:hAnsi="Times New Roman" w:cs="Times New Roman"/>
          <w:bCs/>
          <w:i/>
          <w:iCs/>
          <w:szCs w:val="21"/>
        </w:rPr>
        <w:t>NHC Key Laboratory of Living Donor Liver Transplantation (Nanjing Medical University), Nanjing, 210029, China</w:t>
      </w:r>
    </w:p>
    <w:p w:rsidR="00C236C1" w:rsidRDefault="00000000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Times New Roman" w:eastAsia="Kaiti SC Regular" w:hAnsi="Times New Roman" w:cs="Times New Roman"/>
          <w:bCs/>
          <w:i/>
          <w:iCs/>
          <w:szCs w:val="21"/>
        </w:rPr>
      </w:pPr>
      <w:r>
        <w:rPr>
          <w:rFonts w:ascii="Times New Roman" w:eastAsia="Kaiti SC Regular" w:hAnsi="Times New Roman" w:cs="Times New Roman"/>
          <w:bCs/>
          <w:i/>
          <w:iCs/>
          <w:szCs w:val="21"/>
        </w:rPr>
        <w:t>Department of Pathology</w:t>
      </w:r>
      <w:r>
        <w:rPr>
          <w:rFonts w:ascii="Times New Roman" w:eastAsia="Kaiti SC Regular" w:hAnsi="Times New Roman" w:cs="Times New Roman"/>
          <w:bCs/>
          <w:i/>
          <w:iCs/>
          <w:szCs w:val="21"/>
        </w:rPr>
        <w:t>，</w:t>
      </w:r>
      <w:r>
        <w:rPr>
          <w:rFonts w:ascii="Times New Roman" w:eastAsia="Kaiti SC Regular" w:hAnsi="Times New Roman" w:cs="Times New Roman"/>
          <w:bCs/>
          <w:i/>
          <w:iCs/>
          <w:szCs w:val="21"/>
        </w:rPr>
        <w:t>The First Affiliated Hospital of Nanjing Medical University, Nanjing, 210029, China</w:t>
      </w:r>
    </w:p>
    <w:p w:rsidR="00630C71" w:rsidRPr="00630C71" w:rsidRDefault="00630C71" w:rsidP="00630C71">
      <w:pPr>
        <w:spacing w:line="360" w:lineRule="auto"/>
        <w:rPr>
          <w:rFonts w:ascii="Times New Roman" w:eastAsia="Kaiti SC Regular" w:hAnsi="Times New Roman" w:cs="Times New Roman"/>
          <w:bCs/>
          <w:i/>
          <w:iCs/>
          <w:szCs w:val="21"/>
        </w:rPr>
      </w:pPr>
    </w:p>
    <w:p w:rsidR="00630C71" w:rsidRPr="00630C71" w:rsidRDefault="00630C71" w:rsidP="00630C71">
      <w:pPr>
        <w:spacing w:line="480" w:lineRule="auto"/>
        <w:jc w:val="left"/>
        <w:rPr>
          <w:rFonts w:ascii="Times New Roman" w:hAnsi="Times New Roman" w:cs="Times New Roman"/>
          <w:b/>
          <w:bCs/>
          <w:color w:val="156082" w:themeColor="accent1"/>
          <w:szCs w:val="21"/>
        </w:rPr>
      </w:pPr>
      <w:r w:rsidRPr="00630C71">
        <w:rPr>
          <w:rFonts w:ascii="Times New Roman" w:hAnsi="Times New Roman" w:cs="Times New Roman"/>
          <w:b/>
          <w:bCs/>
          <w:color w:val="156082" w:themeColor="accent1"/>
          <w:szCs w:val="21"/>
        </w:rPr>
        <w:t>Table of contents:</w:t>
      </w:r>
    </w:p>
    <w:p w:rsidR="00630C71" w:rsidRPr="00630C71" w:rsidRDefault="00630C71" w:rsidP="00630C71">
      <w:pPr>
        <w:spacing w:line="480" w:lineRule="auto"/>
        <w:jc w:val="left"/>
        <w:rPr>
          <w:rFonts w:ascii="Times New Roman" w:hAnsi="Times New Roman" w:cs="Times New Roman"/>
          <w:b/>
          <w:bCs/>
          <w:color w:val="156082" w:themeColor="accent1"/>
          <w:szCs w:val="21"/>
        </w:rPr>
      </w:pPr>
      <w:r w:rsidRPr="00630C71"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 xml:space="preserve"> </w:t>
      </w:r>
      <w:r w:rsidRPr="00630C71"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Figures</w:t>
      </w:r>
      <w:r>
        <w:rPr>
          <w:rFonts w:ascii="Times New Roman" w:hAnsi="Times New Roman" w:cs="Times New Roman"/>
          <w:b/>
          <w:bCs/>
          <w:color w:val="156082" w:themeColor="accent1"/>
          <w:szCs w:val="21"/>
        </w:rPr>
        <w:t>……………………………………………………………………………</w:t>
      </w:r>
      <w:r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2</w:t>
      </w:r>
    </w:p>
    <w:p w:rsidR="00630C71" w:rsidRPr="00630C71" w:rsidRDefault="00630C71" w:rsidP="00630C71">
      <w:pPr>
        <w:spacing w:line="480" w:lineRule="auto"/>
        <w:jc w:val="left"/>
        <w:rPr>
          <w:rFonts w:ascii="Times New Roman" w:hAnsi="Times New Roman" w:cs="Times New Roman"/>
          <w:b/>
          <w:bCs/>
          <w:color w:val="156082" w:themeColor="accent1"/>
          <w:szCs w:val="21"/>
        </w:rPr>
      </w:pPr>
      <w:r w:rsidRPr="00630C71"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Supplementary</w:t>
      </w:r>
      <w:r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 xml:space="preserve"> </w:t>
      </w:r>
      <w:r w:rsidRPr="00630C71"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Tables</w:t>
      </w:r>
      <w:r>
        <w:rPr>
          <w:rFonts w:ascii="Times New Roman" w:hAnsi="Times New Roman" w:cs="Times New Roman"/>
          <w:b/>
          <w:bCs/>
          <w:color w:val="156082" w:themeColor="accent1"/>
          <w:szCs w:val="21"/>
        </w:rPr>
        <w:t>…………………………………………………………………</w:t>
      </w:r>
      <w:proofErr w:type="gramStart"/>
      <w:r>
        <w:rPr>
          <w:rFonts w:ascii="Times New Roman" w:hAnsi="Times New Roman" w:cs="Times New Roman"/>
          <w:b/>
          <w:bCs/>
          <w:color w:val="156082" w:themeColor="accent1"/>
          <w:szCs w:val="21"/>
        </w:rPr>
        <w:t>…</w:t>
      </w:r>
      <w:r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..</w:t>
      </w:r>
      <w:proofErr w:type="gramEnd"/>
      <w:r>
        <w:rPr>
          <w:rFonts w:ascii="Times New Roman" w:hAnsi="Times New Roman" w:cs="Times New Roman"/>
          <w:b/>
          <w:bCs/>
          <w:color w:val="156082" w:themeColor="accent1"/>
          <w:szCs w:val="21"/>
        </w:rPr>
        <w:t>………</w:t>
      </w:r>
      <w:r>
        <w:rPr>
          <w:rFonts w:ascii="Times New Roman" w:hAnsi="Times New Roman" w:cs="Times New Roman" w:hint="eastAsia"/>
          <w:b/>
          <w:bCs/>
          <w:color w:val="156082" w:themeColor="accent1"/>
          <w:szCs w:val="21"/>
        </w:rPr>
        <w:t>5</w:t>
      </w:r>
    </w:p>
    <w:p w:rsidR="00C236C1" w:rsidRDefault="00C236C1">
      <w:pPr>
        <w:pStyle w:val="a9"/>
        <w:spacing w:line="360" w:lineRule="auto"/>
        <w:ind w:left="420" w:firstLineChars="0" w:firstLine="0"/>
        <w:rPr>
          <w:rFonts w:ascii="Times New Roman" w:eastAsia="Kaiti SC Regular" w:hAnsi="Times New Roman" w:cs="Times New Roman"/>
          <w:bCs/>
          <w:i/>
          <w:iCs/>
          <w:szCs w:val="21"/>
        </w:rPr>
      </w:pPr>
    </w:p>
    <w:p w:rsidR="00C236C1" w:rsidRDefault="004243C5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noProof/>
          <w:sz w:val="24"/>
          <w:szCs w:val="32"/>
          <w14:ligatures w14:val="none"/>
        </w:rPr>
        <w:lastRenderedPageBreak/>
        <w:drawing>
          <wp:inline distT="0" distB="0" distL="0" distR="0">
            <wp:extent cx="5274310" cy="2633345"/>
            <wp:effectExtent l="0" t="0" r="2540" b="0"/>
            <wp:docPr id="8275684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568496" name="图片 82756849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6C1" w:rsidRDefault="00000000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S1. Mfsd2a expression in different cancer types in TIMER2.0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database.</w:t>
      </w:r>
    </w:p>
    <w:p w:rsidR="00C236C1" w:rsidRDefault="0000000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(A) The TIMER2.0 database showed that Mfsd2a expression was not statistically different in colorectal cancer tumors and normal tissues. </w:t>
      </w:r>
      <w:proofErr w:type="gramStart"/>
      <w:r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</w:t>
      </w:r>
      <w:r>
        <w:rPr>
          <w:rFonts w:ascii="Times New Roman" w:eastAsia="等线" w:hAnsi="Times New Roman" w:cs="Times New Roman"/>
          <w:lang w:bidi="ar"/>
        </w:rPr>
        <w:t>s</w:t>
      </w:r>
      <w:proofErr w:type="gramEnd"/>
      <w:r>
        <w:rPr>
          <w:rFonts w:ascii="Times New Roman" w:eastAsia="等线" w:hAnsi="Times New Roman" w:cs="Times New Roman"/>
          <w:lang w:bidi="ar"/>
        </w:rPr>
        <w:t xml:space="preserve">.= not significant, </w:t>
      </w:r>
      <w:r>
        <w:rPr>
          <w:rFonts w:ascii="Times New Roman" w:hAnsi="Times New Roman" w:cs="Times New Roman"/>
          <w:szCs w:val="21"/>
        </w:rPr>
        <w:t>*P &lt; 0.05, **P &lt; 0.01, ***P &lt; 0.001, ****P &lt; 0.0001</w:t>
      </w:r>
      <w:r>
        <w:rPr>
          <w:rFonts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/>
          <w:szCs w:val="21"/>
        </w:rPr>
        <w:t>.</w:t>
      </w:r>
    </w:p>
    <w:p w:rsidR="00C236C1" w:rsidRDefault="00C236C1">
      <w:pPr>
        <w:widowControl/>
        <w:spacing w:after="160" w:line="278" w:lineRule="auto"/>
        <w:jc w:val="left"/>
        <w:rPr>
          <w:rFonts w:ascii="Times New Roman" w:hAnsi="Times New Roman" w:cs="Times New Roman"/>
          <w:szCs w:val="21"/>
        </w:rPr>
      </w:pPr>
    </w:p>
    <w:p w:rsidR="00C236C1" w:rsidRDefault="004243C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  <w14:ligatures w14:val="none"/>
        </w:rPr>
        <w:drawing>
          <wp:inline distT="0" distB="0" distL="0" distR="0">
            <wp:extent cx="5274310" cy="1835785"/>
            <wp:effectExtent l="0" t="0" r="2540" b="0"/>
            <wp:docPr id="2144386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38609" name="图片 21443860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rFonts w:ascii="Times New Roman" w:hAnsi="Times New Roman" w:cs="Times New Roman"/>
          <w:b/>
          <w:bCs/>
          <w:szCs w:val="21"/>
        </w:rPr>
        <w:t xml:space="preserve"> Figure S</w:t>
      </w:r>
      <w:r w:rsidR="00000000">
        <w:rPr>
          <w:rFonts w:ascii="Times New Roman" w:hAnsi="Times New Roman" w:cs="Times New Roman" w:hint="eastAsia"/>
          <w:b/>
          <w:bCs/>
          <w:szCs w:val="21"/>
        </w:rPr>
        <w:t>2</w:t>
      </w:r>
      <w:r w:rsidR="00000000">
        <w:rPr>
          <w:rFonts w:ascii="Times New Roman" w:hAnsi="Times New Roman" w:cs="Times New Roman"/>
          <w:b/>
          <w:bCs/>
          <w:szCs w:val="21"/>
        </w:rPr>
        <w:t xml:space="preserve">. </w:t>
      </w:r>
      <w:r w:rsidR="00000000">
        <w:rPr>
          <w:rFonts w:ascii="Times New Roman" w:hAnsi="Times New Roman" w:cs="Times New Roman" w:hint="eastAsia"/>
          <w:b/>
          <w:bCs/>
          <w:szCs w:val="21"/>
        </w:rPr>
        <w:t xml:space="preserve">Mfsd2a </w:t>
      </w:r>
      <w:r w:rsidR="00000000">
        <w:rPr>
          <w:rFonts w:ascii="Times New Roman" w:hAnsi="Times New Roman" w:cs="Times New Roman"/>
          <w:b/>
          <w:bCs/>
          <w:szCs w:val="21"/>
        </w:rPr>
        <w:t xml:space="preserve">interacted with </w:t>
      </w:r>
      <w:r w:rsidR="00000000">
        <w:rPr>
          <w:rFonts w:ascii="Times New Roman" w:hAnsi="Times New Roman" w:cs="Times New Roman" w:hint="eastAsia"/>
          <w:b/>
          <w:bCs/>
          <w:szCs w:val="21"/>
        </w:rPr>
        <w:t>S100A14</w:t>
      </w:r>
      <w:r w:rsidR="00000000">
        <w:rPr>
          <w:rFonts w:ascii="Times New Roman" w:hAnsi="Times New Roman" w:cs="Times New Roman"/>
          <w:b/>
          <w:bCs/>
          <w:szCs w:val="21"/>
        </w:rPr>
        <w:t xml:space="preserve">. </w:t>
      </w:r>
    </w:p>
    <w:p w:rsidR="00C236C1" w:rsidRDefault="00000000">
      <w:pPr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szCs w:val="21"/>
        </w:rPr>
        <w:t>(A) IP/MS analysis was used to determine which proteins bind</w:t>
      </w:r>
      <w:r>
        <w:rPr>
          <w:rFonts w:ascii="Times New Roman" w:hAnsi="Times New Roman" w:cs="Times New Roman" w:hint="eastAsia"/>
          <w:szCs w:val="21"/>
        </w:rPr>
        <w:t xml:space="preserve"> Mfsd2a</w:t>
      </w:r>
      <w:r>
        <w:rPr>
          <w:rFonts w:ascii="Times New Roman" w:hAnsi="Times New Roman" w:cs="Times New Roman"/>
          <w:szCs w:val="21"/>
        </w:rPr>
        <w:t xml:space="preserve">, thus identifying </w:t>
      </w:r>
      <w:r>
        <w:rPr>
          <w:rFonts w:ascii="Times New Roman" w:hAnsi="Times New Roman" w:cs="Times New Roman" w:hint="eastAsia"/>
          <w:szCs w:val="21"/>
        </w:rPr>
        <w:t>S100A14</w:t>
      </w:r>
      <w:r>
        <w:rPr>
          <w:rFonts w:ascii="Times New Roman" w:hAnsi="Times New Roman" w:cs="Times New Roman"/>
          <w:szCs w:val="21"/>
        </w:rPr>
        <w:t xml:space="preserve"> as interacting protein.</w:t>
      </w:r>
      <w:r>
        <w:rPr>
          <w:rFonts w:ascii="Times New Roman" w:hAnsi="Times New Roman" w:cs="Times New Roman" w:hint="eastAsia"/>
          <w:szCs w:val="21"/>
        </w:rPr>
        <w:t xml:space="preserve"> (B) </w:t>
      </w:r>
      <w:proofErr w:type="spellStart"/>
      <w:r>
        <w:rPr>
          <w:rFonts w:ascii="Times New Roman" w:hAnsi="Times New Roman" w:cs="Times New Roman" w:hint="eastAsia"/>
          <w:szCs w:val="21"/>
        </w:rPr>
        <w:t>qRT</w:t>
      </w:r>
      <w:proofErr w:type="spellEnd"/>
      <w:r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>PCR analysis for the determination of regulation of</w:t>
      </w:r>
      <w:r>
        <w:rPr>
          <w:rFonts w:ascii="Times New Roman" w:hAnsi="Times New Roman" w:cs="Times New Roman" w:hint="eastAsia"/>
          <w:szCs w:val="21"/>
        </w:rPr>
        <w:t xml:space="preserve"> S100A14 </w:t>
      </w:r>
      <w:r>
        <w:rPr>
          <w:rFonts w:ascii="Times New Roman" w:hAnsi="Times New Roman" w:cs="Times New Roman"/>
          <w:szCs w:val="21"/>
        </w:rPr>
        <w:t xml:space="preserve">mRNA expression in </w:t>
      </w:r>
      <w:r>
        <w:rPr>
          <w:rFonts w:ascii="Times New Roman" w:hAnsi="Times New Roman" w:cs="Times New Roman" w:hint="eastAsia"/>
          <w:szCs w:val="21"/>
        </w:rPr>
        <w:t xml:space="preserve">oeMfsd2a RKO and CT26 cells. </w:t>
      </w:r>
      <w:proofErr w:type="gramStart"/>
      <w:r>
        <w:rPr>
          <w:rFonts w:ascii="Times New Roman" w:hAnsi="Times New Roman" w:cs="Times New Roman" w:hint="eastAsia"/>
          <w:szCs w:val="21"/>
        </w:rPr>
        <w:t>( ns</w:t>
      </w:r>
      <w:proofErr w:type="gramEnd"/>
      <w:r>
        <w:rPr>
          <w:rFonts w:ascii="Times New Roman" w:hAnsi="Times New Roman" w:cs="Times New Roman" w:hint="eastAsia"/>
          <w:szCs w:val="21"/>
        </w:rPr>
        <w:t>.=</w:t>
      </w:r>
      <w:r>
        <w:t xml:space="preserve"> </w:t>
      </w:r>
      <w:r>
        <w:rPr>
          <w:rFonts w:ascii="Times New Roman" w:hAnsi="Times New Roman" w:cs="Times New Roman"/>
          <w:szCs w:val="21"/>
        </w:rPr>
        <w:t>no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significant</w:t>
      </w:r>
      <w:r>
        <w:rPr>
          <w:rFonts w:ascii="Times New Roman" w:hAnsi="Times New Roman" w:cs="Times New Roman" w:hint="eastAsia"/>
          <w:szCs w:val="21"/>
        </w:rPr>
        <w:t xml:space="preserve"> )</w:t>
      </w:r>
    </w:p>
    <w:p w:rsidR="00C236C1" w:rsidRDefault="00C236C1">
      <w:pPr>
        <w:widowControl/>
        <w:spacing w:after="160" w:line="278" w:lineRule="auto"/>
        <w:jc w:val="left"/>
        <w:rPr>
          <w:rFonts w:hint="eastAsia"/>
          <w:b/>
          <w:bCs/>
        </w:rPr>
      </w:pPr>
    </w:p>
    <w:p w:rsidR="00C236C1" w:rsidRDefault="00C236C1">
      <w:pPr>
        <w:rPr>
          <w:rFonts w:hint="eastAsia"/>
          <w:b/>
          <w:bCs/>
        </w:rPr>
      </w:pPr>
    </w:p>
    <w:p w:rsidR="00C236C1" w:rsidRDefault="004243C5">
      <w:pPr>
        <w:rPr>
          <w:rFonts w:hint="eastAsia"/>
          <w:b/>
          <w:bCs/>
        </w:rPr>
      </w:pPr>
      <w:r>
        <w:rPr>
          <w:rFonts w:hint="eastAsia"/>
          <w:b/>
          <w:bCs/>
          <w:noProof/>
          <w14:ligatures w14:val="none"/>
        </w:rPr>
        <w:lastRenderedPageBreak/>
        <w:drawing>
          <wp:inline distT="0" distB="0" distL="0" distR="0">
            <wp:extent cx="5274310" cy="7743825"/>
            <wp:effectExtent l="0" t="0" r="2540" b="9525"/>
            <wp:docPr id="14906363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636381" name="图片 149063638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4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6C1" w:rsidRDefault="0000000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Fig.S3 Mfsd2a inhibits malignant progression in</w:t>
      </w:r>
      <w:r>
        <w:rPr>
          <w:rFonts w:ascii="Times New Roman" w:hAnsi="Times New Roman" w:cs="Times New Roman" w:hint="eastAsia"/>
          <w:b/>
          <w:bCs/>
        </w:rPr>
        <w:t xml:space="preserve"> CRC </w:t>
      </w:r>
      <w:r>
        <w:rPr>
          <w:rFonts w:ascii="Times New Roman" w:hAnsi="Times New Roman" w:cs="Times New Roman"/>
          <w:b/>
          <w:bCs/>
        </w:rPr>
        <w:t xml:space="preserve">cells by targeting S100A14. </w:t>
      </w:r>
    </w:p>
    <w:p w:rsidR="00C236C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A,B</w:t>
      </w:r>
      <w:proofErr w:type="gramEnd"/>
      <w:r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EdU</w:t>
      </w:r>
      <w:proofErr w:type="spellEnd"/>
      <w:r>
        <w:rPr>
          <w:rFonts w:ascii="Times New Roman" w:hAnsi="Times New Roman" w:cs="Times New Roman"/>
        </w:rPr>
        <w:t xml:space="preserve"> and colony formation assays assessed changes in cell proliferation following S100A14 knockdown in oeMfsd2a CT26 cells. (</w:t>
      </w:r>
      <w:proofErr w:type="gramStart"/>
      <w:r>
        <w:rPr>
          <w:rFonts w:ascii="Times New Roman" w:hAnsi="Times New Roman" w:cs="Times New Roman"/>
        </w:rPr>
        <w:t>C,D</w:t>
      </w:r>
      <w:proofErr w:type="gramEnd"/>
      <w:r>
        <w:rPr>
          <w:rFonts w:ascii="Times New Roman" w:hAnsi="Times New Roman" w:cs="Times New Roman"/>
        </w:rPr>
        <w:t>) Knockdown of S100A14 reduced the pro-apoptotic effect of oeMfsd2a CT26 cells.</w: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E,F</w:t>
      </w:r>
      <w:r>
        <w:rPr>
          <w:rFonts w:ascii="Times New Roman" w:hAnsi="Times New Roman" w:cs="Times New Roman"/>
        </w:rPr>
        <w:t>）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and wound healing assays validated that S100A14 </w:t>
      </w:r>
      <w:r>
        <w:rPr>
          <w:rFonts w:ascii="Times New Roman" w:hAnsi="Times New Roman" w:cs="Times New Roman"/>
        </w:rPr>
        <w:lastRenderedPageBreak/>
        <w:t>knockdown partially inhibited the effects of Mfsd2a overexpression on CT26 cells migration and invasion. (</w:t>
      </w:r>
      <w:proofErr w:type="gramStart"/>
      <w:r>
        <w:rPr>
          <w:rFonts w:ascii="Times New Roman" w:hAnsi="Times New Roman" w:cs="Times New Roman"/>
        </w:rPr>
        <w:t>G,H</w:t>
      </w:r>
      <w:proofErr w:type="gramEnd"/>
      <w:r>
        <w:rPr>
          <w:rFonts w:ascii="Times New Roman" w:hAnsi="Times New Roman" w:cs="Times New Roman"/>
        </w:rPr>
        <w:t>) Immunofluorescence and Western Blot analyses measured the expression of S100A14 and EMT-related proteins in different groups. (</w:t>
      </w:r>
      <w:proofErr w:type="gramStart"/>
      <w:r>
        <w:rPr>
          <w:rFonts w:ascii="Times New Roman" w:hAnsi="Times New Roman" w:cs="Times New Roman"/>
          <w:szCs w:val="21"/>
        </w:rPr>
        <w:t>ns.=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no significant</w:t>
      </w:r>
      <w:r>
        <w:rPr>
          <w:rFonts w:ascii="Times New Roman" w:hAnsi="Times New Roman" w:cs="Times New Roman"/>
        </w:rPr>
        <w:t>, *P &lt; 0.05, **P &lt; 0.01, ***P &lt; 0.001,</w:t>
      </w:r>
      <w:r>
        <w:rPr>
          <w:rFonts w:ascii="Times New Roman" w:hAnsi="Times New Roman" w:cs="Times New Roman"/>
          <w:szCs w:val="21"/>
        </w:rPr>
        <w:t xml:space="preserve"> ****P &lt; 0.0001</w:t>
      </w:r>
      <w:r>
        <w:rPr>
          <w:rFonts w:ascii="Times New Roman" w:hAnsi="Times New Roman" w:cs="Times New Roman"/>
        </w:rPr>
        <w:t>)</w:t>
      </w:r>
    </w:p>
    <w:p w:rsidR="00630C71" w:rsidRDefault="00630C71">
      <w:pPr>
        <w:rPr>
          <w:rFonts w:ascii="Times New Roman" w:hAnsi="Times New Roman" w:cs="Times New Roman"/>
        </w:rPr>
      </w:pPr>
    </w:p>
    <w:p w:rsidR="00630C71" w:rsidRDefault="00630C71">
      <w:pPr>
        <w:rPr>
          <w:rFonts w:ascii="Times New Roman" w:hAnsi="Times New Roman" w:cs="Times New Roman"/>
        </w:rPr>
      </w:pPr>
    </w:p>
    <w:p w:rsidR="00630C71" w:rsidRDefault="00630C71">
      <w:pPr>
        <w:rPr>
          <w:rFonts w:ascii="Times New Roman" w:hAnsi="Times New Roman" w:cs="Times New Roman"/>
        </w:rPr>
      </w:pPr>
    </w:p>
    <w:p w:rsidR="00630C71" w:rsidRDefault="00630C7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30C71" w:rsidRDefault="00630C71">
      <w:pPr>
        <w:rPr>
          <w:rFonts w:ascii="Times New Roman" w:hAnsi="Times New Roman" w:cs="Times New Roman"/>
        </w:rPr>
      </w:pPr>
    </w:p>
    <w:p w:rsidR="00630C71" w:rsidRDefault="00630C71" w:rsidP="00630C71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 w:hint="eastAsia"/>
          <w:b/>
          <w:bCs/>
          <w:sz w:val="30"/>
          <w:szCs w:val="30"/>
        </w:rPr>
        <w:t>Supplementary Tables</w:t>
      </w:r>
    </w:p>
    <w:p w:rsidR="00630C71" w:rsidRDefault="00630C71" w:rsidP="00630C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30C71" w:rsidRDefault="00630C71" w:rsidP="00630C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Primer sequences for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-PCR</w:t>
      </w:r>
    </w:p>
    <w:tbl>
      <w:tblPr>
        <w:tblW w:w="9215" w:type="dxa"/>
        <w:tblInd w:w="-431" w:type="dxa"/>
        <w:tblLook w:val="04A0" w:firstRow="1" w:lastRow="0" w:firstColumn="1" w:lastColumn="0" w:noHBand="0" w:noVBand="1"/>
      </w:tblPr>
      <w:tblGrid>
        <w:gridCol w:w="1560"/>
        <w:gridCol w:w="3776"/>
        <w:gridCol w:w="3969"/>
      </w:tblGrid>
      <w:tr w:rsidR="00630C71" w:rsidTr="001B4F00">
        <w:trPr>
          <w:trHeight w:hRule="exact" w:val="56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Forward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Reverse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H-Mfsd2a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CTCCTGGCCATCATGCTCT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GGCCACCAAGATGAGAAA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M-Mfsd2a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AGAAGCAGCAACTGTCCATTT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CTCGGCCCACAAAAAGGATAAT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H-β-actin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TTAATAGTCATTCCAAATATGA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GGGACAAAAAAGGGGGAAGG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M-β-actin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AGCGAGCATCCCCCAAAGTT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GGGCACGAAGGCTCATCATT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H-S100A14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TCACCAAAGGACCAGACACA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GCCCTCTCCACATCACTGAA</w:t>
            </w:r>
          </w:p>
        </w:tc>
      </w:tr>
      <w:tr w:rsidR="00630C71" w:rsidTr="001B4F00">
        <w:trPr>
          <w:trHeight w:hRule="exact" w:val="5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M-S100A14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GGAGTTTGGAAGCTTCTGGGA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CGAGTAACAGGCCTCTCCAT</w:t>
            </w:r>
          </w:p>
        </w:tc>
      </w:tr>
    </w:tbl>
    <w:p w:rsidR="00630C71" w:rsidRDefault="00630C71" w:rsidP="00630C71">
      <w:pPr>
        <w:rPr>
          <w:rFonts w:hint="eastAsia"/>
        </w:rPr>
      </w:pPr>
      <w:r>
        <w:rPr>
          <w:rFonts w:hint="eastAsia"/>
        </w:rPr>
        <w:br w:type="page"/>
      </w:r>
    </w:p>
    <w:p w:rsidR="00630C71" w:rsidRDefault="00630C71" w:rsidP="00630C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Antibodies used in research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98"/>
        <w:gridCol w:w="3109"/>
        <w:gridCol w:w="2489"/>
      </w:tblGrid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Manufacturer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Catalog number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1"/>
            <w:r>
              <w:rPr>
                <w:rFonts w:ascii="Times New Roman" w:hAnsi="Times New Roman" w:cs="Times New Roman"/>
                <w:sz w:val="24"/>
                <w:szCs w:val="24"/>
              </w:rPr>
              <w:t>Mfsd2a</w:t>
            </w:r>
            <w:bookmarkEnd w:id="1"/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Fisher Scientific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PA5-21049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Mfsd2a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80302S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AC026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Bax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50599-2-Ig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Bcl-2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26593-1-AP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Cleaved Caspase 3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25128-1-AP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20874-1-AP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N-cadherin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22018-1-AP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60330-1-Ig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Flag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20543-1-AP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HA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51064-2-AP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S100A14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60004-1-Ig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ab109085</w:t>
            </w:r>
          </w:p>
        </w:tc>
      </w:tr>
      <w:tr w:rsidR="00630C71" w:rsidTr="001B4F00">
        <w:trPr>
          <w:trHeight w:val="567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phospho-STAT3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Bioss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C71" w:rsidRDefault="00630C71" w:rsidP="001B4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bsm-52210R</w:t>
            </w:r>
          </w:p>
        </w:tc>
      </w:tr>
    </w:tbl>
    <w:p w:rsidR="00630C71" w:rsidRDefault="00630C71" w:rsidP="00630C71">
      <w:pPr>
        <w:rPr>
          <w:rFonts w:hint="eastAsia"/>
        </w:rPr>
      </w:pPr>
    </w:p>
    <w:p w:rsidR="00630C71" w:rsidRDefault="00630C71" w:rsidP="00630C71">
      <w:pPr>
        <w:rPr>
          <w:rFonts w:hint="eastAsia"/>
        </w:rPr>
      </w:pPr>
      <w:r>
        <w:rPr>
          <w:rFonts w:hint="eastAsia"/>
        </w:rPr>
        <w:br w:type="page"/>
      </w:r>
    </w:p>
    <w:p w:rsidR="00630C71" w:rsidRDefault="00630C71" w:rsidP="00630C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Sequences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S100A14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shRNA 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2411"/>
        <w:gridCol w:w="4677"/>
        <w:gridCol w:w="1843"/>
      </w:tblGrid>
      <w:tr w:rsidR="00630C71" w:rsidTr="001B4F00">
        <w:trPr>
          <w:trHeight w:hRule="exact" w:val="567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Target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g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ene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species</w:t>
            </w:r>
          </w:p>
        </w:tc>
      </w:tr>
      <w:tr w:rsidR="00630C71" w:rsidTr="001B4F00">
        <w:trPr>
          <w:trHeight w:hRule="exact" w:val="567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S100A14</w:t>
            </w:r>
            <w:r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shRNA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GAGACCCTCATCAAGAACTTT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Human</w:t>
            </w:r>
          </w:p>
        </w:tc>
      </w:tr>
      <w:tr w:rsidR="00630C71" w:rsidTr="001B4F00">
        <w:trPr>
          <w:trHeight w:hRule="exact" w:val="567"/>
        </w:trPr>
        <w:tc>
          <w:tcPr>
            <w:tcW w:w="2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S100A14</w:t>
            </w:r>
            <w:r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shRNA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GACTTCTACTTGGAACTTGTT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Mouse</w:t>
            </w:r>
          </w:p>
        </w:tc>
      </w:tr>
    </w:tbl>
    <w:p w:rsidR="00630C71" w:rsidRDefault="00630C71" w:rsidP="00630C71">
      <w:pPr>
        <w:rPr>
          <w:rFonts w:hint="eastAsia"/>
        </w:rPr>
      </w:pPr>
      <w:r>
        <w:rPr>
          <w:rFonts w:hint="eastAsia"/>
        </w:rPr>
        <w:br w:type="page"/>
      </w:r>
    </w:p>
    <w:p w:rsidR="00630C71" w:rsidRDefault="00630C71" w:rsidP="00630C7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Table S4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：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Association between Mfsd2a expression in liver metastasis and the clinical parameters of CRLM patients</w:t>
      </w:r>
    </w:p>
    <w:tbl>
      <w:tblPr>
        <w:tblW w:w="9356" w:type="dxa"/>
        <w:tblInd w:w="-577" w:type="dxa"/>
        <w:tblLook w:val="04A0" w:firstRow="1" w:lastRow="0" w:firstColumn="1" w:lastColumn="0" w:noHBand="0" w:noVBand="1"/>
      </w:tblPr>
      <w:tblGrid>
        <w:gridCol w:w="3402"/>
        <w:gridCol w:w="1134"/>
        <w:gridCol w:w="1843"/>
        <w:gridCol w:w="1843"/>
        <w:gridCol w:w="1134"/>
      </w:tblGrid>
      <w:tr w:rsidR="00630C71" w:rsidTr="001B4F00">
        <w:trPr>
          <w:trHeight w:hRule="exact" w:val="605"/>
        </w:trPr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Feature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Total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Mfsd2a-Low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Mfsd2a-High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 value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Total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Age (y)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≥ 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0.467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&lt; 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0.337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number of liver metastases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Single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0.022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Multiple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720"/>
        </w:trPr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Metastasis in bilateral liver lobes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0.039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Size of metastasis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≤ 5cm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0.259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&gt; 5cm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Differentiation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Poor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0.025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Well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Recurrence states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0.031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Clinical Risk Score</w:t>
            </w: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CRS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595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Low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0-2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0.03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0</w:t>
            </w:r>
          </w:p>
        </w:tc>
      </w:tr>
      <w:tr w:rsidR="00630C71" w:rsidTr="001B4F00">
        <w:trPr>
          <w:trHeight w:hRule="exact" w:val="454"/>
        </w:trPr>
        <w:tc>
          <w:tcPr>
            <w:tcW w:w="340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High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3-5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30C71" w:rsidRDefault="00630C71" w:rsidP="001B4F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630C71" w:rsidRDefault="00630C71">
      <w:pPr>
        <w:rPr>
          <w:rFonts w:ascii="Times New Roman" w:hAnsi="Times New Roman" w:cs="Times New Roman" w:hint="eastAsia"/>
        </w:rPr>
      </w:pPr>
    </w:p>
    <w:sectPr w:rsidR="00630C71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1228F" w:rsidRDefault="0061228F">
      <w:pPr>
        <w:rPr>
          <w:rFonts w:hint="eastAsia"/>
        </w:rPr>
      </w:pPr>
      <w:r>
        <w:separator/>
      </w:r>
    </w:p>
  </w:endnote>
  <w:endnote w:type="continuationSeparator" w:id="0">
    <w:p w:rsidR="0061228F" w:rsidRDefault="0061228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aiti SC Regular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84603830"/>
    </w:sdtPr>
    <w:sdtContent>
      <w:p w:rsidR="00C236C1" w:rsidRDefault="00000000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C236C1" w:rsidRDefault="00C236C1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1228F" w:rsidRDefault="0061228F">
      <w:pPr>
        <w:rPr>
          <w:rFonts w:hint="eastAsia"/>
        </w:rPr>
      </w:pPr>
      <w:r>
        <w:separator/>
      </w:r>
    </w:p>
  </w:footnote>
  <w:footnote w:type="continuationSeparator" w:id="0">
    <w:p w:rsidR="0061228F" w:rsidRDefault="0061228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FBE8EF6"/>
    <w:multiLevelType w:val="singleLevel"/>
    <w:tmpl w:val="9FBE8EF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ACCA146"/>
    <w:multiLevelType w:val="singleLevel"/>
    <w:tmpl w:val="3ACCA146"/>
    <w:lvl w:ilvl="0">
      <w:start w:val="1"/>
      <w:numFmt w:val="lowerLetter"/>
      <w:suff w:val="space"/>
      <w:lvlText w:val="%1."/>
      <w:lvlJc w:val="left"/>
    </w:lvl>
  </w:abstractNum>
  <w:num w:numId="1" w16cid:durableId="1244337230">
    <w:abstractNumId w:val="0"/>
  </w:num>
  <w:num w:numId="2" w16cid:durableId="1729181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006C6511"/>
    <w:rsid w:val="000527A2"/>
    <w:rsid w:val="00104A44"/>
    <w:rsid w:val="00114B2F"/>
    <w:rsid w:val="00220637"/>
    <w:rsid w:val="00294146"/>
    <w:rsid w:val="002A0E66"/>
    <w:rsid w:val="002B3B9C"/>
    <w:rsid w:val="003768C1"/>
    <w:rsid w:val="00396FAE"/>
    <w:rsid w:val="003D4B54"/>
    <w:rsid w:val="004243C5"/>
    <w:rsid w:val="00466B81"/>
    <w:rsid w:val="005A3C39"/>
    <w:rsid w:val="0061228F"/>
    <w:rsid w:val="00630C71"/>
    <w:rsid w:val="0065519A"/>
    <w:rsid w:val="006953B8"/>
    <w:rsid w:val="006C398B"/>
    <w:rsid w:val="006C6511"/>
    <w:rsid w:val="00796270"/>
    <w:rsid w:val="00851CF5"/>
    <w:rsid w:val="009606CD"/>
    <w:rsid w:val="00A37B54"/>
    <w:rsid w:val="00B97C68"/>
    <w:rsid w:val="00C236C1"/>
    <w:rsid w:val="00C40116"/>
    <w:rsid w:val="00D556F2"/>
    <w:rsid w:val="00DC7657"/>
    <w:rsid w:val="00DD0702"/>
    <w:rsid w:val="00DD3108"/>
    <w:rsid w:val="00DE0C68"/>
    <w:rsid w:val="00FB10DC"/>
    <w:rsid w:val="00FC29F3"/>
    <w:rsid w:val="0DA76E15"/>
    <w:rsid w:val="14626420"/>
    <w:rsid w:val="7F11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E0547E"/>
  <w14:defaultImageDpi w14:val="330"/>
  <w15:docId w15:val="{47DB1745-39EF-488D-9ADC-3DD5FCE0A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character" w:styleId="a8">
    <w:name w:val="Hyperlink"/>
    <w:basedOn w:val="a0"/>
    <w:uiPriority w:val="99"/>
    <w:unhideWhenUsed/>
    <w:qFormat/>
    <w:rPr>
      <w:color w:val="467886" w:themeColor="hyperlink"/>
      <w:u w:val="single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EndNoteCategoryHeading">
    <w:name w:val="EndNote Category Heading"/>
    <w:basedOn w:val="a"/>
    <w:link w:val="EndNoteCategoryHeading0"/>
    <w:pPr>
      <w:spacing w:before="120" w:after="120"/>
      <w:jc w:val="left"/>
    </w:pPr>
    <w:rPr>
      <w:b/>
      <w:szCs w:val="24"/>
      <w14:ligatures w14:val="none"/>
    </w:rPr>
  </w:style>
  <w:style w:type="character" w:customStyle="1" w:styleId="EndNoteCategoryHeading0">
    <w:name w:val="EndNote Category Heading 字符"/>
    <w:basedOn w:val="a0"/>
    <w:link w:val="EndNoteCategoryHeading"/>
    <w:qFormat/>
    <w:rPr>
      <w:rFonts w:asciiTheme="minorHAnsi" w:eastAsiaTheme="minorEastAsia" w:hAnsiTheme="minorHAnsi" w:cstheme="minorBidi"/>
      <w:b/>
      <w:kern w:val="2"/>
      <w:sz w:val="21"/>
      <w:szCs w:val="24"/>
    </w:rPr>
  </w:style>
  <w:style w:type="table" w:styleId="aa">
    <w:name w:val="Table Grid"/>
    <w:basedOn w:val="a1"/>
    <w:uiPriority w:val="39"/>
    <w:qFormat/>
    <w:rsid w:val="00630C71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41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9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njmuslf@163.com</dc:creator>
  <cp:lastModifiedBy>njmuslf@163.com</cp:lastModifiedBy>
  <cp:revision>5</cp:revision>
  <dcterms:created xsi:type="dcterms:W3CDTF">2024-09-05T13:25:00Z</dcterms:created>
  <dcterms:modified xsi:type="dcterms:W3CDTF">2024-11-26T13:25:00Z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3B0E7C9CADFD40D3946C99EFB5E5A7FD_12</vt:lpwstr>
  </property>
</Properties>
</file>