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CA52" w14:textId="77777777" w:rsidR="00817FB2" w:rsidRPr="00B84605" w:rsidRDefault="00817FB2" w:rsidP="00817FB2">
      <w:pPr>
        <w:ind w:left="-720"/>
        <w:rPr>
          <w:rFonts w:ascii="Times New Roman" w:hAnsi="Times New Roman" w:cs="Times New Roman"/>
          <w:b/>
          <w:bCs/>
        </w:rPr>
      </w:pPr>
      <w:r>
        <w:rPr>
          <w:rFonts w:ascii="Times New Roman" w:hAnsi="Times New Roman" w:cs="Times New Roman"/>
          <w:b/>
          <w:bCs/>
        </w:rPr>
        <w:t xml:space="preserve">Supplementary </w:t>
      </w:r>
      <w:r w:rsidRPr="00B84605">
        <w:rPr>
          <w:rFonts w:ascii="Times New Roman" w:hAnsi="Times New Roman" w:cs="Times New Roman"/>
          <w:b/>
          <w:bCs/>
        </w:rPr>
        <w:t>Appendix</w:t>
      </w:r>
    </w:p>
    <w:p w14:paraId="57EA59DE" w14:textId="77777777" w:rsidR="00817FB2" w:rsidRPr="00B84605" w:rsidRDefault="00817FB2" w:rsidP="00817FB2">
      <w:pPr>
        <w:ind w:left="-720"/>
        <w:rPr>
          <w:rFonts w:ascii="Times New Roman" w:hAnsi="Times New Roman" w:cs="Times New Roman"/>
          <w:b/>
          <w:bCs/>
        </w:rPr>
      </w:pPr>
      <w:r>
        <w:rPr>
          <w:rFonts w:ascii="Times New Roman" w:hAnsi="Times New Roman" w:cs="Times New Roman"/>
          <w:b/>
          <w:bCs/>
        </w:rPr>
        <w:t>SQL code used to select variables from HMDA data for 2019</w:t>
      </w:r>
    </w:p>
    <w:p w14:paraId="54868EAF"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DROP TABLE IF EXISTS public.</w:t>
      </w:r>
      <w:proofErr w:type="gramStart"/>
      <w:r w:rsidRPr="00B84605">
        <w:rPr>
          <w:rFonts w:ascii="Times New Roman" w:hAnsi="Times New Roman" w:cs="Times New Roman"/>
        </w:rPr>
        <w:t>il2019F1;</w:t>
      </w:r>
      <w:proofErr w:type="gramEnd"/>
    </w:p>
    <w:p w14:paraId="491CC523"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 xml:space="preserve">CREATE TABLE il2019F1 AS (SELECT </w:t>
      </w:r>
    </w:p>
    <w:p w14:paraId="6FC3A954"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lar_2019.activity_year, </w:t>
      </w:r>
    </w:p>
    <w:p w14:paraId="4043DEA5"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lar_2019.derived_msa_md,</w:t>
      </w:r>
    </w:p>
    <w:p w14:paraId="06C145C6"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lar_2019.state_code,</w:t>
      </w:r>
    </w:p>
    <w:p w14:paraId="3F9E6AA3"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lar_2019.county_code,</w:t>
      </w:r>
    </w:p>
    <w:p w14:paraId="3B6DC169"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lar_2019.census_tract,</w:t>
      </w:r>
    </w:p>
    <w:p w14:paraId="7CA1BCF2"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lar_2019.debt_to_income_ratio,</w:t>
      </w:r>
    </w:p>
    <w:p w14:paraId="63DA8E04"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lar_2019.combined_loan_to_value_ratio, </w:t>
      </w:r>
    </w:p>
    <w:p w14:paraId="52872444"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lar_2019.income,</w:t>
      </w:r>
    </w:p>
    <w:p w14:paraId="2587255D"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lar_2019.property_value, </w:t>
      </w:r>
    </w:p>
    <w:p w14:paraId="4CB12066"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lar_2019.loan_amount,</w:t>
      </w:r>
    </w:p>
    <w:p w14:paraId="4234CB10"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lar_2019.interest_rate,</w:t>
      </w:r>
    </w:p>
    <w:p w14:paraId="7E5EEEC3"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lar_2019.applicant_ethnicity_1, </w:t>
      </w:r>
    </w:p>
    <w:p w14:paraId="1AFAB9C2"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lar_2019.applicant_race_1,</w:t>
      </w:r>
    </w:p>
    <w:p w14:paraId="1FB51854"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lar_2019.denial_reason_1,</w:t>
      </w:r>
    </w:p>
    <w:p w14:paraId="0173019F"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lar_2019.tract_minority_population_percent,</w:t>
      </w:r>
    </w:p>
    <w:p w14:paraId="3411DF98"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lar_2019.tract_to_msa_income_percentage,</w:t>
      </w:r>
    </w:p>
    <w:p w14:paraId="2CBB91DA"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lar_2019.tract_population, </w:t>
      </w:r>
    </w:p>
    <w:p w14:paraId="32D7300D"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 xml:space="preserve">lar_2019.tract_owner_occupied_units, </w:t>
      </w:r>
    </w:p>
    <w:p w14:paraId="045B285F"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lar_2019.tract_median_age_of_housing_units,</w:t>
      </w:r>
    </w:p>
    <w:p w14:paraId="382884D7"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lar_2019.rate_spread,</w:t>
      </w:r>
    </w:p>
    <w:p w14:paraId="057CF068"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lar_2019.hoepa_status,</w:t>
      </w:r>
    </w:p>
    <w:p w14:paraId="251F7BBB"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lar_2019.lien_status</w:t>
      </w:r>
    </w:p>
    <w:p w14:paraId="43DA8661"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 xml:space="preserve">FROM </w:t>
      </w:r>
    </w:p>
    <w:p w14:paraId="31622216"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t>public.lar_2019</w:t>
      </w:r>
    </w:p>
    <w:p w14:paraId="1CC28095"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 xml:space="preserve">WHERE lar_2019.loan_purpose = '1' and </w:t>
      </w:r>
    </w:p>
    <w:p w14:paraId="6CCB9EC1"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 xml:space="preserve">lar_2019.action_taken = '1' and </w:t>
      </w:r>
    </w:p>
    <w:p w14:paraId="5A964F04"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lar_2019.loan_type = '1' and</w:t>
      </w:r>
    </w:p>
    <w:p w14:paraId="536244DD"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lar_2019.derived_dwelling_category = 'Single Family (1-4 Units</w:t>
      </w:r>
      <w:proofErr w:type="gramStart"/>
      <w:r w:rsidRPr="00B84605">
        <w:rPr>
          <w:rFonts w:ascii="Times New Roman" w:hAnsi="Times New Roman" w:cs="Times New Roman"/>
        </w:rPr>
        <w:t>):Site</w:t>
      </w:r>
      <w:proofErr w:type="gramEnd"/>
      <w:r w:rsidRPr="00B84605">
        <w:rPr>
          <w:rFonts w:ascii="Times New Roman" w:hAnsi="Times New Roman" w:cs="Times New Roman"/>
        </w:rPr>
        <w:t>-Built' and</w:t>
      </w:r>
    </w:p>
    <w:p w14:paraId="7BF8A826"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lar_2019.occupancy_type = '1' and</w:t>
      </w:r>
    </w:p>
    <w:p w14:paraId="0D57C028"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 xml:space="preserve">lar_2019.state_code = 'IL' and </w:t>
      </w:r>
    </w:p>
    <w:p w14:paraId="7A7365DE"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 xml:space="preserve">lar_2019.county_code = '17031' and </w:t>
      </w:r>
    </w:p>
    <w:p w14:paraId="3817DD5A"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(lar_2019.property_value</w:t>
      </w:r>
      <w:proofErr w:type="gramStart"/>
      <w:r w:rsidRPr="00B84605">
        <w:rPr>
          <w:rFonts w:ascii="Times New Roman" w:hAnsi="Times New Roman" w:cs="Times New Roman"/>
        </w:rPr>
        <w:t>) !</w:t>
      </w:r>
      <w:proofErr w:type="gramEnd"/>
      <w:r w:rsidRPr="00B84605">
        <w:rPr>
          <w:rFonts w:ascii="Times New Roman" w:hAnsi="Times New Roman" w:cs="Times New Roman"/>
        </w:rPr>
        <w:t>= 'NA' and (lar_2019.property_value) != 'Exempt' and</w:t>
      </w:r>
    </w:p>
    <w:p w14:paraId="06938829"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(lar_2019.income</w:t>
      </w:r>
      <w:proofErr w:type="gramStart"/>
      <w:r w:rsidRPr="00B84605">
        <w:rPr>
          <w:rFonts w:ascii="Times New Roman" w:hAnsi="Times New Roman" w:cs="Times New Roman"/>
        </w:rPr>
        <w:t>) !</w:t>
      </w:r>
      <w:proofErr w:type="gramEnd"/>
      <w:r w:rsidRPr="00B84605">
        <w:rPr>
          <w:rFonts w:ascii="Times New Roman" w:hAnsi="Times New Roman" w:cs="Times New Roman"/>
        </w:rPr>
        <w:t>= 'NA' and</w:t>
      </w:r>
    </w:p>
    <w:p w14:paraId="64DB44CA"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ab/>
      </w:r>
      <w:r w:rsidRPr="00B84605">
        <w:rPr>
          <w:rFonts w:ascii="Times New Roman" w:hAnsi="Times New Roman" w:cs="Times New Roman"/>
        </w:rPr>
        <w:tab/>
        <w:t>(lar_2019.loan_amount</w:t>
      </w:r>
      <w:proofErr w:type="gramStart"/>
      <w:r w:rsidRPr="00B84605">
        <w:rPr>
          <w:rFonts w:ascii="Times New Roman" w:hAnsi="Times New Roman" w:cs="Times New Roman"/>
        </w:rPr>
        <w:t>) !</w:t>
      </w:r>
      <w:proofErr w:type="gramEnd"/>
      <w:r w:rsidRPr="00B84605">
        <w:rPr>
          <w:rFonts w:ascii="Times New Roman" w:hAnsi="Times New Roman" w:cs="Times New Roman"/>
        </w:rPr>
        <w:t>= 'NA' and lar_2019.income != '9999' AND lar_2019.loan_amount != '99999'</w:t>
      </w:r>
    </w:p>
    <w:p w14:paraId="4AEAE68E" w14:textId="77777777" w:rsidR="00817FB2" w:rsidRPr="00B84605" w:rsidRDefault="00817FB2" w:rsidP="00817FB2">
      <w:pPr>
        <w:pStyle w:val="NoSpacing"/>
        <w:rPr>
          <w:rFonts w:ascii="Times New Roman" w:hAnsi="Times New Roman" w:cs="Times New Roman"/>
        </w:rPr>
      </w:pPr>
      <w:r w:rsidRPr="00B84605">
        <w:rPr>
          <w:rFonts w:ascii="Times New Roman" w:hAnsi="Times New Roman" w:cs="Times New Roman"/>
        </w:rPr>
        <w:t>);</w:t>
      </w:r>
    </w:p>
    <w:p w14:paraId="309BA204" w14:textId="77777777" w:rsidR="00817FB2" w:rsidRDefault="00817FB2" w:rsidP="00817FB2">
      <w:pPr>
        <w:ind w:left="-720"/>
        <w:rPr>
          <w:rFonts w:ascii="Times New Roman" w:hAnsi="Times New Roman" w:cs="Times New Roman"/>
        </w:rPr>
        <w:sectPr w:rsidR="00817FB2" w:rsidSect="00817FB2">
          <w:pgSz w:w="12240" w:h="15840"/>
          <w:pgMar w:top="1440" w:right="1440" w:bottom="1440" w:left="1440" w:header="720" w:footer="720" w:gutter="0"/>
          <w:cols w:space="720"/>
          <w:docGrid w:linePitch="360"/>
        </w:sectPr>
      </w:pPr>
    </w:p>
    <w:p w14:paraId="5DA3316B" w14:textId="77777777" w:rsidR="00817FB2" w:rsidRPr="00B84605" w:rsidRDefault="00817FB2" w:rsidP="00817FB2">
      <w:pPr>
        <w:ind w:left="-720"/>
        <w:rPr>
          <w:rFonts w:ascii="Times New Roman" w:hAnsi="Times New Roman" w:cs="Times New Roman"/>
        </w:rPr>
      </w:pPr>
    </w:p>
    <w:p w14:paraId="24AED337" w14:textId="77777777" w:rsidR="0043534F" w:rsidRDefault="0043534F" w:rsidP="0043534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inline distT="0" distB="0" distL="0" distR="0" wp14:anchorId="5BA6F9DC" wp14:editId="4F528401">
            <wp:extent cx="5252314" cy="3009888"/>
            <wp:effectExtent l="0" t="0" r="5715" b="635"/>
            <wp:docPr id="1414028826" name="Picture 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28826" name="Picture 2" descr="A graph with a red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7339" cy="3012768"/>
                    </a:xfrm>
                    <a:prstGeom prst="rect">
                      <a:avLst/>
                    </a:prstGeom>
                    <a:noFill/>
                  </pic:spPr>
                </pic:pic>
              </a:graphicData>
            </a:graphic>
          </wp:inline>
        </w:drawing>
      </w:r>
    </w:p>
    <w:p w14:paraId="61E9A68A" w14:textId="7A499427" w:rsidR="0043534F" w:rsidRPr="003C0EB8" w:rsidRDefault="0043534F" w:rsidP="0043534F">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Supplementary </w:t>
      </w:r>
      <w:r w:rsidRPr="00684146">
        <w:rPr>
          <w:rFonts w:ascii="Times New Roman" w:eastAsia="Times New Roman" w:hAnsi="Times New Roman" w:cs="Times New Roman"/>
          <w:b/>
          <w:bCs/>
          <w:kern w:val="0"/>
          <w14:ligatures w14:val="none"/>
        </w:rPr>
        <w:t xml:space="preserve">Figure </w:t>
      </w:r>
      <w:r w:rsidR="000515CB">
        <w:rPr>
          <w:rFonts w:ascii="Times New Roman" w:eastAsia="Times New Roman" w:hAnsi="Times New Roman" w:cs="Times New Roman"/>
          <w:b/>
          <w:bCs/>
          <w:kern w:val="0"/>
          <w14:ligatures w14:val="none"/>
        </w:rPr>
        <w:t>1</w:t>
      </w:r>
      <w:r w:rsidRPr="00684146">
        <w:rPr>
          <w:rFonts w:ascii="Times New Roman" w:eastAsia="Times New Roman" w:hAnsi="Times New Roman" w:cs="Times New Roman"/>
          <w:kern w:val="0"/>
          <w14:ligatures w14:val="none"/>
        </w:rPr>
        <w:t xml:space="preserve">: </w:t>
      </w:r>
      <w:r w:rsidRPr="00E50D3B">
        <w:rPr>
          <w:rFonts w:ascii="Times New Roman" w:eastAsia="Times New Roman" w:hAnsi="Times New Roman" w:cs="Times New Roman"/>
          <w:kern w:val="0"/>
          <w14:ligatures w14:val="none"/>
        </w:rPr>
        <w:t>Posterior Predictive Check for Firearm-Related Homicides</w:t>
      </w:r>
      <w:r w:rsidRPr="00684146">
        <w:rPr>
          <w:rFonts w:ascii="Times New Roman" w:eastAsia="Times New Roman" w:hAnsi="Times New Roman" w:cs="Times New Roman"/>
          <w:kern w:val="0"/>
          <w14:ligatures w14:val="none"/>
        </w:rPr>
        <w:t xml:space="preserve">. </w:t>
      </w:r>
      <w:r w:rsidRPr="00E42F63">
        <w:rPr>
          <w:rFonts w:ascii="Times New Roman" w:eastAsia="Times New Roman" w:hAnsi="Times New Roman" w:cs="Times New Roman"/>
          <w:kern w:val="0"/>
          <w14:ligatures w14:val="none"/>
        </w:rPr>
        <w:t>The plot compares observed and predicted firearm-related homicide counts at the census tract level. The black dashed line represents the ideal 1:1 fit, indicating perfect agreement between predictions and observations, while the red line shows the actual trend from the model. The strong alignment between observed and predicted values suggests that the Poisson BYM model provides reasonable estimates of firearm-related violence risk across census tracts.</w:t>
      </w:r>
    </w:p>
    <w:p w14:paraId="14E6F661" w14:textId="77777777" w:rsidR="00817FB2" w:rsidRDefault="00817FB2"/>
    <w:sectPr w:rsidR="00817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B2"/>
    <w:rsid w:val="000515CB"/>
    <w:rsid w:val="00264C43"/>
    <w:rsid w:val="002F2B8B"/>
    <w:rsid w:val="0043534F"/>
    <w:rsid w:val="00817FB2"/>
    <w:rsid w:val="0092072F"/>
    <w:rsid w:val="009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E2AA"/>
  <w15:chartTrackingRefBased/>
  <w15:docId w15:val="{2BD9F1DF-863A-4420-A44B-14E236B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B2"/>
    <w:pPr>
      <w:spacing w:line="259" w:lineRule="auto"/>
    </w:pPr>
    <w:rPr>
      <w:sz w:val="22"/>
      <w:szCs w:val="22"/>
    </w:rPr>
  </w:style>
  <w:style w:type="paragraph" w:styleId="Heading1">
    <w:name w:val="heading 1"/>
    <w:basedOn w:val="Normal"/>
    <w:next w:val="Normal"/>
    <w:link w:val="Heading1Char"/>
    <w:uiPriority w:val="9"/>
    <w:qFormat/>
    <w:rsid w:val="00817FB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FB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FB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FB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17FB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17FB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17FB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17FB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17FB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B2"/>
    <w:rPr>
      <w:rFonts w:eastAsiaTheme="majorEastAsia" w:cstheme="majorBidi"/>
      <w:color w:val="272727" w:themeColor="text1" w:themeTint="D8"/>
    </w:rPr>
  </w:style>
  <w:style w:type="paragraph" w:styleId="Title">
    <w:name w:val="Title"/>
    <w:basedOn w:val="Normal"/>
    <w:next w:val="Normal"/>
    <w:link w:val="TitleChar"/>
    <w:uiPriority w:val="10"/>
    <w:qFormat/>
    <w:rsid w:val="0081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B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B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17FB2"/>
    <w:rPr>
      <w:i/>
      <w:iCs/>
      <w:color w:val="404040" w:themeColor="text1" w:themeTint="BF"/>
    </w:rPr>
  </w:style>
  <w:style w:type="paragraph" w:styleId="ListParagraph">
    <w:name w:val="List Paragraph"/>
    <w:basedOn w:val="Normal"/>
    <w:uiPriority w:val="34"/>
    <w:qFormat/>
    <w:rsid w:val="00817FB2"/>
    <w:pPr>
      <w:spacing w:line="278" w:lineRule="auto"/>
      <w:ind w:left="720"/>
      <w:contextualSpacing/>
    </w:pPr>
    <w:rPr>
      <w:sz w:val="24"/>
      <w:szCs w:val="24"/>
    </w:rPr>
  </w:style>
  <w:style w:type="character" w:styleId="IntenseEmphasis">
    <w:name w:val="Intense Emphasis"/>
    <w:basedOn w:val="DefaultParagraphFont"/>
    <w:uiPriority w:val="21"/>
    <w:qFormat/>
    <w:rsid w:val="00817FB2"/>
    <w:rPr>
      <w:i/>
      <w:iCs/>
      <w:color w:val="0F4761" w:themeColor="accent1" w:themeShade="BF"/>
    </w:rPr>
  </w:style>
  <w:style w:type="paragraph" w:styleId="IntenseQuote">
    <w:name w:val="Intense Quote"/>
    <w:basedOn w:val="Normal"/>
    <w:next w:val="Normal"/>
    <w:link w:val="IntenseQuoteChar"/>
    <w:uiPriority w:val="30"/>
    <w:qFormat/>
    <w:rsid w:val="00817F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17FB2"/>
    <w:rPr>
      <w:i/>
      <w:iCs/>
      <w:color w:val="0F4761" w:themeColor="accent1" w:themeShade="BF"/>
    </w:rPr>
  </w:style>
  <w:style w:type="character" w:styleId="IntenseReference">
    <w:name w:val="Intense Reference"/>
    <w:basedOn w:val="DefaultParagraphFont"/>
    <w:uiPriority w:val="32"/>
    <w:qFormat/>
    <w:rsid w:val="00817FB2"/>
    <w:rPr>
      <w:b/>
      <w:bCs/>
      <w:smallCaps/>
      <w:color w:val="0F4761" w:themeColor="accent1" w:themeShade="BF"/>
      <w:spacing w:val="5"/>
    </w:rPr>
  </w:style>
  <w:style w:type="paragraph" w:styleId="NoSpacing">
    <w:name w:val="No Spacing"/>
    <w:uiPriority w:val="1"/>
    <w:qFormat/>
    <w:rsid w:val="00817FB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1641</Characters>
  <Application>Microsoft Office Word</Application>
  <DocSecurity>0</DocSecurity>
  <Lines>49</Lines>
  <Paragraphs>40</Paragraphs>
  <ScaleCrop>false</ScaleCrop>
  <Company>The Ohio State University</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2</cp:revision>
  <dcterms:created xsi:type="dcterms:W3CDTF">2025-02-18T13:35:00Z</dcterms:created>
  <dcterms:modified xsi:type="dcterms:W3CDTF">2025-02-18T13:35:00Z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c258496aee767836df2bb5e700109bf682c32b62301a9603ea09393b772d6f48</vt:lpwstr>
  </property>
</Properties>
</file>