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27422" w14:textId="21AF2A4F" w:rsidR="00C050DA" w:rsidRPr="00381A0D" w:rsidRDefault="00C050DA" w:rsidP="00C050DA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Times" w:hAnsi="Times" w:cs="Times"/>
          <w:b/>
          <w:lang w:val="en-US" w:eastAsia="it-IT"/>
        </w:rPr>
      </w:pPr>
      <w:r w:rsidRPr="00381A0D">
        <w:rPr>
          <w:b/>
          <w:lang w:val="en-GB"/>
        </w:rPr>
        <w:t xml:space="preserve">Table </w:t>
      </w:r>
      <w:r w:rsidR="0056480F">
        <w:rPr>
          <w:b/>
          <w:lang w:val="en-GB"/>
        </w:rPr>
        <w:t>3</w:t>
      </w:r>
      <w:r w:rsidRPr="00381A0D">
        <w:rPr>
          <w:b/>
          <w:lang w:val="en-GB"/>
        </w:rPr>
        <w:t xml:space="preserve">– </w:t>
      </w:r>
      <w:r w:rsidRPr="00381A0D">
        <w:rPr>
          <w:lang w:val="en-US"/>
        </w:rPr>
        <w:t xml:space="preserve">Independent predictors of </w:t>
      </w:r>
      <w:r w:rsidR="00C369BA" w:rsidRPr="00C369BA">
        <w:rPr>
          <w:lang w:val="en-US"/>
        </w:rPr>
        <w:t>myocardial glucose metabolic rate</w:t>
      </w:r>
      <w:r w:rsidR="00C369BA">
        <w:rPr>
          <w:lang w:val="en-US"/>
        </w:rPr>
        <w:t xml:space="preserve"> </w:t>
      </w:r>
      <w:r w:rsidRPr="00381A0D">
        <w:rPr>
          <w:lang w:val="en-US"/>
        </w:rPr>
        <w:t xml:space="preserve">after stepwise multiple regression analysis </w:t>
      </w:r>
    </w:p>
    <w:p w14:paraId="1A4E26AD" w14:textId="77777777" w:rsidR="00C050DA" w:rsidRPr="00381A0D" w:rsidRDefault="00C050DA" w:rsidP="00C050DA">
      <w:pPr>
        <w:rPr>
          <w:lang w:val="en-US"/>
        </w:rPr>
      </w:pP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1"/>
        <w:gridCol w:w="1559"/>
        <w:gridCol w:w="1276"/>
        <w:gridCol w:w="1276"/>
        <w:gridCol w:w="1276"/>
      </w:tblGrid>
      <w:tr w:rsidR="00C050DA" w:rsidRPr="00381A0D" w14:paraId="08C52504" w14:textId="77777777" w:rsidTr="00852CE7">
        <w:trPr>
          <w:jc w:val="center"/>
        </w:trPr>
        <w:tc>
          <w:tcPr>
            <w:tcW w:w="3641" w:type="dxa"/>
          </w:tcPr>
          <w:p w14:paraId="432E8B05" w14:textId="77777777" w:rsidR="00C050DA" w:rsidRPr="00381A0D" w:rsidRDefault="00C050DA" w:rsidP="00852CE7">
            <w:pPr>
              <w:tabs>
                <w:tab w:val="left" w:pos="426"/>
              </w:tabs>
              <w:snapToGrid w:val="0"/>
              <w:rPr>
                <w:lang w:val="en-GB"/>
              </w:rPr>
            </w:pPr>
          </w:p>
        </w:tc>
        <w:tc>
          <w:tcPr>
            <w:tcW w:w="1559" w:type="dxa"/>
          </w:tcPr>
          <w:p w14:paraId="6B98264A" w14:textId="77777777" w:rsidR="00C050DA" w:rsidRPr="00381A0D" w:rsidRDefault="00C050DA" w:rsidP="00852CE7">
            <w:pPr>
              <w:tabs>
                <w:tab w:val="left" w:pos="426"/>
              </w:tabs>
              <w:snapToGrid w:val="0"/>
              <w:ind w:right="-70"/>
              <w:jc w:val="center"/>
              <w:rPr>
                <w:b/>
                <w:lang w:val="en-GB"/>
              </w:rPr>
            </w:pPr>
            <w:r w:rsidRPr="00381A0D">
              <w:rPr>
                <w:b/>
                <w:lang w:val="en-GB"/>
              </w:rPr>
              <w:t>Total r</w:t>
            </w:r>
            <w:r w:rsidRPr="00381A0D">
              <w:rPr>
                <w:b/>
                <w:vertAlign w:val="superscript"/>
                <w:lang w:val="en-GB"/>
              </w:rPr>
              <w:t>2</w:t>
            </w:r>
            <w:r w:rsidRPr="00381A0D">
              <w:rPr>
                <w:b/>
                <w:lang w:val="en-GB"/>
              </w:rPr>
              <w:t>(%)</w:t>
            </w:r>
          </w:p>
        </w:tc>
        <w:tc>
          <w:tcPr>
            <w:tcW w:w="1276" w:type="dxa"/>
          </w:tcPr>
          <w:p w14:paraId="4701DF2A" w14:textId="77777777" w:rsidR="00C050DA" w:rsidRPr="00381A0D" w:rsidRDefault="00C050DA" w:rsidP="00852CE7">
            <w:pPr>
              <w:snapToGrid w:val="0"/>
              <w:ind w:right="-70"/>
              <w:jc w:val="center"/>
              <w:rPr>
                <w:b/>
                <w:i/>
                <w:lang w:val="en-GB"/>
              </w:rPr>
            </w:pPr>
            <w:r w:rsidRPr="00381A0D">
              <w:rPr>
                <w:b/>
                <w:i/>
                <w:lang w:val="en-US"/>
              </w:rPr>
              <w:sym w:font="Symbol" w:char="F062"/>
            </w:r>
          </w:p>
        </w:tc>
        <w:tc>
          <w:tcPr>
            <w:tcW w:w="1276" w:type="dxa"/>
          </w:tcPr>
          <w:p w14:paraId="2DDB38E2" w14:textId="77777777" w:rsidR="00C050DA" w:rsidRPr="00381A0D" w:rsidRDefault="00C050DA" w:rsidP="00852CE7">
            <w:pPr>
              <w:snapToGrid w:val="0"/>
              <w:ind w:right="-70"/>
              <w:jc w:val="center"/>
              <w:rPr>
                <w:b/>
                <w:i/>
                <w:iCs/>
                <w:lang w:val="en-GB"/>
              </w:rPr>
            </w:pPr>
            <w:r>
              <w:rPr>
                <w:b/>
                <w:i/>
                <w:iCs/>
                <w:lang w:val="en-GB"/>
              </w:rPr>
              <w:t>t</w:t>
            </w:r>
          </w:p>
        </w:tc>
        <w:tc>
          <w:tcPr>
            <w:tcW w:w="1276" w:type="dxa"/>
          </w:tcPr>
          <w:p w14:paraId="4E21FBC9" w14:textId="77777777" w:rsidR="00C050DA" w:rsidRPr="00381A0D" w:rsidRDefault="00C050DA" w:rsidP="00852CE7">
            <w:pPr>
              <w:snapToGrid w:val="0"/>
              <w:ind w:right="-70"/>
              <w:jc w:val="center"/>
              <w:rPr>
                <w:b/>
                <w:i/>
                <w:iCs/>
                <w:lang w:val="en-GB"/>
              </w:rPr>
            </w:pPr>
            <w:r>
              <w:rPr>
                <w:b/>
                <w:i/>
                <w:iCs/>
                <w:lang w:val="en-GB"/>
              </w:rPr>
              <w:t>P</w:t>
            </w:r>
          </w:p>
        </w:tc>
      </w:tr>
      <w:tr w:rsidR="00C369BA" w:rsidRPr="00381A0D" w14:paraId="6BDD2CAA" w14:textId="77777777" w:rsidTr="00852CE7">
        <w:trPr>
          <w:jc w:val="center"/>
        </w:trPr>
        <w:tc>
          <w:tcPr>
            <w:tcW w:w="3641" w:type="dxa"/>
          </w:tcPr>
          <w:p w14:paraId="0786F7A6" w14:textId="2A962106" w:rsidR="00C369BA" w:rsidRDefault="00C369BA" w:rsidP="00C369BA">
            <w:pPr>
              <w:tabs>
                <w:tab w:val="left" w:pos="426"/>
              </w:tabs>
              <w:snapToGrid w:val="0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Pr="00C369BA">
              <w:rPr>
                <w:lang w:val="en-US"/>
              </w:rPr>
              <w:t>hole blood viscosity</w:t>
            </w:r>
            <w:r>
              <w:rPr>
                <w:lang w:val="en-US"/>
              </w:rPr>
              <w:t xml:space="preserve"> (</w:t>
            </w:r>
            <w:proofErr w:type="spellStart"/>
            <w:r w:rsidRPr="00C369BA">
              <w:rPr>
                <w:i/>
                <w:iCs/>
                <w:lang w:val="en-US"/>
              </w:rPr>
              <w:t>cP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559" w:type="dxa"/>
          </w:tcPr>
          <w:p w14:paraId="5FD755D2" w14:textId="6D183CE1" w:rsidR="00C369BA" w:rsidRPr="00381A0D" w:rsidRDefault="006114A1" w:rsidP="00C369BA">
            <w:pPr>
              <w:tabs>
                <w:tab w:val="left" w:pos="426"/>
              </w:tabs>
              <w:snapToGrid w:val="0"/>
              <w:ind w:right="-70"/>
              <w:jc w:val="center"/>
              <w:rPr>
                <w:lang w:val="en-US"/>
              </w:rPr>
            </w:pPr>
            <w:r>
              <w:rPr>
                <w:lang w:val="en-US"/>
              </w:rPr>
              <w:t>48.7</w:t>
            </w:r>
          </w:p>
        </w:tc>
        <w:tc>
          <w:tcPr>
            <w:tcW w:w="1276" w:type="dxa"/>
          </w:tcPr>
          <w:p w14:paraId="6304542B" w14:textId="552E4438" w:rsidR="00C369BA" w:rsidRPr="00381A0D" w:rsidRDefault="00C369BA" w:rsidP="00C369BA">
            <w:pPr>
              <w:tabs>
                <w:tab w:val="left" w:pos="426"/>
              </w:tabs>
              <w:snapToGrid w:val="0"/>
              <w:ind w:right="-70"/>
              <w:jc w:val="center"/>
              <w:rPr>
                <w:lang w:val="en-US"/>
              </w:rPr>
            </w:pPr>
            <w:r w:rsidRPr="00381A0D">
              <w:rPr>
                <w:color w:val="000000" w:themeColor="dark1"/>
                <w:kern w:val="24"/>
                <w:lang w:val="en-GB"/>
              </w:rPr>
              <w:t>-0.</w:t>
            </w:r>
            <w:r w:rsidR="006E325D">
              <w:rPr>
                <w:color w:val="000000" w:themeColor="dark1"/>
                <w:kern w:val="24"/>
                <w:lang w:val="en-GB"/>
              </w:rPr>
              <w:t>505</w:t>
            </w:r>
          </w:p>
        </w:tc>
        <w:tc>
          <w:tcPr>
            <w:tcW w:w="1276" w:type="dxa"/>
          </w:tcPr>
          <w:p w14:paraId="381DF1A1" w14:textId="28A22785" w:rsidR="00C369BA" w:rsidRPr="00381A0D" w:rsidRDefault="00C369BA" w:rsidP="00C369BA">
            <w:pPr>
              <w:tabs>
                <w:tab w:val="left" w:pos="426"/>
              </w:tabs>
              <w:snapToGrid w:val="0"/>
              <w:ind w:right="-70"/>
              <w:jc w:val="center"/>
              <w:rPr>
                <w:lang w:val="en-US"/>
              </w:rPr>
            </w:pPr>
            <w:r>
              <w:rPr>
                <w:color w:val="000000" w:themeColor="dark1"/>
                <w:kern w:val="24"/>
                <w:lang w:val="en-GB"/>
              </w:rPr>
              <w:t>-</w:t>
            </w:r>
            <w:r w:rsidR="006E325D">
              <w:rPr>
                <w:color w:val="000000" w:themeColor="dark1"/>
                <w:kern w:val="24"/>
                <w:lang w:val="en-GB"/>
              </w:rPr>
              <w:t>3.690</w:t>
            </w:r>
          </w:p>
        </w:tc>
        <w:tc>
          <w:tcPr>
            <w:tcW w:w="1276" w:type="dxa"/>
          </w:tcPr>
          <w:p w14:paraId="6FCB7890" w14:textId="21025CE9" w:rsidR="00C369BA" w:rsidRPr="00381A0D" w:rsidRDefault="006114A1" w:rsidP="00C369BA">
            <w:pPr>
              <w:tabs>
                <w:tab w:val="left" w:pos="426"/>
              </w:tabs>
              <w:snapToGrid w:val="0"/>
              <w:ind w:right="-70"/>
              <w:jc w:val="center"/>
              <w:rPr>
                <w:lang w:val="en-US"/>
              </w:rPr>
            </w:pPr>
            <w:r>
              <w:rPr>
                <w:color w:val="000000" w:themeColor="dark1"/>
                <w:kern w:val="24"/>
                <w:lang w:val="en-GB"/>
              </w:rPr>
              <w:t>&lt;0.0001</w:t>
            </w:r>
          </w:p>
        </w:tc>
      </w:tr>
      <w:tr w:rsidR="00C369BA" w:rsidRPr="00381A0D" w14:paraId="577BFD82" w14:textId="77777777" w:rsidTr="00852CE7">
        <w:trPr>
          <w:trHeight w:val="440"/>
          <w:jc w:val="center"/>
        </w:trPr>
        <w:tc>
          <w:tcPr>
            <w:tcW w:w="3641" w:type="dxa"/>
          </w:tcPr>
          <w:p w14:paraId="6F15AB72" w14:textId="7804A798" w:rsidR="00C369BA" w:rsidRPr="00C369BA" w:rsidRDefault="002E7106" w:rsidP="00C369BA">
            <w:pPr>
              <w:tabs>
                <w:tab w:val="left" w:pos="426"/>
              </w:tabs>
              <w:snapToGrid w:val="0"/>
              <w:spacing w:line="360" w:lineRule="auto"/>
              <w:rPr>
                <w:lang w:val="en-US"/>
              </w:rPr>
            </w:pPr>
            <w:proofErr w:type="spellStart"/>
            <w:r w:rsidRPr="00801353">
              <w:rPr>
                <w:rFonts w:eastAsia="Times New Roman"/>
                <w:color w:val="000000"/>
                <w:lang w:eastAsia="it-IT"/>
              </w:rPr>
              <w:t>Fasting</w:t>
            </w:r>
            <w:proofErr w:type="spellEnd"/>
            <w:r w:rsidRPr="00801353">
              <w:rPr>
                <w:rFonts w:eastAsia="Times New Roman"/>
                <w:color w:val="000000"/>
                <w:lang w:eastAsia="it-IT"/>
              </w:rPr>
              <w:t xml:space="preserve"> </w:t>
            </w:r>
            <w:proofErr w:type="spellStart"/>
            <w:r w:rsidRPr="00801353">
              <w:rPr>
                <w:rFonts w:eastAsia="Times New Roman"/>
                <w:color w:val="000000"/>
                <w:lang w:eastAsia="it-IT"/>
              </w:rPr>
              <w:t>insulin</w:t>
            </w:r>
            <w:proofErr w:type="spellEnd"/>
            <w:r w:rsidRPr="00801353">
              <w:rPr>
                <w:rFonts w:eastAsia="Times New Roman"/>
                <w:color w:val="000000"/>
                <w:lang w:eastAsia="it-IT"/>
              </w:rPr>
              <w:t xml:space="preserve"> (</w:t>
            </w:r>
            <w:proofErr w:type="spellStart"/>
            <w:r w:rsidRPr="00801353">
              <w:rPr>
                <w:rFonts w:eastAsia="Times New Roman"/>
                <w:i/>
                <w:iCs/>
                <w:color w:val="000000"/>
                <w:lang w:eastAsia="it-IT"/>
              </w:rPr>
              <w:t>mU</w:t>
            </w:r>
            <w:proofErr w:type="spellEnd"/>
            <w:r w:rsidRPr="00801353">
              <w:rPr>
                <w:rFonts w:eastAsia="Times New Roman"/>
                <w:i/>
                <w:iCs/>
                <w:color w:val="000000"/>
                <w:lang w:eastAsia="it-IT"/>
              </w:rPr>
              <w:t>/m</w:t>
            </w:r>
            <w:r w:rsidRPr="00801353">
              <w:rPr>
                <w:rFonts w:eastAsia="Times New Roman"/>
                <w:color w:val="000000"/>
                <w:lang w:eastAsia="it-IT"/>
              </w:rPr>
              <w:t>l)</w:t>
            </w:r>
          </w:p>
        </w:tc>
        <w:tc>
          <w:tcPr>
            <w:tcW w:w="1559" w:type="dxa"/>
          </w:tcPr>
          <w:p w14:paraId="2D5F396A" w14:textId="0A6F4D7C" w:rsidR="00C369BA" w:rsidRPr="00381A0D" w:rsidRDefault="006114A1" w:rsidP="00C369BA">
            <w:pPr>
              <w:tabs>
                <w:tab w:val="left" w:pos="426"/>
              </w:tabs>
              <w:snapToGrid w:val="0"/>
              <w:spacing w:line="360" w:lineRule="auto"/>
              <w:jc w:val="center"/>
              <w:rPr>
                <w:lang w:val="en-US"/>
              </w:rPr>
            </w:pPr>
            <w:r>
              <w:rPr>
                <w:color w:val="000000" w:themeColor="dark1"/>
                <w:kern w:val="24"/>
                <w:lang w:val="en-GB"/>
              </w:rPr>
              <w:t>59.3</w:t>
            </w:r>
          </w:p>
        </w:tc>
        <w:tc>
          <w:tcPr>
            <w:tcW w:w="1276" w:type="dxa"/>
          </w:tcPr>
          <w:p w14:paraId="392A5ADE" w14:textId="3137AF20" w:rsidR="00C369BA" w:rsidRPr="00381A0D" w:rsidRDefault="006E325D" w:rsidP="00C369BA">
            <w:pPr>
              <w:jc w:val="center"/>
              <w:rPr>
                <w:lang w:val="en-US"/>
              </w:rPr>
            </w:pPr>
            <w:r w:rsidRPr="00381A0D">
              <w:rPr>
                <w:color w:val="000000" w:themeColor="dark1"/>
                <w:kern w:val="24"/>
                <w:lang w:val="en-GB"/>
              </w:rPr>
              <w:t>-0.</w:t>
            </w:r>
            <w:r>
              <w:rPr>
                <w:color w:val="000000" w:themeColor="dark1"/>
                <w:kern w:val="24"/>
                <w:lang w:val="en-GB"/>
              </w:rPr>
              <w:t>346</w:t>
            </w:r>
          </w:p>
        </w:tc>
        <w:tc>
          <w:tcPr>
            <w:tcW w:w="1276" w:type="dxa"/>
          </w:tcPr>
          <w:p w14:paraId="28ECDBCE" w14:textId="3DF4D4AC" w:rsidR="00C369BA" w:rsidRPr="00381A0D" w:rsidRDefault="00C369BA" w:rsidP="00C369BA">
            <w:pPr>
              <w:jc w:val="center"/>
              <w:rPr>
                <w:lang w:val="en-US"/>
              </w:rPr>
            </w:pPr>
            <w:r>
              <w:rPr>
                <w:color w:val="000000" w:themeColor="dark1"/>
                <w:kern w:val="24"/>
                <w:lang w:val="en-GB"/>
              </w:rPr>
              <w:t>-</w:t>
            </w:r>
            <w:r w:rsidR="006E325D">
              <w:rPr>
                <w:color w:val="000000" w:themeColor="dark1"/>
                <w:kern w:val="24"/>
                <w:lang w:val="en-GB"/>
              </w:rPr>
              <w:t>3.038</w:t>
            </w:r>
          </w:p>
        </w:tc>
        <w:tc>
          <w:tcPr>
            <w:tcW w:w="1276" w:type="dxa"/>
          </w:tcPr>
          <w:p w14:paraId="21B9298E" w14:textId="7DAB36AD" w:rsidR="00C369BA" w:rsidRPr="00381A0D" w:rsidRDefault="00C369BA" w:rsidP="00C369BA">
            <w:pPr>
              <w:jc w:val="center"/>
              <w:rPr>
                <w:color w:val="000000" w:themeColor="dark1"/>
                <w:kern w:val="24"/>
                <w:lang w:val="en-GB"/>
              </w:rPr>
            </w:pPr>
            <w:r>
              <w:rPr>
                <w:color w:val="000000" w:themeColor="dark1"/>
                <w:kern w:val="24"/>
                <w:lang w:val="en-GB"/>
              </w:rPr>
              <w:t>0.0</w:t>
            </w:r>
            <w:r w:rsidR="006114A1">
              <w:rPr>
                <w:color w:val="000000" w:themeColor="dark1"/>
                <w:kern w:val="24"/>
                <w:lang w:val="en-GB"/>
              </w:rPr>
              <w:t>0</w:t>
            </w:r>
            <w:r w:rsidR="006E325D">
              <w:rPr>
                <w:color w:val="000000" w:themeColor="dark1"/>
                <w:kern w:val="24"/>
                <w:lang w:val="en-GB"/>
              </w:rPr>
              <w:t>4</w:t>
            </w:r>
          </w:p>
        </w:tc>
      </w:tr>
      <w:tr w:rsidR="006114A1" w:rsidRPr="00381A0D" w14:paraId="0DFEF598" w14:textId="77777777" w:rsidTr="00852CE7">
        <w:trPr>
          <w:trHeight w:val="440"/>
          <w:jc w:val="center"/>
        </w:trPr>
        <w:tc>
          <w:tcPr>
            <w:tcW w:w="3641" w:type="dxa"/>
          </w:tcPr>
          <w:p w14:paraId="026ED4A2" w14:textId="605357E1" w:rsidR="006114A1" w:rsidRDefault="00D82D34" w:rsidP="006114A1">
            <w:pPr>
              <w:spacing w:line="360" w:lineRule="auto"/>
              <w:jc w:val="both"/>
              <w:rPr>
                <w:lang w:val="en-US"/>
              </w:rPr>
            </w:pPr>
            <w:proofErr w:type="spellStart"/>
            <w:r w:rsidRPr="008450BA">
              <w:rPr>
                <w:rFonts w:eastAsia="Times New Roman"/>
                <w:color w:val="000000"/>
                <w:lang w:eastAsia="it-IT"/>
              </w:rPr>
              <w:t>Fasting</w:t>
            </w:r>
            <w:proofErr w:type="spellEnd"/>
            <w:r w:rsidRPr="008450BA">
              <w:rPr>
                <w:rFonts w:eastAsia="Times New Roman"/>
                <w:color w:val="000000"/>
                <w:lang w:eastAsia="it-IT"/>
              </w:rPr>
              <w:t xml:space="preserve"> Plasma </w:t>
            </w:r>
            <w:proofErr w:type="spellStart"/>
            <w:r w:rsidRPr="008450BA">
              <w:rPr>
                <w:rFonts w:eastAsia="Times New Roman"/>
                <w:color w:val="000000"/>
                <w:lang w:eastAsia="it-IT"/>
              </w:rPr>
              <w:t>Glucose</w:t>
            </w:r>
            <w:proofErr w:type="spellEnd"/>
            <w:r w:rsidRPr="008450BA">
              <w:rPr>
                <w:rFonts w:eastAsia="Times New Roman"/>
                <w:color w:val="000000"/>
                <w:lang w:eastAsia="it-IT"/>
              </w:rPr>
              <w:t xml:space="preserve"> </w:t>
            </w:r>
            <w:r w:rsidRPr="008450BA">
              <w:rPr>
                <w:rFonts w:eastAsia="Times New Roman"/>
                <w:i/>
                <w:iCs/>
                <w:color w:val="000000"/>
                <w:lang w:eastAsia="it-IT"/>
              </w:rPr>
              <w:t>(mg/</w:t>
            </w:r>
            <w:proofErr w:type="spellStart"/>
            <w:r w:rsidRPr="008450BA">
              <w:rPr>
                <w:rFonts w:eastAsia="Times New Roman"/>
                <w:i/>
                <w:iCs/>
                <w:color w:val="000000"/>
                <w:lang w:eastAsia="it-IT"/>
              </w:rPr>
              <w:t>dL</w:t>
            </w:r>
            <w:proofErr w:type="spellEnd"/>
            <w:r w:rsidRPr="008450BA">
              <w:rPr>
                <w:rFonts w:eastAsia="Times New Roman"/>
                <w:i/>
                <w:iCs/>
                <w:color w:val="000000"/>
                <w:lang w:eastAsia="it-IT"/>
              </w:rPr>
              <w:t>)</w:t>
            </w:r>
          </w:p>
        </w:tc>
        <w:tc>
          <w:tcPr>
            <w:tcW w:w="1559" w:type="dxa"/>
          </w:tcPr>
          <w:p w14:paraId="70DFEE71" w14:textId="440F773B" w:rsidR="006114A1" w:rsidRDefault="006114A1" w:rsidP="00C369BA">
            <w:pPr>
              <w:tabs>
                <w:tab w:val="left" w:pos="426"/>
              </w:tabs>
              <w:snapToGrid w:val="0"/>
              <w:spacing w:line="360" w:lineRule="auto"/>
              <w:jc w:val="center"/>
              <w:rPr>
                <w:color w:val="000000" w:themeColor="dark1"/>
                <w:kern w:val="24"/>
                <w:lang w:val="en-GB"/>
              </w:rPr>
            </w:pPr>
            <w:r>
              <w:rPr>
                <w:color w:val="000000" w:themeColor="dark1"/>
                <w:kern w:val="24"/>
                <w:lang w:val="en-GB"/>
              </w:rPr>
              <w:t>65.5</w:t>
            </w:r>
          </w:p>
        </w:tc>
        <w:tc>
          <w:tcPr>
            <w:tcW w:w="1276" w:type="dxa"/>
          </w:tcPr>
          <w:p w14:paraId="59CB499B" w14:textId="3780EC03" w:rsidR="006114A1" w:rsidRPr="00381A0D" w:rsidRDefault="006E325D" w:rsidP="00C369BA">
            <w:pPr>
              <w:jc w:val="center"/>
              <w:rPr>
                <w:color w:val="000000" w:themeColor="dark1"/>
                <w:kern w:val="24"/>
                <w:lang w:val="en-GB"/>
              </w:rPr>
            </w:pPr>
            <w:r w:rsidRPr="00381A0D">
              <w:rPr>
                <w:color w:val="000000" w:themeColor="dark1"/>
                <w:kern w:val="24"/>
                <w:lang w:val="en-GB"/>
              </w:rPr>
              <w:t>-0.</w:t>
            </w:r>
            <w:r>
              <w:rPr>
                <w:color w:val="000000" w:themeColor="dark1"/>
                <w:kern w:val="24"/>
                <w:lang w:val="en-GB"/>
              </w:rPr>
              <w:t>287</w:t>
            </w:r>
          </w:p>
        </w:tc>
        <w:tc>
          <w:tcPr>
            <w:tcW w:w="1276" w:type="dxa"/>
          </w:tcPr>
          <w:p w14:paraId="66D3A6EF" w14:textId="6D444A36" w:rsidR="006114A1" w:rsidRDefault="006E325D" w:rsidP="00C369BA">
            <w:pPr>
              <w:jc w:val="center"/>
              <w:rPr>
                <w:color w:val="000000" w:themeColor="dark1"/>
                <w:kern w:val="24"/>
                <w:lang w:val="en-GB"/>
              </w:rPr>
            </w:pPr>
            <w:r>
              <w:rPr>
                <w:color w:val="000000" w:themeColor="dark1"/>
                <w:kern w:val="24"/>
                <w:lang w:val="en-GB"/>
              </w:rPr>
              <w:t>-2.442</w:t>
            </w:r>
          </w:p>
        </w:tc>
        <w:tc>
          <w:tcPr>
            <w:tcW w:w="1276" w:type="dxa"/>
          </w:tcPr>
          <w:p w14:paraId="60B800AE" w14:textId="6D8163F6" w:rsidR="006114A1" w:rsidRDefault="006114A1" w:rsidP="00C369BA">
            <w:pPr>
              <w:jc w:val="center"/>
              <w:rPr>
                <w:color w:val="000000" w:themeColor="dark1"/>
                <w:kern w:val="24"/>
                <w:lang w:val="en-GB"/>
              </w:rPr>
            </w:pPr>
            <w:r>
              <w:rPr>
                <w:color w:val="000000" w:themeColor="dark1"/>
                <w:kern w:val="24"/>
                <w:lang w:val="en-GB"/>
              </w:rPr>
              <w:t>0.01</w:t>
            </w:r>
          </w:p>
        </w:tc>
      </w:tr>
      <w:tr w:rsidR="006114A1" w:rsidRPr="00381A0D" w14:paraId="526AB9AE" w14:textId="77777777" w:rsidTr="00852CE7">
        <w:trPr>
          <w:trHeight w:val="440"/>
          <w:jc w:val="center"/>
        </w:trPr>
        <w:tc>
          <w:tcPr>
            <w:tcW w:w="3641" w:type="dxa"/>
          </w:tcPr>
          <w:p w14:paraId="432B8FE7" w14:textId="28E9B0D5" w:rsidR="006114A1" w:rsidRDefault="00072DB1" w:rsidP="006114A1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Sex</w:t>
            </w:r>
            <w:r w:rsidR="006114A1">
              <w:rPr>
                <w:lang w:val="en-US"/>
              </w:rPr>
              <w:t xml:space="preserve"> </w:t>
            </w:r>
            <w:r w:rsidR="002E7106">
              <w:rPr>
                <w:lang w:val="en-US"/>
              </w:rPr>
              <w:t>(M)</w:t>
            </w:r>
          </w:p>
        </w:tc>
        <w:tc>
          <w:tcPr>
            <w:tcW w:w="1559" w:type="dxa"/>
          </w:tcPr>
          <w:p w14:paraId="793C6668" w14:textId="79EE7A67" w:rsidR="006114A1" w:rsidRDefault="006114A1" w:rsidP="00C369BA">
            <w:pPr>
              <w:tabs>
                <w:tab w:val="left" w:pos="426"/>
              </w:tabs>
              <w:snapToGrid w:val="0"/>
              <w:spacing w:line="360" w:lineRule="auto"/>
              <w:jc w:val="center"/>
              <w:rPr>
                <w:color w:val="000000" w:themeColor="dark1"/>
                <w:kern w:val="24"/>
                <w:lang w:val="en-GB"/>
              </w:rPr>
            </w:pPr>
            <w:r>
              <w:rPr>
                <w:color w:val="000000" w:themeColor="dark1"/>
                <w:kern w:val="24"/>
                <w:lang w:val="en-GB"/>
              </w:rPr>
              <w:t>69.6</w:t>
            </w:r>
          </w:p>
        </w:tc>
        <w:tc>
          <w:tcPr>
            <w:tcW w:w="1276" w:type="dxa"/>
          </w:tcPr>
          <w:p w14:paraId="1D31ADA7" w14:textId="4E0B6AFB" w:rsidR="006114A1" w:rsidRPr="00381A0D" w:rsidRDefault="006E325D" w:rsidP="00C369BA">
            <w:pPr>
              <w:jc w:val="center"/>
              <w:rPr>
                <w:color w:val="000000" w:themeColor="dark1"/>
                <w:kern w:val="24"/>
                <w:lang w:val="en-GB"/>
              </w:rPr>
            </w:pPr>
            <w:r w:rsidRPr="00381A0D">
              <w:rPr>
                <w:color w:val="000000" w:themeColor="dark1"/>
                <w:kern w:val="24"/>
                <w:lang w:val="en-GB"/>
              </w:rPr>
              <w:t>0.</w:t>
            </w:r>
            <w:r>
              <w:rPr>
                <w:color w:val="000000" w:themeColor="dark1"/>
                <w:kern w:val="24"/>
                <w:lang w:val="en-GB"/>
              </w:rPr>
              <w:t>280</w:t>
            </w:r>
          </w:p>
        </w:tc>
        <w:tc>
          <w:tcPr>
            <w:tcW w:w="1276" w:type="dxa"/>
          </w:tcPr>
          <w:p w14:paraId="15DF9B8A" w14:textId="6595E33C" w:rsidR="006114A1" w:rsidRDefault="006E325D" w:rsidP="00C369BA">
            <w:pPr>
              <w:jc w:val="center"/>
              <w:rPr>
                <w:color w:val="000000" w:themeColor="dark1"/>
                <w:kern w:val="24"/>
                <w:lang w:val="en-GB"/>
              </w:rPr>
            </w:pPr>
            <w:r>
              <w:rPr>
                <w:color w:val="000000" w:themeColor="dark1"/>
                <w:kern w:val="24"/>
                <w:lang w:val="en-GB"/>
              </w:rPr>
              <w:t>2.159</w:t>
            </w:r>
          </w:p>
        </w:tc>
        <w:tc>
          <w:tcPr>
            <w:tcW w:w="1276" w:type="dxa"/>
          </w:tcPr>
          <w:p w14:paraId="3E5EB5A1" w14:textId="728BAF48" w:rsidR="006114A1" w:rsidRDefault="006114A1" w:rsidP="00C369BA">
            <w:pPr>
              <w:jc w:val="center"/>
              <w:rPr>
                <w:color w:val="000000" w:themeColor="dark1"/>
                <w:kern w:val="24"/>
                <w:lang w:val="en-GB"/>
              </w:rPr>
            </w:pPr>
            <w:r>
              <w:rPr>
                <w:color w:val="000000" w:themeColor="dark1"/>
                <w:kern w:val="24"/>
                <w:lang w:val="en-GB"/>
              </w:rPr>
              <w:t>0.03</w:t>
            </w:r>
          </w:p>
        </w:tc>
      </w:tr>
    </w:tbl>
    <w:p w14:paraId="4AB944A9" w14:textId="77777777" w:rsidR="00C050DA" w:rsidRPr="00381A0D" w:rsidRDefault="00C050DA" w:rsidP="00C050DA">
      <w:pPr>
        <w:spacing w:line="360" w:lineRule="auto"/>
        <w:rPr>
          <w:lang w:val="en-US"/>
        </w:rPr>
      </w:pPr>
    </w:p>
    <w:p w14:paraId="408BD878" w14:textId="1F8873F4" w:rsidR="00C050DA" w:rsidRPr="00B42891" w:rsidRDefault="00C050DA" w:rsidP="00934E52">
      <w:pPr>
        <w:spacing w:line="360" w:lineRule="auto"/>
        <w:jc w:val="both"/>
        <w:rPr>
          <w:color w:val="000000" w:themeColor="text1"/>
          <w:lang w:val="en-US"/>
        </w:rPr>
      </w:pPr>
      <w:r w:rsidRPr="00B42891">
        <w:rPr>
          <w:color w:val="000000" w:themeColor="text1"/>
          <w:lang w:val="en-US"/>
        </w:rPr>
        <w:t xml:space="preserve">Model including age, </w:t>
      </w:r>
      <w:r w:rsidR="005F5B34" w:rsidRPr="00B42891">
        <w:rPr>
          <w:color w:val="000000" w:themeColor="text1"/>
          <w:lang w:val="en-US"/>
        </w:rPr>
        <w:t>sex</w:t>
      </w:r>
      <w:r w:rsidRPr="00B42891">
        <w:rPr>
          <w:color w:val="000000" w:themeColor="text1"/>
          <w:lang w:val="en-US"/>
        </w:rPr>
        <w:t>, BMI, waist circumference,</w:t>
      </w:r>
      <w:r w:rsidR="00934E52" w:rsidRPr="00B42891">
        <w:rPr>
          <w:color w:val="000000" w:themeColor="text1"/>
          <w:lang w:val="en-US"/>
        </w:rPr>
        <w:t xml:space="preserve"> systolic and diastolic</w:t>
      </w:r>
      <w:r w:rsidRPr="00B42891">
        <w:rPr>
          <w:color w:val="000000" w:themeColor="text1"/>
          <w:lang w:val="en-US"/>
        </w:rPr>
        <w:t xml:space="preserve"> blood pressure, </w:t>
      </w:r>
      <w:r w:rsidR="000A5FC6" w:rsidRPr="00B42891">
        <w:rPr>
          <w:color w:val="000000" w:themeColor="text1"/>
          <w:lang w:val="en-US"/>
        </w:rPr>
        <w:t>t</w:t>
      </w:r>
      <w:r w:rsidR="00934E52" w:rsidRPr="00B42891">
        <w:rPr>
          <w:color w:val="000000" w:themeColor="text1"/>
          <w:lang w:val="en-US"/>
        </w:rPr>
        <w:t>otal cholesterol, HDL</w:t>
      </w:r>
      <w:r w:rsidR="000A5FC6" w:rsidRPr="00B42891">
        <w:rPr>
          <w:color w:val="000000" w:themeColor="text1"/>
          <w:lang w:val="en-US"/>
        </w:rPr>
        <w:t>, t</w:t>
      </w:r>
      <w:r w:rsidR="00934E52" w:rsidRPr="00B42891">
        <w:rPr>
          <w:color w:val="000000" w:themeColor="text1"/>
          <w:lang w:val="en-US"/>
        </w:rPr>
        <w:t>riglycerides</w:t>
      </w:r>
      <w:r w:rsidRPr="00B42891">
        <w:rPr>
          <w:color w:val="000000" w:themeColor="text1"/>
          <w:lang w:val="en-US"/>
        </w:rPr>
        <w:t xml:space="preserve">, fasting plasma glucose, HbA1c, </w:t>
      </w:r>
      <w:r w:rsidR="0088215A" w:rsidRPr="00B42891">
        <w:rPr>
          <w:color w:val="000000" w:themeColor="text1"/>
          <w:lang w:val="en-US"/>
        </w:rPr>
        <w:t>whole blood viscosity, fasting plasma insulin, fibrinogen</w:t>
      </w:r>
      <w:r w:rsidR="000A5FC6" w:rsidRPr="00B42891">
        <w:rPr>
          <w:color w:val="000000" w:themeColor="text1"/>
          <w:lang w:val="en-US"/>
        </w:rPr>
        <w:t>.</w:t>
      </w:r>
    </w:p>
    <w:p w14:paraId="2B05A3BE" w14:textId="77777777" w:rsidR="00C050DA" w:rsidRPr="00C050DA" w:rsidRDefault="00C050DA">
      <w:pPr>
        <w:rPr>
          <w:lang w:val="en-US"/>
        </w:rPr>
      </w:pPr>
    </w:p>
    <w:sectPr w:rsidR="00C050DA" w:rsidRPr="00C050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0DA"/>
    <w:rsid w:val="00035AAA"/>
    <w:rsid w:val="00063DEF"/>
    <w:rsid w:val="00072DB1"/>
    <w:rsid w:val="000A5FC6"/>
    <w:rsid w:val="002E7106"/>
    <w:rsid w:val="00306775"/>
    <w:rsid w:val="003150EC"/>
    <w:rsid w:val="0056480F"/>
    <w:rsid w:val="005F5B34"/>
    <w:rsid w:val="006114A1"/>
    <w:rsid w:val="006E325D"/>
    <w:rsid w:val="0088215A"/>
    <w:rsid w:val="00934E52"/>
    <w:rsid w:val="00B42891"/>
    <w:rsid w:val="00C050DA"/>
    <w:rsid w:val="00C369BA"/>
    <w:rsid w:val="00D44B6E"/>
    <w:rsid w:val="00D82D34"/>
    <w:rsid w:val="00FE768A"/>
    <w:rsid w:val="00FF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2CDBC"/>
  <w15:chartTrackingRefBased/>
  <w15:docId w15:val="{5523F147-86BE-B14B-9D30-3398B6B91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50DA"/>
    <w:rPr>
      <w:rFonts w:ascii="Times New Roman" w:eastAsia="MS Mincho" w:hAnsi="Times New Roman" w:cs="Times New Roman"/>
      <w:kern w:val="0"/>
      <w:lang w:eastAsia="ja-JP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4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0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9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Succurro</dc:creator>
  <cp:keywords/>
  <dc:description/>
  <cp:lastModifiedBy>Elena Succurro</cp:lastModifiedBy>
  <cp:revision>2</cp:revision>
  <dcterms:created xsi:type="dcterms:W3CDTF">2024-09-14T18:14:00Z</dcterms:created>
  <dcterms:modified xsi:type="dcterms:W3CDTF">2024-09-14T18:14:00Z</dcterms:modified>
</cp:coreProperties>
</file>