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7DFDC1" w14:textId="77777777" w:rsidR="005D1EED" w:rsidRDefault="005D1EED" w:rsidP="005D1E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2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2"/>
        </w:rPr>
        <w:t xml:space="preserve">S1. </w:t>
      </w:r>
      <w:r>
        <w:rPr>
          <w:rFonts w:ascii="Times New Roman" w:hAnsi="Times New Roman" w:cs="Times New Roman" w:hint="eastAsia"/>
          <w:sz w:val="22"/>
        </w:rPr>
        <w:t xml:space="preserve">Receiver operator characteristics analysis of SMI, </w:t>
      </w:r>
      <w:r>
        <w:rPr>
          <w:rFonts w:ascii="Times New Roman" w:hAnsi="Times New Roman" w:cs="Times New Roman" w:hint="eastAsia"/>
          <w:kern w:val="0"/>
          <w:sz w:val="22"/>
        </w:rPr>
        <w:t>VFI and VSR</w:t>
      </w:r>
      <w:r>
        <w:rPr>
          <w:rFonts w:ascii="Times New Roman" w:hAnsi="Times New Roman" w:cs="Times New Roman" w:hint="eastAsia"/>
          <w:sz w:val="22"/>
        </w:rPr>
        <w:t xml:space="preserve">. </w:t>
      </w:r>
    </w:p>
    <w:tbl>
      <w:tblPr>
        <w:tblStyle w:val="ae"/>
        <w:tblpPr w:leftFromText="180" w:rightFromText="180" w:vertAnchor="text" w:horzAnchor="page" w:tblpX="1518" w:tblpY="130"/>
        <w:tblOverlap w:val="never"/>
        <w:tblW w:w="3459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64"/>
        <w:gridCol w:w="2406"/>
        <w:gridCol w:w="2454"/>
        <w:gridCol w:w="2032"/>
      </w:tblGrid>
      <w:tr w:rsidR="005D1EED" w14:paraId="7330772B" w14:textId="77777777" w:rsidTr="009E5B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8" w:type="dxa"/>
            <w:tcBorders>
              <w:bottom w:val="single" w:sz="8" w:space="0" w:color="auto"/>
            </w:tcBorders>
            <w:shd w:val="clear" w:color="auto" w:fill="auto"/>
          </w:tcPr>
          <w:p w14:paraId="467CB133" w14:textId="77777777" w:rsidR="005D1EED" w:rsidRDefault="005D1EED" w:rsidP="009E5BC6">
            <w:pPr>
              <w:rPr>
                <w:b w:val="0"/>
                <w:bCs w:val="0"/>
                <w:sz w:val="22"/>
              </w:rPr>
            </w:pPr>
            <w:r>
              <w:rPr>
                <w:rFonts w:hint="eastAsia"/>
              </w:rPr>
              <w:br w:type="page"/>
            </w:r>
            <w:r>
              <w:rPr>
                <w:rFonts w:hint="eastAsia"/>
                <w:b w:val="0"/>
                <w:bCs w:val="0"/>
                <w:color w:val="auto"/>
                <w:sz w:val="22"/>
              </w:rPr>
              <w:t>Influence factors</w:t>
            </w:r>
          </w:p>
        </w:tc>
        <w:tc>
          <w:tcPr>
            <w:tcW w:w="6998" w:type="dxa"/>
            <w:gridSpan w:val="3"/>
            <w:tcBorders>
              <w:bottom w:val="single" w:sz="8" w:space="0" w:color="auto"/>
            </w:tcBorders>
            <w:shd w:val="clear" w:color="auto" w:fill="auto"/>
          </w:tcPr>
          <w:p w14:paraId="38A6D46F" w14:textId="77777777" w:rsidR="005D1EED" w:rsidRDefault="005D1EED" w:rsidP="009E5BC6">
            <w:pPr>
              <w:ind w:firstLineChars="400" w:firstLine="8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</w:rPr>
            </w:pPr>
            <w:r>
              <w:rPr>
                <w:rFonts w:hint="eastAsia"/>
                <w:b w:val="0"/>
                <w:bCs w:val="0"/>
                <w:color w:val="auto"/>
                <w:sz w:val="22"/>
              </w:rPr>
              <w:t>AUC                  95% CI                P</w:t>
            </w:r>
            <w:r>
              <w:rPr>
                <w:rFonts w:hint="eastAsia"/>
                <w:b w:val="0"/>
                <w:bCs w:val="0"/>
                <w:sz w:val="18"/>
                <w:szCs w:val="24"/>
              </w:rPr>
              <w:t xml:space="preserve">  </w:t>
            </w:r>
            <w:r>
              <w:rPr>
                <w:rFonts w:hint="eastAsia"/>
                <w:sz w:val="18"/>
                <w:szCs w:val="24"/>
              </w:rPr>
              <w:t xml:space="preserve">                   </w:t>
            </w:r>
          </w:p>
        </w:tc>
      </w:tr>
      <w:tr w:rsidR="005D1EED" w14:paraId="7C96B784" w14:textId="77777777" w:rsidTr="009E5BC6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8" w:type="dxa"/>
            <w:tcBorders>
              <w:top w:val="single" w:sz="8" w:space="0" w:color="auto"/>
              <w:bottom w:val="nil"/>
            </w:tcBorders>
          </w:tcPr>
          <w:p w14:paraId="2558AC73" w14:textId="77777777" w:rsidR="005D1EED" w:rsidRPr="00D87DCE" w:rsidRDefault="005D1EED" w:rsidP="009E5BC6">
            <w:pPr>
              <w:rPr>
                <w:b w:val="0"/>
                <w:bCs w:val="0"/>
                <w:sz w:val="22"/>
              </w:rPr>
            </w:pPr>
            <w:r w:rsidRPr="00D87DCE">
              <w:rPr>
                <w:rFonts w:hint="eastAsia"/>
                <w:b w:val="0"/>
                <w:bCs w:val="0"/>
                <w:sz w:val="22"/>
              </w:rPr>
              <w:t>SMI</w:t>
            </w:r>
          </w:p>
        </w:tc>
        <w:tc>
          <w:tcPr>
            <w:tcW w:w="2443" w:type="dxa"/>
            <w:tcBorders>
              <w:top w:val="single" w:sz="8" w:space="0" w:color="auto"/>
              <w:bottom w:val="nil"/>
            </w:tcBorders>
          </w:tcPr>
          <w:p w14:paraId="55DC8D1F" w14:textId="77777777" w:rsidR="005D1EED" w:rsidRPr="005D1EED" w:rsidRDefault="005D1EED" w:rsidP="009E5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5D1EED">
              <w:rPr>
                <w:rFonts w:hint="eastAsia"/>
                <w:sz w:val="22"/>
              </w:rPr>
              <w:t>0.738</w:t>
            </w:r>
          </w:p>
        </w:tc>
        <w:tc>
          <w:tcPr>
            <w:tcW w:w="2492" w:type="dxa"/>
            <w:tcBorders>
              <w:top w:val="single" w:sz="8" w:space="0" w:color="auto"/>
              <w:bottom w:val="nil"/>
            </w:tcBorders>
          </w:tcPr>
          <w:p w14:paraId="091EB3D5" w14:textId="77777777" w:rsidR="005D1EED" w:rsidRPr="005D1EED" w:rsidRDefault="005D1EED" w:rsidP="009E5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5D1EED">
              <w:rPr>
                <w:rFonts w:hint="eastAsia"/>
                <w:sz w:val="22"/>
              </w:rPr>
              <w:t>0.626-0.851</w:t>
            </w:r>
          </w:p>
        </w:tc>
        <w:tc>
          <w:tcPr>
            <w:tcW w:w="2063" w:type="dxa"/>
            <w:tcBorders>
              <w:top w:val="single" w:sz="8" w:space="0" w:color="auto"/>
              <w:bottom w:val="nil"/>
            </w:tcBorders>
          </w:tcPr>
          <w:p w14:paraId="79E5B67C" w14:textId="77777777" w:rsidR="005D1EED" w:rsidRPr="005D1EED" w:rsidRDefault="005D1EED" w:rsidP="009E5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5D1EED">
              <w:rPr>
                <w:rFonts w:hint="eastAsia"/>
                <w:sz w:val="22"/>
              </w:rPr>
              <w:t>0.000</w:t>
            </w:r>
          </w:p>
        </w:tc>
      </w:tr>
      <w:tr w:rsidR="005D1EED" w14:paraId="1819DCF2" w14:textId="77777777" w:rsidTr="009E5BC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8" w:type="dxa"/>
            <w:tcBorders>
              <w:top w:val="nil"/>
            </w:tcBorders>
          </w:tcPr>
          <w:p w14:paraId="3D0B488D" w14:textId="77777777" w:rsidR="005D1EED" w:rsidRPr="00D87DCE" w:rsidRDefault="005D1EED" w:rsidP="009E5BC6">
            <w:pPr>
              <w:rPr>
                <w:b w:val="0"/>
                <w:bCs w:val="0"/>
                <w:sz w:val="22"/>
              </w:rPr>
            </w:pPr>
            <w:r w:rsidRPr="00D87DCE">
              <w:rPr>
                <w:rFonts w:hint="eastAsia"/>
                <w:b w:val="0"/>
                <w:bCs w:val="0"/>
                <w:sz w:val="22"/>
              </w:rPr>
              <w:t>VFI</w:t>
            </w:r>
          </w:p>
        </w:tc>
        <w:tc>
          <w:tcPr>
            <w:tcW w:w="2443" w:type="dxa"/>
            <w:tcBorders>
              <w:top w:val="nil"/>
            </w:tcBorders>
          </w:tcPr>
          <w:p w14:paraId="74EB1DF7" w14:textId="77777777" w:rsidR="005D1EED" w:rsidRDefault="005D1EED" w:rsidP="009E5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rFonts w:hint="eastAsia"/>
                <w:sz w:val="22"/>
              </w:rPr>
              <w:t>0.605</w:t>
            </w:r>
          </w:p>
        </w:tc>
        <w:tc>
          <w:tcPr>
            <w:tcW w:w="2492" w:type="dxa"/>
            <w:tcBorders>
              <w:top w:val="nil"/>
            </w:tcBorders>
          </w:tcPr>
          <w:p w14:paraId="7AE97746" w14:textId="77777777" w:rsidR="005D1EED" w:rsidRDefault="005D1EED" w:rsidP="009E5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rFonts w:hint="eastAsia"/>
                <w:sz w:val="22"/>
              </w:rPr>
              <w:t>0.476-0.734</w:t>
            </w:r>
          </w:p>
        </w:tc>
        <w:tc>
          <w:tcPr>
            <w:tcW w:w="2063" w:type="dxa"/>
            <w:tcBorders>
              <w:top w:val="nil"/>
            </w:tcBorders>
          </w:tcPr>
          <w:p w14:paraId="6991C405" w14:textId="77777777" w:rsidR="005D1EED" w:rsidRDefault="005D1EED" w:rsidP="009E5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rFonts w:hint="eastAsia"/>
                <w:sz w:val="22"/>
              </w:rPr>
              <w:t>0.121</w:t>
            </w:r>
          </w:p>
        </w:tc>
      </w:tr>
      <w:tr w:rsidR="005D1EED" w14:paraId="41F40A86" w14:textId="77777777" w:rsidTr="009E5BC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8" w:type="dxa"/>
          </w:tcPr>
          <w:p w14:paraId="333DDD52" w14:textId="77777777" w:rsidR="005D1EED" w:rsidRPr="00D87DCE" w:rsidRDefault="005D1EED" w:rsidP="009E5BC6">
            <w:pPr>
              <w:rPr>
                <w:b w:val="0"/>
                <w:bCs w:val="0"/>
                <w:sz w:val="22"/>
              </w:rPr>
            </w:pPr>
            <w:r w:rsidRPr="00D87DCE">
              <w:rPr>
                <w:rFonts w:hint="eastAsia"/>
                <w:b w:val="0"/>
                <w:bCs w:val="0"/>
                <w:sz w:val="22"/>
              </w:rPr>
              <w:t>VSR</w:t>
            </w:r>
          </w:p>
        </w:tc>
        <w:tc>
          <w:tcPr>
            <w:tcW w:w="2443" w:type="dxa"/>
          </w:tcPr>
          <w:p w14:paraId="67606F79" w14:textId="77777777" w:rsidR="005D1EED" w:rsidRDefault="005D1EED" w:rsidP="009E5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rFonts w:hint="eastAsia"/>
                <w:sz w:val="22"/>
              </w:rPr>
              <w:t>0.583</w:t>
            </w:r>
          </w:p>
        </w:tc>
        <w:tc>
          <w:tcPr>
            <w:tcW w:w="2492" w:type="dxa"/>
          </w:tcPr>
          <w:p w14:paraId="79A1693E" w14:textId="77777777" w:rsidR="005D1EED" w:rsidRDefault="005D1EED" w:rsidP="009E5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rFonts w:hint="eastAsia"/>
                <w:sz w:val="22"/>
              </w:rPr>
              <w:t>0.451-0.715</w:t>
            </w:r>
          </w:p>
        </w:tc>
        <w:tc>
          <w:tcPr>
            <w:tcW w:w="2063" w:type="dxa"/>
          </w:tcPr>
          <w:p w14:paraId="404F6C21" w14:textId="77777777" w:rsidR="005D1EED" w:rsidRDefault="005D1EED" w:rsidP="009E5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rFonts w:hint="eastAsia"/>
                <w:sz w:val="22"/>
              </w:rPr>
              <w:t>0.220</w:t>
            </w:r>
          </w:p>
        </w:tc>
      </w:tr>
    </w:tbl>
    <w:p w14:paraId="4A449D08" w14:textId="77777777" w:rsidR="005D1EED" w:rsidRDefault="005D1EED" w:rsidP="005D1EED">
      <w:pPr>
        <w:rPr>
          <w:rFonts w:ascii="Times New Roman" w:eastAsia="Times New Roman" w:hAnsi="Times New Roman"/>
          <w:sz w:val="24"/>
          <w:szCs w:val="24"/>
        </w:rPr>
      </w:pPr>
    </w:p>
    <w:p w14:paraId="45491A64" w14:textId="77777777" w:rsidR="005D1EED" w:rsidRDefault="005D1EED" w:rsidP="005D1EED">
      <w:pPr>
        <w:rPr>
          <w:rFonts w:ascii="Times New Roman" w:hAnsi="Times New Roman" w:cs="Times New Roman"/>
          <w:sz w:val="22"/>
        </w:rPr>
      </w:pPr>
    </w:p>
    <w:p w14:paraId="20864A0B" w14:textId="77777777" w:rsidR="005D1EED" w:rsidRDefault="005D1EED" w:rsidP="005D1EED">
      <w:pPr>
        <w:rPr>
          <w:rFonts w:ascii="Times New Roman" w:hAnsi="Times New Roman" w:cs="Times New Roman"/>
          <w:sz w:val="22"/>
        </w:rPr>
      </w:pPr>
    </w:p>
    <w:p w14:paraId="5AD3480F" w14:textId="77777777" w:rsidR="005D1EED" w:rsidRDefault="005D1EED" w:rsidP="005D1EED">
      <w:pPr>
        <w:rPr>
          <w:rFonts w:ascii="Times New Roman" w:hAnsi="Times New Roman" w:cs="Times New Roman"/>
          <w:sz w:val="22"/>
        </w:rPr>
      </w:pPr>
    </w:p>
    <w:p w14:paraId="76804CE6" w14:textId="77777777" w:rsidR="005D1EED" w:rsidRDefault="005D1EED" w:rsidP="005D1EED">
      <w:pPr>
        <w:rPr>
          <w:rFonts w:ascii="Times New Roman" w:hAnsi="Times New Roman" w:cs="Times New Roman"/>
          <w:sz w:val="22"/>
        </w:rPr>
      </w:pPr>
    </w:p>
    <w:p w14:paraId="33131183" w14:textId="77777777" w:rsidR="005D1EED" w:rsidRDefault="005D1EED" w:rsidP="005D1E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</w:rPr>
        <w:t xml:space="preserve">Abbreviation, </w:t>
      </w:r>
      <w:r>
        <w:rPr>
          <w:rFonts w:ascii="Times New Roman" w:hAnsi="Times New Roman" w:cs="Times New Roman" w:hint="eastAsia"/>
          <w:sz w:val="22"/>
        </w:rPr>
        <w:t>SM</w:t>
      </w:r>
      <w:r>
        <w:rPr>
          <w:rFonts w:ascii="Times New Roman" w:hAnsi="Times New Roman" w:cs="Times New Roman"/>
          <w:sz w:val="22"/>
        </w:rPr>
        <w:t xml:space="preserve">I, Skeletal muscle index; </w:t>
      </w:r>
      <w:r>
        <w:rPr>
          <w:rFonts w:ascii="Times New Roman" w:hAnsi="Times New Roman" w:cs="Times New Roman" w:hint="eastAsia"/>
          <w:kern w:val="0"/>
          <w:sz w:val="22"/>
        </w:rPr>
        <w:t>VFI, Visceral fat index; VSR, Visceral-to-subcutaneous ratio of fat area</w:t>
      </w:r>
    </w:p>
    <w:p w14:paraId="7D938F1A" w14:textId="77777777" w:rsidR="005D1EED" w:rsidRDefault="005D1EED" w:rsidP="005D1EED">
      <w:pPr>
        <w:rPr>
          <w:rFonts w:ascii="Times New Roman" w:hAnsi="Times New Roman" w:cs="Times New Roman"/>
        </w:rPr>
      </w:pPr>
    </w:p>
    <w:p w14:paraId="4CA81A17" w14:textId="77777777" w:rsidR="005D1EED" w:rsidRPr="005D1EED" w:rsidRDefault="005D1EED"/>
    <w:sectPr w:rsidR="005D1EED" w:rsidRPr="005D1EED" w:rsidSect="005D1EE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bordersDoNotSurroundHeader/>
  <w:bordersDoNotSurroundFooter/>
  <w:proofState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EED"/>
    <w:rsid w:val="005D1EED"/>
    <w:rsid w:val="00FE6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4D447"/>
  <w15:chartTrackingRefBased/>
  <w15:docId w15:val="{ECAA6F96-2AEF-4CE5-BA24-2F4025900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 w:qFormat="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1EED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D1EED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1EED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1EED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1EED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D1EED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D1EED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D1EED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D1EED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D1EED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D1EE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D1E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D1E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D1EE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D1EE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D1EE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D1EE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D1EE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D1EE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D1EE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5D1E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D1EED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5D1EE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D1EED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5D1EE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D1EED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5D1EE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D1E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5D1EE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D1EED"/>
    <w:rPr>
      <w:b/>
      <w:bCs/>
      <w:smallCaps/>
      <w:color w:val="0F4761" w:themeColor="accent1" w:themeShade="BF"/>
      <w:spacing w:val="5"/>
    </w:rPr>
  </w:style>
  <w:style w:type="table" w:styleId="ae">
    <w:name w:val="Light List"/>
    <w:basedOn w:val="a1"/>
    <w:autoRedefine/>
    <w:uiPriority w:val="61"/>
    <w:qFormat/>
    <w:rsid w:val="005D1EED"/>
    <w:pPr>
      <w:spacing w:after="0" w:line="240" w:lineRule="auto"/>
    </w:pPr>
    <w:rPr>
      <w:rFonts w:ascii="Times New Roman" w:eastAsia="宋体" w:hAnsi="Times New Roman" w:cs="Times New Roman"/>
      <w:kern w:val="0"/>
      <w:szCs w:val="20"/>
      <w14:ligatures w14:val="none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D2F651-C4F7-4D9A-9B4A-127F04FE94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恩力 李</dc:creator>
  <cp:keywords/>
  <dc:description/>
  <cp:lastModifiedBy>恩力 李</cp:lastModifiedBy>
  <cp:revision>1</cp:revision>
  <dcterms:created xsi:type="dcterms:W3CDTF">2024-09-20T13:59:00Z</dcterms:created>
  <dcterms:modified xsi:type="dcterms:W3CDTF">2024-09-20T13:59:00Z</dcterms:modified>
</cp:coreProperties>
</file>