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2E9AD7" w14:textId="2DE7E3D8" w:rsidR="00551028" w:rsidRPr="003073E3" w:rsidRDefault="51CF6CDC" w:rsidP="003073E3">
      <w:pPr>
        <w:spacing w:line="360" w:lineRule="auto"/>
        <w:jc w:val="both"/>
        <w:rPr>
          <w:rFonts w:eastAsia="Calibri" w:cs="Calibri"/>
          <w:b/>
          <w:bCs/>
          <w:color w:val="000000" w:themeColor="text1"/>
          <w:sz w:val="40"/>
          <w:szCs w:val="40"/>
          <w:lang w:val="en-GB"/>
        </w:rPr>
      </w:pPr>
      <w:r w:rsidRPr="003073E3">
        <w:rPr>
          <w:rFonts w:eastAsia="Calibri" w:cs="Calibri"/>
          <w:b/>
          <w:bCs/>
          <w:color w:val="000000" w:themeColor="text1"/>
          <w:sz w:val="36"/>
          <w:szCs w:val="36"/>
          <w:lang w:val="en-GB"/>
        </w:rPr>
        <w:t>SUPPLEMENTARY MATERIALS</w:t>
      </w:r>
    </w:p>
    <w:p w14:paraId="0D583892" w14:textId="1FD1D9EA" w:rsidR="00551028" w:rsidRPr="003073E3" w:rsidRDefault="00551028" w:rsidP="003073E3">
      <w:pPr>
        <w:spacing w:line="360" w:lineRule="auto"/>
        <w:jc w:val="both"/>
        <w:rPr>
          <w:rFonts w:eastAsia="Calibri" w:cs="Calibri"/>
          <w:b/>
          <w:bCs/>
          <w:color w:val="000000" w:themeColor="text1"/>
          <w:lang w:val="en-GB"/>
        </w:rPr>
      </w:pPr>
    </w:p>
    <w:p w14:paraId="21F31FCE"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8"/>
          <w:szCs w:val="18"/>
        </w:rPr>
      </w:pPr>
      <w:r w:rsidRPr="00854D95">
        <w:rPr>
          <w:rStyle w:val="normaltextrun"/>
          <w:rFonts w:asciiTheme="minorHAnsi" w:eastAsiaTheme="majorEastAsia" w:hAnsiTheme="minorHAnsi" w:cs="Calibri"/>
          <w:b/>
          <w:bCs/>
          <w:color w:val="000000"/>
        </w:rPr>
        <w:t>Single cell and spatial analysis of immune-hot and immune-cold tumours identifies fibroblast subtypes associated with distinct immunological niches and positive immunotherapy response</w:t>
      </w:r>
      <w:r w:rsidRPr="00854D95">
        <w:rPr>
          <w:rStyle w:val="eop"/>
          <w:rFonts w:asciiTheme="minorHAnsi" w:eastAsiaTheme="majorEastAsia" w:hAnsiTheme="minorHAnsi" w:cs="Calibri"/>
          <w:color w:val="000000"/>
        </w:rPr>
        <w:t> </w:t>
      </w:r>
    </w:p>
    <w:p w14:paraId="3D0AF9EF" w14:textId="6A2DB41D"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8"/>
          <w:szCs w:val="18"/>
        </w:rPr>
      </w:pPr>
    </w:p>
    <w:p w14:paraId="69232B33"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8"/>
          <w:szCs w:val="18"/>
        </w:rPr>
      </w:pPr>
      <w:r w:rsidRPr="00854D95">
        <w:rPr>
          <w:rStyle w:val="normaltextrun"/>
          <w:rFonts w:asciiTheme="minorHAnsi" w:eastAsiaTheme="majorEastAsia" w:hAnsiTheme="minorHAnsi" w:cs="Calibri"/>
        </w:rPr>
        <w:t>Benjamin H Jenkins</w:t>
      </w:r>
      <w:r w:rsidRPr="00854D95">
        <w:rPr>
          <w:rStyle w:val="normaltextrun"/>
          <w:rFonts w:asciiTheme="minorHAnsi" w:eastAsiaTheme="majorEastAsia" w:hAnsiTheme="minorHAnsi" w:cs="Calibri"/>
          <w:sz w:val="19"/>
          <w:szCs w:val="19"/>
          <w:vertAlign w:val="superscript"/>
        </w:rPr>
        <w:t>1,2</w:t>
      </w:r>
      <w:r w:rsidRPr="00854D95">
        <w:rPr>
          <w:rStyle w:val="normaltextrun"/>
          <w:rFonts w:asciiTheme="minorHAnsi" w:eastAsiaTheme="majorEastAsia" w:hAnsiTheme="minorHAnsi" w:cs="Calibri"/>
        </w:rPr>
        <w:t>, Ian Tracy</w:t>
      </w:r>
      <w:r w:rsidRPr="00854D95">
        <w:rPr>
          <w:rStyle w:val="normaltextrun"/>
          <w:rFonts w:asciiTheme="minorHAnsi" w:eastAsiaTheme="majorEastAsia" w:hAnsiTheme="minorHAnsi" w:cs="Calibri"/>
          <w:sz w:val="19"/>
          <w:szCs w:val="19"/>
          <w:vertAlign w:val="superscript"/>
        </w:rPr>
        <w:t>1,2</w:t>
      </w:r>
      <w:r w:rsidRPr="00854D95">
        <w:rPr>
          <w:rStyle w:val="normaltextrun"/>
          <w:rFonts w:asciiTheme="minorHAnsi" w:eastAsiaTheme="majorEastAsia" w:hAnsiTheme="minorHAnsi" w:cs="Calibri"/>
        </w:rPr>
        <w:t>, Maria Fernanda SD Rodrigues</w:t>
      </w:r>
      <w:r w:rsidRPr="00854D95">
        <w:rPr>
          <w:rStyle w:val="normaltextrun"/>
          <w:rFonts w:asciiTheme="minorHAnsi" w:eastAsiaTheme="majorEastAsia" w:hAnsiTheme="minorHAnsi" w:cs="Calibri"/>
          <w:sz w:val="19"/>
          <w:szCs w:val="19"/>
          <w:vertAlign w:val="superscript"/>
        </w:rPr>
        <w:t>1,2,3</w:t>
      </w:r>
      <w:r w:rsidRPr="00854D95">
        <w:rPr>
          <w:rStyle w:val="normaltextrun"/>
          <w:rFonts w:asciiTheme="minorHAnsi" w:eastAsiaTheme="majorEastAsia" w:hAnsiTheme="minorHAnsi" w:cs="Calibri"/>
        </w:rPr>
        <w:t>, Melanie JL Smith</w:t>
      </w:r>
      <w:r w:rsidRPr="00854D95">
        <w:rPr>
          <w:rStyle w:val="normaltextrun"/>
          <w:rFonts w:asciiTheme="minorHAnsi" w:eastAsiaTheme="majorEastAsia" w:hAnsiTheme="minorHAnsi" w:cs="Calibri"/>
          <w:sz w:val="19"/>
          <w:szCs w:val="19"/>
          <w:vertAlign w:val="superscript"/>
        </w:rPr>
        <w:t>1,2</w:t>
      </w:r>
      <w:r w:rsidRPr="00854D95">
        <w:rPr>
          <w:rStyle w:val="normaltextrun"/>
          <w:rFonts w:asciiTheme="minorHAnsi" w:eastAsiaTheme="majorEastAsia" w:hAnsiTheme="minorHAnsi" w:cs="Calibri"/>
        </w:rPr>
        <w:t xml:space="preserve">, </w:t>
      </w:r>
      <w:proofErr w:type="spellStart"/>
      <w:r w:rsidRPr="00854D95">
        <w:rPr>
          <w:rStyle w:val="normaltextrun"/>
          <w:rFonts w:asciiTheme="minorHAnsi" w:eastAsiaTheme="majorEastAsia" w:hAnsiTheme="minorHAnsi" w:cs="Calibri"/>
        </w:rPr>
        <w:t>Begona</w:t>
      </w:r>
      <w:proofErr w:type="spellEnd"/>
      <w:r w:rsidRPr="00854D95">
        <w:rPr>
          <w:rStyle w:val="normaltextrun"/>
          <w:rFonts w:asciiTheme="minorHAnsi" w:eastAsiaTheme="majorEastAsia" w:hAnsiTheme="minorHAnsi" w:cs="Calibri"/>
        </w:rPr>
        <w:t xml:space="preserve"> R Martinez</w:t>
      </w:r>
      <w:r w:rsidRPr="00854D95">
        <w:rPr>
          <w:rStyle w:val="normaltextrun"/>
          <w:rFonts w:asciiTheme="minorHAnsi" w:eastAsiaTheme="majorEastAsia" w:hAnsiTheme="minorHAnsi" w:cs="Calibri"/>
          <w:sz w:val="19"/>
          <w:szCs w:val="19"/>
          <w:vertAlign w:val="superscript"/>
        </w:rPr>
        <w:t>1,2</w:t>
      </w:r>
      <w:r w:rsidRPr="00854D95">
        <w:rPr>
          <w:rStyle w:val="normaltextrun"/>
          <w:rFonts w:asciiTheme="minorHAnsi" w:eastAsiaTheme="majorEastAsia" w:hAnsiTheme="minorHAnsi" w:cs="Calibri"/>
        </w:rPr>
        <w:t>, Mark Edmond</w:t>
      </w:r>
      <w:r w:rsidRPr="00854D95">
        <w:rPr>
          <w:rStyle w:val="normaltextrun"/>
          <w:rFonts w:asciiTheme="minorHAnsi" w:eastAsiaTheme="majorEastAsia" w:hAnsiTheme="minorHAnsi" w:cs="Calibri"/>
          <w:sz w:val="19"/>
          <w:szCs w:val="19"/>
          <w:vertAlign w:val="superscript"/>
        </w:rPr>
        <w:t>1,4</w:t>
      </w:r>
      <w:r w:rsidRPr="00854D95">
        <w:rPr>
          <w:rStyle w:val="normaltextrun"/>
          <w:rFonts w:asciiTheme="minorHAnsi" w:eastAsiaTheme="majorEastAsia" w:hAnsiTheme="minorHAnsi" w:cs="Calibri"/>
        </w:rPr>
        <w:t>, Sangeetha Mahadevan</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Anjali Rao</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Hailing Zong</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Kai Liu</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Abhishek, Aggarwal</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Li Li,</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xml:space="preserve"> Lauri Diehl</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Emma V King</w:t>
      </w:r>
      <w:r w:rsidRPr="00854D95">
        <w:rPr>
          <w:rStyle w:val="normaltextrun"/>
          <w:rFonts w:asciiTheme="minorHAnsi" w:eastAsiaTheme="majorEastAsia" w:hAnsiTheme="minorHAnsi" w:cs="Calibri"/>
          <w:sz w:val="19"/>
          <w:szCs w:val="19"/>
          <w:vertAlign w:val="superscript"/>
        </w:rPr>
        <w:t>1,4</w:t>
      </w:r>
      <w:r w:rsidRPr="00854D95">
        <w:rPr>
          <w:rStyle w:val="normaltextrun"/>
          <w:rFonts w:asciiTheme="minorHAnsi" w:eastAsiaTheme="majorEastAsia" w:hAnsiTheme="minorHAnsi" w:cs="Calibri"/>
        </w:rPr>
        <w:t>, Jamie G Bates</w:t>
      </w:r>
      <w:r w:rsidRPr="00854D95">
        <w:rPr>
          <w:rStyle w:val="normaltextrun"/>
          <w:rFonts w:asciiTheme="minorHAnsi" w:eastAsiaTheme="majorEastAsia" w:hAnsiTheme="minorHAnsi" w:cs="Calibri"/>
          <w:sz w:val="19"/>
          <w:szCs w:val="19"/>
          <w:vertAlign w:val="superscript"/>
        </w:rPr>
        <w:t>5*</w:t>
      </w:r>
      <w:r w:rsidRPr="00854D95">
        <w:rPr>
          <w:rStyle w:val="normaltextrun"/>
          <w:rFonts w:asciiTheme="minorHAnsi" w:eastAsiaTheme="majorEastAsia" w:hAnsiTheme="minorHAnsi" w:cs="Calibri"/>
        </w:rPr>
        <w:t>, Christopher J Hanley</w:t>
      </w:r>
      <w:r w:rsidRPr="00854D95">
        <w:rPr>
          <w:rStyle w:val="normaltextrun"/>
          <w:rFonts w:asciiTheme="minorHAnsi" w:eastAsiaTheme="majorEastAsia" w:hAnsiTheme="minorHAnsi" w:cs="Calibri"/>
          <w:sz w:val="19"/>
          <w:szCs w:val="19"/>
          <w:vertAlign w:val="superscript"/>
        </w:rPr>
        <w:t xml:space="preserve">1,2* </w:t>
      </w:r>
      <w:r w:rsidRPr="00854D95">
        <w:rPr>
          <w:rStyle w:val="normaltextrun"/>
          <w:rFonts w:asciiTheme="minorHAnsi" w:eastAsiaTheme="majorEastAsia" w:hAnsiTheme="minorHAnsi" w:cs="Calibri"/>
        </w:rPr>
        <w:t>Gareth J Thomas</w:t>
      </w:r>
      <w:r w:rsidRPr="00854D95">
        <w:rPr>
          <w:rStyle w:val="normaltextrun"/>
          <w:rFonts w:asciiTheme="minorHAnsi" w:eastAsiaTheme="majorEastAsia" w:hAnsiTheme="minorHAnsi" w:cs="Calibri"/>
          <w:sz w:val="19"/>
          <w:szCs w:val="19"/>
          <w:vertAlign w:val="superscript"/>
        </w:rPr>
        <w:t>1,2*† </w:t>
      </w:r>
      <w:r w:rsidRPr="00854D95">
        <w:rPr>
          <w:rStyle w:val="eop"/>
          <w:rFonts w:asciiTheme="minorHAnsi" w:eastAsiaTheme="majorEastAsia" w:hAnsiTheme="minorHAnsi" w:cs="Calibri"/>
          <w:sz w:val="19"/>
          <w:szCs w:val="19"/>
        </w:rPr>
        <w:t> </w:t>
      </w:r>
    </w:p>
    <w:p w14:paraId="053D3A84"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8"/>
          <w:szCs w:val="18"/>
        </w:rPr>
      </w:pPr>
      <w:r w:rsidRPr="00854D95">
        <w:rPr>
          <w:rStyle w:val="normaltextrun"/>
          <w:rFonts w:asciiTheme="minorHAnsi" w:eastAsiaTheme="majorEastAsia" w:hAnsiTheme="minorHAnsi" w:cs="Calibri"/>
        </w:rPr>
        <w:t> </w:t>
      </w:r>
      <w:r w:rsidRPr="00854D95">
        <w:rPr>
          <w:rStyle w:val="eop"/>
          <w:rFonts w:asciiTheme="minorHAnsi" w:eastAsiaTheme="majorEastAsia" w:hAnsiTheme="minorHAnsi" w:cs="Calibri"/>
        </w:rPr>
        <w:t> </w:t>
      </w:r>
    </w:p>
    <w:p w14:paraId="18FA9E84"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16"/>
          <w:szCs w:val="16"/>
          <w:vertAlign w:val="superscript"/>
        </w:rPr>
        <w:t>1</w:t>
      </w:r>
      <w:r w:rsidRPr="00854D95">
        <w:rPr>
          <w:rStyle w:val="normaltextrun"/>
          <w:rFonts w:asciiTheme="minorHAnsi" w:eastAsiaTheme="majorEastAsia" w:hAnsiTheme="minorHAnsi" w:cs="Calibri"/>
          <w:sz w:val="21"/>
          <w:szCs w:val="21"/>
        </w:rPr>
        <w:t>School of Cancer Sciences, University of Southampton, Southampton, UK</w:t>
      </w:r>
      <w:r w:rsidRPr="00854D95">
        <w:rPr>
          <w:rStyle w:val="eop"/>
          <w:rFonts w:asciiTheme="minorHAnsi" w:eastAsiaTheme="majorEastAsia" w:hAnsiTheme="minorHAnsi" w:cs="Calibri"/>
          <w:sz w:val="21"/>
          <w:szCs w:val="21"/>
        </w:rPr>
        <w:t> </w:t>
      </w:r>
    </w:p>
    <w:p w14:paraId="619FE925"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16"/>
          <w:szCs w:val="16"/>
          <w:vertAlign w:val="superscript"/>
        </w:rPr>
        <w:t>2</w:t>
      </w:r>
      <w:r w:rsidRPr="00854D95">
        <w:rPr>
          <w:rStyle w:val="normaltextrun"/>
          <w:rFonts w:asciiTheme="minorHAnsi" w:eastAsiaTheme="majorEastAsia" w:hAnsiTheme="minorHAnsi" w:cs="Calibri"/>
          <w:sz w:val="21"/>
          <w:szCs w:val="21"/>
        </w:rPr>
        <w:t>NIHR Experimental Cancer Medicine Centre, University of Southampton, Southampton, UK</w:t>
      </w:r>
      <w:r w:rsidRPr="00854D95">
        <w:rPr>
          <w:rStyle w:val="eop"/>
          <w:rFonts w:asciiTheme="minorHAnsi" w:eastAsiaTheme="majorEastAsia" w:hAnsiTheme="minorHAnsi" w:cs="Calibri"/>
          <w:sz w:val="21"/>
          <w:szCs w:val="21"/>
        </w:rPr>
        <w:t> </w:t>
      </w:r>
    </w:p>
    <w:p w14:paraId="4EC01D50"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color w:val="212121"/>
          <w:sz w:val="16"/>
          <w:szCs w:val="16"/>
          <w:vertAlign w:val="superscript"/>
        </w:rPr>
        <w:t>3</w:t>
      </w:r>
      <w:r w:rsidRPr="00854D95">
        <w:rPr>
          <w:rStyle w:val="normaltextrun"/>
          <w:rFonts w:asciiTheme="minorHAnsi" w:eastAsiaTheme="majorEastAsia" w:hAnsiTheme="minorHAnsi" w:cs="Calibri"/>
          <w:color w:val="212121"/>
          <w:sz w:val="21"/>
          <w:szCs w:val="21"/>
        </w:rPr>
        <w:t>Postgraduate program in Medicine-</w:t>
      </w:r>
      <w:proofErr w:type="spellStart"/>
      <w:r w:rsidRPr="00854D95">
        <w:rPr>
          <w:rStyle w:val="normaltextrun"/>
          <w:rFonts w:asciiTheme="minorHAnsi" w:eastAsiaTheme="majorEastAsia" w:hAnsiTheme="minorHAnsi" w:cs="Calibri"/>
          <w:color w:val="212121"/>
          <w:sz w:val="21"/>
          <w:szCs w:val="21"/>
        </w:rPr>
        <w:t>Biophotonics</w:t>
      </w:r>
      <w:proofErr w:type="spellEnd"/>
      <w:r w:rsidRPr="00854D95">
        <w:rPr>
          <w:rStyle w:val="normaltextrun"/>
          <w:rFonts w:asciiTheme="minorHAnsi" w:eastAsiaTheme="majorEastAsia" w:hAnsiTheme="minorHAnsi" w:cs="Calibri"/>
          <w:color w:val="212121"/>
          <w:sz w:val="21"/>
          <w:szCs w:val="21"/>
        </w:rPr>
        <w:t xml:space="preserve">, </w:t>
      </w:r>
      <w:proofErr w:type="spellStart"/>
      <w:r w:rsidRPr="00854D95">
        <w:rPr>
          <w:rStyle w:val="normaltextrun"/>
          <w:rFonts w:asciiTheme="minorHAnsi" w:eastAsiaTheme="majorEastAsia" w:hAnsiTheme="minorHAnsi" w:cs="Calibri"/>
          <w:color w:val="212121"/>
          <w:sz w:val="21"/>
          <w:szCs w:val="21"/>
        </w:rPr>
        <w:t>Nove</w:t>
      </w:r>
      <w:proofErr w:type="spellEnd"/>
      <w:r w:rsidRPr="00854D95">
        <w:rPr>
          <w:rStyle w:val="normaltextrun"/>
          <w:rFonts w:asciiTheme="minorHAnsi" w:eastAsiaTheme="majorEastAsia" w:hAnsiTheme="minorHAnsi" w:cs="Calibri"/>
          <w:color w:val="212121"/>
          <w:sz w:val="21"/>
          <w:szCs w:val="21"/>
        </w:rPr>
        <w:t xml:space="preserve"> de </w:t>
      </w:r>
      <w:proofErr w:type="spellStart"/>
      <w:r w:rsidRPr="00854D95">
        <w:rPr>
          <w:rStyle w:val="normaltextrun"/>
          <w:rFonts w:asciiTheme="minorHAnsi" w:eastAsiaTheme="majorEastAsia" w:hAnsiTheme="minorHAnsi" w:cs="Calibri"/>
          <w:color w:val="212121"/>
          <w:sz w:val="21"/>
          <w:szCs w:val="21"/>
        </w:rPr>
        <w:t>Julho</w:t>
      </w:r>
      <w:proofErr w:type="spellEnd"/>
      <w:r w:rsidRPr="00854D95">
        <w:rPr>
          <w:rStyle w:val="normaltextrun"/>
          <w:rFonts w:asciiTheme="minorHAnsi" w:eastAsiaTheme="majorEastAsia" w:hAnsiTheme="minorHAnsi" w:cs="Calibri"/>
          <w:color w:val="212121"/>
          <w:sz w:val="21"/>
          <w:szCs w:val="21"/>
        </w:rPr>
        <w:t xml:space="preserve"> University, São Paulo, Brazil</w:t>
      </w:r>
      <w:r w:rsidRPr="00854D95">
        <w:rPr>
          <w:rStyle w:val="eop"/>
          <w:rFonts w:asciiTheme="minorHAnsi" w:eastAsiaTheme="majorEastAsia" w:hAnsiTheme="minorHAnsi" w:cs="Calibri"/>
          <w:color w:val="212121"/>
          <w:sz w:val="21"/>
          <w:szCs w:val="21"/>
        </w:rPr>
        <w:t> </w:t>
      </w:r>
    </w:p>
    <w:p w14:paraId="3B315CFB"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16"/>
          <w:szCs w:val="16"/>
          <w:vertAlign w:val="superscript"/>
        </w:rPr>
        <w:t>4</w:t>
      </w:r>
      <w:r w:rsidRPr="00854D95">
        <w:rPr>
          <w:rStyle w:val="normaltextrun"/>
          <w:rFonts w:asciiTheme="minorHAnsi" w:eastAsiaTheme="majorEastAsia" w:hAnsiTheme="minorHAnsi" w:cs="Calibri"/>
          <w:sz w:val="21"/>
          <w:szCs w:val="21"/>
        </w:rPr>
        <w:t>Dorset Cancer Centre, Poole Hospital NHS Foundation Trust, Poole, UK.</w:t>
      </w:r>
      <w:r w:rsidRPr="00854D95">
        <w:rPr>
          <w:rStyle w:val="eop"/>
          <w:rFonts w:asciiTheme="minorHAnsi" w:eastAsiaTheme="majorEastAsia" w:hAnsiTheme="minorHAnsi" w:cs="Calibri"/>
          <w:sz w:val="21"/>
          <w:szCs w:val="21"/>
        </w:rPr>
        <w:t> </w:t>
      </w:r>
    </w:p>
    <w:p w14:paraId="6FC8D7A2"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16"/>
          <w:szCs w:val="16"/>
          <w:vertAlign w:val="superscript"/>
        </w:rPr>
        <w:t>5</w:t>
      </w:r>
      <w:r w:rsidRPr="00854D95">
        <w:rPr>
          <w:rStyle w:val="normaltextrun"/>
          <w:rFonts w:asciiTheme="minorHAnsi" w:eastAsiaTheme="majorEastAsia" w:hAnsiTheme="minorHAnsi" w:cs="Calibri"/>
          <w:sz w:val="21"/>
          <w:szCs w:val="21"/>
        </w:rPr>
        <w:t>Gilead Sciences Inc. Foster City, California, US.</w:t>
      </w:r>
      <w:r w:rsidRPr="00854D95">
        <w:rPr>
          <w:rStyle w:val="eop"/>
          <w:rFonts w:asciiTheme="minorHAnsi" w:eastAsiaTheme="majorEastAsia" w:hAnsiTheme="minorHAnsi" w:cs="Calibri"/>
          <w:sz w:val="21"/>
          <w:szCs w:val="21"/>
        </w:rPr>
        <w:t> </w:t>
      </w:r>
    </w:p>
    <w:p w14:paraId="07054283"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21"/>
          <w:szCs w:val="21"/>
        </w:rPr>
        <w:t> </w:t>
      </w:r>
      <w:r w:rsidRPr="00854D95">
        <w:rPr>
          <w:rStyle w:val="eop"/>
          <w:rFonts w:asciiTheme="minorHAnsi" w:eastAsiaTheme="majorEastAsia" w:hAnsiTheme="minorHAnsi" w:cs="Calibri"/>
          <w:sz w:val="21"/>
          <w:szCs w:val="21"/>
        </w:rPr>
        <w:t> </w:t>
      </w:r>
    </w:p>
    <w:p w14:paraId="6FD55B5A"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21"/>
          <w:szCs w:val="21"/>
        </w:rPr>
        <w:t>*These authors jointly supervised this work</w:t>
      </w:r>
      <w:r w:rsidRPr="00854D95">
        <w:rPr>
          <w:rStyle w:val="eop"/>
          <w:rFonts w:asciiTheme="minorHAnsi" w:eastAsiaTheme="majorEastAsia" w:hAnsiTheme="minorHAnsi" w:cs="Calibri"/>
          <w:sz w:val="21"/>
          <w:szCs w:val="21"/>
        </w:rPr>
        <w:t> </w:t>
      </w:r>
    </w:p>
    <w:p w14:paraId="671E7BA3" w14:textId="77777777" w:rsidR="00854D95" w:rsidRPr="00854D95" w:rsidRDefault="00854D95" w:rsidP="00854D95">
      <w:pPr>
        <w:pStyle w:val="paragraph"/>
        <w:spacing w:before="0" w:beforeAutospacing="0" w:after="0" w:afterAutospacing="0" w:line="360" w:lineRule="auto"/>
        <w:ind w:left="2160" w:hanging="2160"/>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21"/>
          <w:szCs w:val="21"/>
        </w:rPr>
        <w:t>†Corresponding author</w:t>
      </w:r>
      <w:r w:rsidRPr="00854D95">
        <w:rPr>
          <w:rStyle w:val="eop"/>
          <w:rFonts w:asciiTheme="minorHAnsi" w:eastAsiaTheme="majorEastAsia" w:hAnsiTheme="minorHAnsi" w:cs="Calibri"/>
          <w:sz w:val="21"/>
          <w:szCs w:val="21"/>
        </w:rPr>
        <w:t> </w:t>
      </w:r>
    </w:p>
    <w:p w14:paraId="177A0471"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21"/>
          <w:szCs w:val="21"/>
        </w:rPr>
        <w:t xml:space="preserve">Gareth Thomas, Cancer Sciences Unit, Faculty of Medicine, University of Southampton, </w:t>
      </w:r>
      <w:proofErr w:type="spellStart"/>
      <w:r w:rsidRPr="00854D95">
        <w:rPr>
          <w:rStyle w:val="normaltextrun"/>
          <w:rFonts w:asciiTheme="minorHAnsi" w:eastAsiaTheme="majorEastAsia" w:hAnsiTheme="minorHAnsi" w:cs="Calibri"/>
          <w:sz w:val="21"/>
          <w:szCs w:val="21"/>
        </w:rPr>
        <w:t>Tremona</w:t>
      </w:r>
      <w:proofErr w:type="spellEnd"/>
      <w:r w:rsidRPr="00854D95">
        <w:rPr>
          <w:rStyle w:val="normaltextrun"/>
          <w:rFonts w:asciiTheme="minorHAnsi" w:eastAsiaTheme="majorEastAsia" w:hAnsiTheme="minorHAnsi" w:cs="Calibri"/>
          <w:sz w:val="21"/>
          <w:szCs w:val="21"/>
        </w:rPr>
        <w:t xml:space="preserve"> Road</w:t>
      </w:r>
      <w:r w:rsidRPr="00854D95">
        <w:rPr>
          <w:rStyle w:val="eop"/>
          <w:rFonts w:asciiTheme="minorHAnsi" w:eastAsiaTheme="majorEastAsia" w:hAnsiTheme="minorHAnsi" w:cs="Calibri"/>
          <w:sz w:val="21"/>
          <w:szCs w:val="21"/>
        </w:rPr>
        <w:t> </w:t>
      </w:r>
    </w:p>
    <w:p w14:paraId="3F092FED"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21"/>
          <w:szCs w:val="21"/>
        </w:rPr>
        <w:t>Southampton SO16 65YD</w:t>
      </w:r>
      <w:r w:rsidRPr="00854D95">
        <w:rPr>
          <w:rStyle w:val="eop"/>
          <w:rFonts w:asciiTheme="minorHAnsi" w:eastAsiaTheme="majorEastAsia" w:hAnsiTheme="minorHAnsi" w:cs="Calibri"/>
          <w:sz w:val="21"/>
          <w:szCs w:val="21"/>
        </w:rPr>
        <w:t> </w:t>
      </w:r>
    </w:p>
    <w:p w14:paraId="5E807EDF" w14:textId="77777777" w:rsidR="00854D95" w:rsidRPr="00854D95" w:rsidRDefault="00854D95" w:rsidP="00854D95">
      <w:pPr>
        <w:pStyle w:val="paragraph"/>
        <w:spacing w:before="0" w:beforeAutospacing="0" w:after="0" w:afterAutospacing="0" w:line="360" w:lineRule="auto"/>
        <w:jc w:val="both"/>
        <w:textAlignment w:val="baseline"/>
        <w:rPr>
          <w:rFonts w:asciiTheme="minorHAnsi" w:hAnsiTheme="minorHAnsi" w:cs="Segoe UI"/>
          <w:sz w:val="15"/>
          <w:szCs w:val="15"/>
        </w:rPr>
      </w:pPr>
      <w:r w:rsidRPr="00854D95">
        <w:rPr>
          <w:rStyle w:val="normaltextrun"/>
          <w:rFonts w:asciiTheme="minorHAnsi" w:eastAsiaTheme="majorEastAsia" w:hAnsiTheme="minorHAnsi" w:cs="Calibri"/>
          <w:sz w:val="21"/>
          <w:szCs w:val="21"/>
        </w:rPr>
        <w:t xml:space="preserve">e-mail: </w:t>
      </w:r>
      <w:hyperlink r:id="rId11" w:tgtFrame="_blank" w:history="1">
        <w:r w:rsidRPr="00854D95">
          <w:rPr>
            <w:rStyle w:val="normaltextrun"/>
            <w:rFonts w:asciiTheme="minorHAnsi" w:eastAsiaTheme="majorEastAsia" w:hAnsiTheme="minorHAnsi" w:cs="Calibri"/>
            <w:color w:val="0563C1"/>
            <w:sz w:val="21"/>
            <w:szCs w:val="21"/>
            <w:u w:val="single"/>
          </w:rPr>
          <w:t>g.thomas@soton.ac.uk</w:t>
        </w:r>
      </w:hyperlink>
      <w:r w:rsidRPr="00854D95">
        <w:rPr>
          <w:rStyle w:val="normaltextrun"/>
          <w:rFonts w:asciiTheme="minorHAnsi" w:eastAsiaTheme="majorEastAsia" w:hAnsiTheme="minorHAnsi" w:cs="Calibri"/>
          <w:sz w:val="21"/>
          <w:szCs w:val="21"/>
        </w:rPr>
        <w:t> </w:t>
      </w:r>
      <w:r w:rsidRPr="00854D95">
        <w:rPr>
          <w:rStyle w:val="eop"/>
          <w:rFonts w:asciiTheme="minorHAnsi" w:eastAsiaTheme="majorEastAsia" w:hAnsiTheme="minorHAnsi" w:cs="Calibri"/>
          <w:sz w:val="21"/>
          <w:szCs w:val="21"/>
        </w:rPr>
        <w:t> </w:t>
      </w:r>
    </w:p>
    <w:p w14:paraId="66133078" w14:textId="77777777" w:rsidR="00551450" w:rsidRPr="003073E3" w:rsidRDefault="00551450" w:rsidP="003073E3">
      <w:pPr>
        <w:spacing w:line="360" w:lineRule="auto"/>
        <w:jc w:val="both"/>
        <w:rPr>
          <w:rFonts w:eastAsia="Calibri" w:cs="Calibri"/>
          <w:color w:val="000000" w:themeColor="text1"/>
          <w:sz w:val="16"/>
          <w:szCs w:val="16"/>
          <w:lang w:val="en-GB"/>
        </w:rPr>
      </w:pPr>
    </w:p>
    <w:p w14:paraId="7836062F" w14:textId="15FF820C" w:rsidR="0182DC1C" w:rsidRPr="003073E3" w:rsidRDefault="0182DC1C" w:rsidP="003073E3">
      <w:pPr>
        <w:spacing w:line="360" w:lineRule="auto"/>
        <w:rPr>
          <w:sz w:val="22"/>
          <w:szCs w:val="22"/>
        </w:rPr>
      </w:pPr>
      <w:r w:rsidRPr="003073E3">
        <w:rPr>
          <w:rFonts w:eastAsia="Calibri" w:cs="Calibri"/>
          <w:b/>
          <w:bCs/>
          <w:sz w:val="22"/>
          <w:szCs w:val="22"/>
          <w:u w:val="single"/>
          <w:lang w:val="en-GB"/>
        </w:rPr>
        <w:t>Supplementary Materials:</w:t>
      </w:r>
    </w:p>
    <w:p w14:paraId="785DC982" w14:textId="08BBAE0A" w:rsidR="0182DC1C" w:rsidRPr="003073E3" w:rsidRDefault="0182DC1C" w:rsidP="003073E3">
      <w:pPr>
        <w:pStyle w:val="Heading1"/>
        <w:numPr>
          <w:ilvl w:val="0"/>
          <w:numId w:val="2"/>
        </w:numPr>
        <w:spacing w:before="240" w:after="0" w:line="360" w:lineRule="auto"/>
        <w:jc w:val="both"/>
        <w:rPr>
          <w:rFonts w:asciiTheme="minorHAnsi" w:eastAsia="Calibri" w:hAnsiTheme="minorHAnsi" w:cs="Calibri"/>
          <w:color w:val="auto"/>
          <w:sz w:val="22"/>
          <w:szCs w:val="22"/>
          <w:lang w:val="en-GB"/>
        </w:rPr>
      </w:pPr>
      <w:r w:rsidRPr="003073E3">
        <w:rPr>
          <w:rFonts w:asciiTheme="minorHAnsi" w:eastAsia="Calibri" w:hAnsiTheme="minorHAnsi" w:cs="Calibri"/>
          <w:color w:val="auto"/>
          <w:sz w:val="22"/>
          <w:szCs w:val="22"/>
          <w:lang w:val="en-GB"/>
        </w:rPr>
        <w:t>Supplementary Figures</w:t>
      </w:r>
    </w:p>
    <w:p w14:paraId="15FA2043" w14:textId="785D7CE0" w:rsidR="0182DC1C" w:rsidRPr="003073E3" w:rsidRDefault="0182DC1C" w:rsidP="003073E3">
      <w:pPr>
        <w:pStyle w:val="ListParagraph"/>
        <w:numPr>
          <w:ilvl w:val="0"/>
          <w:numId w:val="2"/>
        </w:numPr>
        <w:spacing w:line="360" w:lineRule="auto"/>
        <w:rPr>
          <w:rFonts w:eastAsia="Calibri" w:cs="Calibri"/>
          <w:sz w:val="22"/>
          <w:szCs w:val="22"/>
          <w:lang w:val="en-GB"/>
        </w:rPr>
      </w:pPr>
      <w:r w:rsidRPr="003073E3">
        <w:rPr>
          <w:rFonts w:eastAsia="Calibri" w:cs="Calibri"/>
          <w:sz w:val="22"/>
          <w:szCs w:val="22"/>
          <w:lang w:val="en-GB"/>
        </w:rPr>
        <w:t>Supplementary Materials and Methods</w:t>
      </w:r>
    </w:p>
    <w:p w14:paraId="044920AE" w14:textId="42C01F07" w:rsidR="2FA30487" w:rsidRPr="003073E3" w:rsidRDefault="006277D7" w:rsidP="003073E3">
      <w:pPr>
        <w:pStyle w:val="ListParagraph"/>
        <w:numPr>
          <w:ilvl w:val="0"/>
          <w:numId w:val="2"/>
        </w:numPr>
        <w:spacing w:line="360" w:lineRule="auto"/>
        <w:rPr>
          <w:rFonts w:eastAsia="Calibri" w:cs="Calibri"/>
          <w:sz w:val="22"/>
          <w:szCs w:val="22"/>
          <w:lang w:val="en-GB"/>
        </w:rPr>
      </w:pPr>
      <w:r w:rsidRPr="003073E3">
        <w:rPr>
          <w:rFonts w:eastAsia="Calibri" w:cs="Calibri"/>
          <w:sz w:val="22"/>
          <w:szCs w:val="22"/>
          <w:lang w:val="en-GB"/>
        </w:rPr>
        <w:t>Extended data Figures</w:t>
      </w:r>
    </w:p>
    <w:p w14:paraId="01B6F879" w14:textId="144F6814" w:rsidR="2FA30487" w:rsidRPr="003073E3" w:rsidRDefault="2FA30487" w:rsidP="003073E3">
      <w:pPr>
        <w:pStyle w:val="Heading1"/>
        <w:spacing w:before="240" w:after="0" w:line="480" w:lineRule="auto"/>
        <w:jc w:val="both"/>
        <w:rPr>
          <w:rFonts w:asciiTheme="minorHAnsi" w:eastAsia="Calibri" w:hAnsiTheme="minorHAnsi" w:cs="Calibri"/>
          <w:b/>
          <w:bCs/>
          <w:color w:val="auto"/>
          <w:sz w:val="28"/>
          <w:szCs w:val="28"/>
          <w:lang w:val="en-GB"/>
        </w:rPr>
      </w:pPr>
      <w:r w:rsidRPr="003073E3">
        <w:rPr>
          <w:rFonts w:asciiTheme="minorHAnsi" w:eastAsia="Calibri" w:hAnsiTheme="minorHAnsi" w:cs="Calibri"/>
          <w:b/>
          <w:bCs/>
          <w:color w:val="auto"/>
          <w:sz w:val="28"/>
          <w:szCs w:val="28"/>
          <w:lang w:val="en-GB"/>
        </w:rPr>
        <w:lastRenderedPageBreak/>
        <w:t xml:space="preserve">1. </w:t>
      </w:r>
      <w:r w:rsidR="0182DC1C" w:rsidRPr="003073E3">
        <w:rPr>
          <w:rFonts w:asciiTheme="minorHAnsi" w:eastAsia="Calibri" w:hAnsiTheme="minorHAnsi" w:cs="Calibri"/>
          <w:b/>
          <w:bCs/>
          <w:color w:val="auto"/>
          <w:sz w:val="28"/>
          <w:szCs w:val="28"/>
          <w:lang w:val="en-GB"/>
        </w:rPr>
        <w:t>SUPPLEMENTARY FIGURES</w:t>
      </w:r>
    </w:p>
    <w:p w14:paraId="17971AB0" w14:textId="2CF0B0F1" w:rsidR="2FA30487" w:rsidRPr="003073E3" w:rsidRDefault="00EB66FC" w:rsidP="003073E3">
      <w:pPr>
        <w:spacing w:line="480" w:lineRule="auto"/>
        <w:rPr>
          <w:lang w:val="en-GB"/>
        </w:rPr>
      </w:pPr>
      <w:r w:rsidRPr="003073E3">
        <w:rPr>
          <w:noProof/>
          <w:lang w:val="en-GB"/>
        </w:rPr>
        <w:drawing>
          <wp:inline distT="0" distB="0" distL="0" distR="0" wp14:anchorId="28C0D45C" wp14:editId="431E70A8">
            <wp:extent cx="5353185" cy="7732644"/>
            <wp:effectExtent l="0" t="0" r="0" b="1905"/>
            <wp:docPr id="314931836"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931836" name="Picture 1" descr="A close-up of a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59206" cy="7741341"/>
                    </a:xfrm>
                    <a:prstGeom prst="rect">
                      <a:avLst/>
                    </a:prstGeom>
                  </pic:spPr>
                </pic:pic>
              </a:graphicData>
            </a:graphic>
          </wp:inline>
        </w:drawing>
      </w:r>
    </w:p>
    <w:p w14:paraId="6EF78DC1" w14:textId="77777777" w:rsidR="00EB66FC" w:rsidRPr="00EB66FC" w:rsidRDefault="00EB66FC" w:rsidP="003073E3">
      <w:pPr>
        <w:pStyle w:val="Heading1"/>
        <w:spacing w:before="240" w:after="0" w:line="480" w:lineRule="auto"/>
        <w:jc w:val="both"/>
        <w:rPr>
          <w:rFonts w:asciiTheme="minorHAnsi" w:eastAsia="Calibri" w:hAnsiTheme="minorHAnsi" w:cs="Calibri"/>
          <w:b/>
          <w:bCs/>
          <w:color w:val="auto"/>
          <w:sz w:val="22"/>
          <w:szCs w:val="22"/>
          <w:lang w:val="en-GB"/>
        </w:rPr>
      </w:pPr>
      <w:r w:rsidRPr="00EB66FC">
        <w:rPr>
          <w:rFonts w:asciiTheme="minorHAnsi" w:eastAsia="Calibri" w:hAnsiTheme="minorHAnsi" w:cs="Calibri"/>
          <w:b/>
          <w:bCs/>
          <w:color w:val="auto"/>
          <w:sz w:val="22"/>
          <w:szCs w:val="22"/>
          <w:lang w:val="en-GB"/>
        </w:rPr>
        <w:lastRenderedPageBreak/>
        <w:t xml:space="preserve">Supplementary Figure 1 (related to Figure 1). </w:t>
      </w:r>
    </w:p>
    <w:p w14:paraId="2A06259E" w14:textId="77777777" w:rsidR="00EB66FC" w:rsidRPr="00EB66FC" w:rsidRDefault="00EB66FC" w:rsidP="003073E3">
      <w:pPr>
        <w:pStyle w:val="Heading1"/>
        <w:spacing w:before="240" w:after="0" w:line="480" w:lineRule="auto"/>
        <w:jc w:val="both"/>
        <w:rPr>
          <w:rFonts w:asciiTheme="minorHAnsi" w:eastAsia="Calibri" w:hAnsiTheme="minorHAnsi" w:cs="Calibri"/>
          <w:color w:val="auto"/>
          <w:sz w:val="22"/>
          <w:szCs w:val="22"/>
          <w:lang w:val="en-GB"/>
        </w:rPr>
      </w:pPr>
      <w:r w:rsidRPr="00EB66FC">
        <w:rPr>
          <w:rFonts w:asciiTheme="minorHAnsi" w:eastAsia="Calibri" w:hAnsiTheme="minorHAnsi" w:cs="Calibri"/>
          <w:color w:val="auto"/>
          <w:sz w:val="22"/>
          <w:szCs w:val="22"/>
          <w:lang w:val="en-GB"/>
        </w:rPr>
        <w:t>A) HPV exon expression across all cells in the in-house EPG scRNA-Seq data (n=10). Exons with detected expression are displayed. Samples were sequentially aligned to human reference genome (GRCh38–2020-A) with HPV-16 reference sequence (NC_001526) or HPV-33 (OQ_672679). B) Plot showing UMAP embeddings for integrated (Seurat RPCA) in-house HNSCC scRNA-Seq dataset comprising of HPV+ve HNSCC (n=7), HPV-ve HNSCC (n=3) and normal oropharyngeal tissue (n=7). UMAP plots displaying 17 clusters are accompanied with bar plots showing relative proportions of broad cell types per patient sample. Clusters are annotated based on expression of marker genes as shown in Supplementary Figure 1C. C) Dot plot showing expression of key marker genes of clusters. D) Integrated scRNASeq HNSCC dataset (Figure 1) split by dataset showing cell embeddings from EPG and Kürten et al. datasets. E) Feature plots showing expression of key cell type markers in clusters of the integrated HNSCC scRNA-Seq dataset. F) Deconvolution of TCGA HNSC bulk RNA Seq data using MCP-counter. Scaled abundance imputed by MCP-counter for CD8 T cells, T cells and B cells shown in HPV+ve and HPV-ve patients. Wilcoxon rank-sum test (two-sided). G) MCP-counter deconvoluted (spatial transcriptomics; 10x Visium) summative values for B cells, T cells, total lymphocytes and CAF (total values) per patient in HPV-ve/+ve samples. Students t-test or Wilcoxon rank-sum test (two-sided). *p &lt; 0.05; **p &lt; 0.01; ***p &lt; 0.001. ****p &lt; 0.0001.</w:t>
      </w:r>
    </w:p>
    <w:p w14:paraId="48DDE5A8" w14:textId="77777777" w:rsidR="00EB66FC" w:rsidRPr="00EB66FC" w:rsidRDefault="00EB66FC" w:rsidP="003073E3">
      <w:pPr>
        <w:pStyle w:val="Heading1"/>
        <w:spacing w:before="240" w:after="0" w:line="480" w:lineRule="auto"/>
        <w:jc w:val="both"/>
        <w:rPr>
          <w:rFonts w:asciiTheme="minorHAnsi" w:eastAsia="Calibri" w:hAnsiTheme="minorHAnsi" w:cs="Calibri"/>
          <w:b/>
          <w:bCs/>
          <w:color w:val="auto"/>
          <w:sz w:val="22"/>
          <w:szCs w:val="22"/>
          <w:lang w:val="en-GB"/>
        </w:rPr>
      </w:pPr>
    </w:p>
    <w:p w14:paraId="03C02DE9" w14:textId="14DA3114" w:rsidR="0036648F" w:rsidRPr="003073E3" w:rsidRDefault="0036648F" w:rsidP="003073E3">
      <w:pPr>
        <w:spacing w:line="480" w:lineRule="auto"/>
        <w:rPr>
          <w:rFonts w:eastAsia="Calibri" w:cs="Calibri"/>
          <w:b/>
          <w:bCs/>
          <w:sz w:val="22"/>
          <w:szCs w:val="22"/>
          <w:lang w:val="en-GB"/>
        </w:rPr>
      </w:pPr>
      <w:r w:rsidRPr="003073E3">
        <w:rPr>
          <w:rFonts w:eastAsia="Calibri" w:cs="Calibri"/>
          <w:b/>
          <w:bCs/>
          <w:sz w:val="22"/>
          <w:szCs w:val="22"/>
          <w:lang w:val="en-GB"/>
        </w:rPr>
        <w:br w:type="page"/>
      </w:r>
    </w:p>
    <w:p w14:paraId="11998045" w14:textId="4AF0E659" w:rsidR="00EB66FC" w:rsidRPr="003073E3" w:rsidRDefault="00175A03" w:rsidP="003073E3">
      <w:pPr>
        <w:pStyle w:val="Heading1"/>
        <w:spacing w:before="240" w:after="0" w:line="480" w:lineRule="auto"/>
        <w:jc w:val="both"/>
        <w:rPr>
          <w:rFonts w:asciiTheme="minorHAnsi" w:eastAsia="Calibri" w:hAnsiTheme="minorHAnsi" w:cs="Calibri"/>
          <w:b/>
          <w:bCs/>
          <w:color w:val="auto"/>
          <w:sz w:val="22"/>
          <w:szCs w:val="22"/>
          <w:lang w:val="en-GB"/>
        </w:rPr>
      </w:pPr>
      <w:r>
        <w:rPr>
          <w:rFonts w:asciiTheme="minorHAnsi" w:eastAsia="Calibri" w:hAnsiTheme="minorHAnsi" w:cs="Calibri"/>
          <w:b/>
          <w:bCs/>
          <w:noProof/>
          <w:color w:val="auto"/>
          <w:sz w:val="22"/>
          <w:szCs w:val="22"/>
          <w:lang w:val="en-GB"/>
        </w:rPr>
        <w:lastRenderedPageBreak/>
        <w:drawing>
          <wp:inline distT="0" distB="0" distL="0" distR="0" wp14:anchorId="16C1CD4F" wp14:editId="12A25CB3">
            <wp:extent cx="5943600" cy="7264400"/>
            <wp:effectExtent l="0" t="0" r="0" b="0"/>
            <wp:docPr id="1265764240" name="Picture 14"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764240" name="Picture 14" descr="A close-up of a 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264400"/>
                    </a:xfrm>
                    <a:prstGeom prst="rect">
                      <a:avLst/>
                    </a:prstGeom>
                  </pic:spPr>
                </pic:pic>
              </a:graphicData>
            </a:graphic>
          </wp:inline>
        </w:drawing>
      </w:r>
    </w:p>
    <w:p w14:paraId="69C2E6DE" w14:textId="77777777" w:rsidR="0036648F" w:rsidRPr="003073E3" w:rsidRDefault="0036648F" w:rsidP="003073E3">
      <w:pPr>
        <w:spacing w:line="480" w:lineRule="auto"/>
        <w:rPr>
          <w:b/>
          <w:bCs/>
          <w:sz w:val="22"/>
          <w:szCs w:val="22"/>
          <w:lang w:val="en-GB"/>
        </w:rPr>
      </w:pPr>
      <w:r w:rsidRPr="003073E3">
        <w:rPr>
          <w:b/>
          <w:bCs/>
          <w:sz w:val="22"/>
          <w:szCs w:val="22"/>
          <w:lang w:val="en-GB"/>
        </w:rPr>
        <w:br w:type="page"/>
      </w:r>
    </w:p>
    <w:p w14:paraId="6C644767" w14:textId="00056366" w:rsidR="0036648F" w:rsidRPr="0036648F" w:rsidRDefault="0036648F" w:rsidP="003073E3">
      <w:pPr>
        <w:spacing w:line="480" w:lineRule="auto"/>
        <w:rPr>
          <w:b/>
          <w:bCs/>
          <w:sz w:val="22"/>
          <w:szCs w:val="22"/>
          <w:lang w:val="en-GB"/>
        </w:rPr>
      </w:pPr>
      <w:r w:rsidRPr="0036648F">
        <w:rPr>
          <w:b/>
          <w:bCs/>
          <w:sz w:val="22"/>
          <w:szCs w:val="22"/>
          <w:lang w:val="en-GB"/>
        </w:rPr>
        <w:lastRenderedPageBreak/>
        <w:t>Supplementary Figure 2. UMAP plots of immune cell clusters within integrated HNSCC scRNA-Seq dataset including differential abundance testing in HPV+ve vs HPV-ve samples.</w:t>
      </w:r>
    </w:p>
    <w:p w14:paraId="2F4D81F6" w14:textId="5E141B86" w:rsidR="0036648F" w:rsidRPr="00EB66FC" w:rsidRDefault="0036648F" w:rsidP="003073E3">
      <w:pPr>
        <w:spacing w:line="480" w:lineRule="auto"/>
        <w:rPr>
          <w:sz w:val="22"/>
          <w:szCs w:val="22"/>
          <w:lang w:val="en-GB"/>
        </w:rPr>
      </w:pPr>
      <w:r w:rsidRPr="003073E3">
        <w:rPr>
          <w:sz w:val="22"/>
          <w:szCs w:val="22"/>
          <w:lang w:val="en-GB"/>
        </w:rPr>
        <w:t xml:space="preserve">Immune cell clusters were subset from the original integrated dataset and re-integrated using Seurat RPCA. T/NK cells, B/plasma cells and myeloid cell UMAP plots are shown with annotated clusters. Accompanying these are bee-swarm plots presenting differential abundance testing results between HPV+ve and HPV-ve samples. A) Integrated HNSCC scRNASeq UMAP of T and NK cells. B) T/NK cell differential abundance using </w:t>
      </w:r>
      <w:proofErr w:type="spellStart"/>
      <w:r w:rsidRPr="003073E3">
        <w:rPr>
          <w:sz w:val="22"/>
          <w:szCs w:val="22"/>
          <w:lang w:val="en-GB"/>
        </w:rPr>
        <w:t>MiloR</w:t>
      </w:r>
      <w:proofErr w:type="spellEnd"/>
      <w:r w:rsidRPr="003073E3">
        <w:rPr>
          <w:sz w:val="22"/>
          <w:szCs w:val="22"/>
          <w:lang w:val="en-GB"/>
        </w:rPr>
        <w:t xml:space="preserve">. C) Integrated HNSCC scRNASeq UMAP of B/plasma cells. D) B/plasma cell differential abundance using </w:t>
      </w:r>
      <w:proofErr w:type="spellStart"/>
      <w:r w:rsidRPr="003073E3">
        <w:rPr>
          <w:sz w:val="22"/>
          <w:szCs w:val="22"/>
          <w:lang w:val="en-GB"/>
        </w:rPr>
        <w:t>MiloR</w:t>
      </w:r>
      <w:proofErr w:type="spellEnd"/>
      <w:r w:rsidRPr="003073E3">
        <w:rPr>
          <w:sz w:val="22"/>
          <w:szCs w:val="22"/>
          <w:lang w:val="en-GB"/>
        </w:rPr>
        <w:t>. E) Integrated HNSCC scRNASeq UMAP of myeloid cells (which had no differentially abundant clusters between HPV+ve and HPV-ve tumours). F) Selected marker gene expression across HNSCC myeloid cell clusters.</w:t>
      </w:r>
    </w:p>
    <w:p w14:paraId="7EADE8E1" w14:textId="05097E21" w:rsidR="00EB66FC" w:rsidRPr="003073E3" w:rsidRDefault="0036648F" w:rsidP="003073E3">
      <w:pPr>
        <w:pStyle w:val="Heading1"/>
        <w:spacing w:before="240" w:after="0" w:line="480" w:lineRule="auto"/>
        <w:jc w:val="both"/>
        <w:rPr>
          <w:rFonts w:asciiTheme="minorHAnsi" w:eastAsia="Calibri" w:hAnsiTheme="minorHAnsi" w:cs="Calibri"/>
          <w:b/>
          <w:bCs/>
          <w:color w:val="auto"/>
          <w:sz w:val="22"/>
          <w:szCs w:val="22"/>
          <w:lang w:val="en-GB"/>
        </w:rPr>
      </w:pPr>
      <w:r w:rsidRPr="003073E3">
        <w:rPr>
          <w:rFonts w:asciiTheme="minorHAnsi" w:eastAsia="Calibri" w:hAnsiTheme="minorHAnsi" w:cs="Calibri"/>
          <w:b/>
          <w:bCs/>
          <w:noProof/>
          <w:color w:val="auto"/>
          <w:sz w:val="22"/>
          <w:szCs w:val="22"/>
          <w:lang w:val="en-GB"/>
        </w:rPr>
        <w:lastRenderedPageBreak/>
        <w:drawing>
          <wp:inline distT="0" distB="0" distL="0" distR="0" wp14:anchorId="583869E4" wp14:editId="67E10D3E">
            <wp:extent cx="5943600" cy="7627620"/>
            <wp:effectExtent l="0" t="0" r="0" b="5080"/>
            <wp:docPr id="1114281020" name="Picture 3"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281020" name="Picture 3" descr="A close-up of a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7627620"/>
                    </a:xfrm>
                    <a:prstGeom prst="rect">
                      <a:avLst/>
                    </a:prstGeom>
                  </pic:spPr>
                </pic:pic>
              </a:graphicData>
            </a:graphic>
          </wp:inline>
        </w:drawing>
      </w:r>
    </w:p>
    <w:p w14:paraId="3E51EC3F" w14:textId="77777777" w:rsidR="0036648F" w:rsidRPr="003073E3" w:rsidRDefault="0036648F" w:rsidP="003073E3">
      <w:pPr>
        <w:spacing w:line="480" w:lineRule="auto"/>
        <w:rPr>
          <w:sz w:val="22"/>
          <w:szCs w:val="22"/>
          <w:lang w:val="en-GB"/>
        </w:rPr>
      </w:pPr>
    </w:p>
    <w:p w14:paraId="02A96F38" w14:textId="3382DC80" w:rsidR="0036648F" w:rsidRPr="0036648F" w:rsidRDefault="0036648F" w:rsidP="003073E3">
      <w:pPr>
        <w:spacing w:line="480" w:lineRule="auto"/>
        <w:rPr>
          <w:b/>
          <w:bCs/>
          <w:sz w:val="22"/>
          <w:szCs w:val="22"/>
          <w:lang w:val="en-GB"/>
        </w:rPr>
      </w:pPr>
      <w:r w:rsidRPr="0036648F">
        <w:rPr>
          <w:b/>
          <w:bCs/>
          <w:sz w:val="22"/>
          <w:szCs w:val="22"/>
          <w:lang w:val="en-GB"/>
        </w:rPr>
        <w:lastRenderedPageBreak/>
        <w:t>Supplementary Figure 3. HNSCC fibroblast identification and abundance (related to Figure 2).</w:t>
      </w:r>
    </w:p>
    <w:p w14:paraId="391C722A" w14:textId="647B6DE3" w:rsidR="0036648F" w:rsidRPr="0036648F" w:rsidRDefault="0036648F" w:rsidP="003073E3">
      <w:pPr>
        <w:spacing w:line="480" w:lineRule="auto"/>
        <w:rPr>
          <w:sz w:val="22"/>
          <w:szCs w:val="22"/>
          <w:lang w:val="en-GB"/>
        </w:rPr>
      </w:pPr>
      <w:r w:rsidRPr="0036648F">
        <w:rPr>
          <w:sz w:val="22"/>
          <w:szCs w:val="22"/>
          <w:lang w:val="en-GB"/>
        </w:rPr>
        <w:t xml:space="preserve">A) Integrated HNSCC dataset UMAP with LUM+ fibroblasts and RGS5+ mural cells highlighted (in the </w:t>
      </w:r>
      <w:proofErr w:type="spellStart"/>
      <w:r w:rsidRPr="0036648F">
        <w:rPr>
          <w:sz w:val="22"/>
          <w:szCs w:val="22"/>
          <w:lang w:val="en-GB"/>
        </w:rPr>
        <w:t>Fibroblast.Mural</w:t>
      </w:r>
      <w:proofErr w:type="spellEnd"/>
      <w:r w:rsidRPr="0036648F">
        <w:rPr>
          <w:sz w:val="22"/>
          <w:szCs w:val="22"/>
          <w:lang w:val="en-GB"/>
        </w:rPr>
        <w:t xml:space="preserve"> cluster). B) Fibroblast and mural cells UMAP from integrated HNSCC dataset. The circled cluster in A was subset, processed and plotted (UMAP) again showing close fibroblast-mural transcriptomic relationship. Three clusters emerged, with two clusters of LUM+RGS5- fibroblasts and one cluster of RGS5+LUM- mural cells. C) Fibroblast UMAP grouped by source of material: normal or tumour. D) Fibroblast UMAP grouped by patient sample and bar plot showing proportion (total cells per scRNA-Seq sample) of fibroblast clusters from Figure 2. Bar plot coloured by patient sample (corresponding to legend on right of UMAP). E) Fibroblast bar plots showing relative abundance (proportion of total fibroblasts</w:t>
      </w:r>
      <w:r w:rsidR="00175A03" w:rsidRPr="0036648F">
        <w:rPr>
          <w:sz w:val="22"/>
          <w:szCs w:val="22"/>
          <w:lang w:val="en-GB"/>
        </w:rPr>
        <w:t>),</w:t>
      </w:r>
      <w:r w:rsidRPr="0036648F">
        <w:rPr>
          <w:sz w:val="22"/>
          <w:szCs w:val="22"/>
          <w:lang w:val="en-GB"/>
        </w:rPr>
        <w:t xml:space="preserve"> and cell counts of fibroblast subsets per patient, split by normal, HPV+ HNSCC and HPV- HNSCC.  </w:t>
      </w:r>
    </w:p>
    <w:p w14:paraId="13547F4B" w14:textId="608875EB" w:rsidR="0036648F" w:rsidRPr="003073E3" w:rsidRDefault="00551450" w:rsidP="003073E3">
      <w:pPr>
        <w:spacing w:line="480" w:lineRule="auto"/>
        <w:rPr>
          <w:sz w:val="22"/>
          <w:szCs w:val="22"/>
          <w:lang w:val="en-GB"/>
        </w:rPr>
      </w:pPr>
      <w:r w:rsidRPr="003073E3">
        <w:rPr>
          <w:noProof/>
          <w:sz w:val="22"/>
          <w:szCs w:val="22"/>
          <w:lang w:val="en-GB"/>
        </w:rPr>
        <w:lastRenderedPageBreak/>
        <w:drawing>
          <wp:inline distT="0" distB="0" distL="0" distR="0" wp14:anchorId="6E20B247" wp14:editId="355E5769">
            <wp:extent cx="5697220" cy="8229600"/>
            <wp:effectExtent l="0" t="0" r="5080" b="0"/>
            <wp:docPr id="589199925" name="Picture 4"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199925" name="Picture 4" descr="A close-up of a 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03F657EB" w14:textId="77777777" w:rsidR="00551450" w:rsidRPr="00551450" w:rsidRDefault="00551450" w:rsidP="003073E3">
      <w:pPr>
        <w:spacing w:line="480" w:lineRule="auto"/>
        <w:rPr>
          <w:b/>
          <w:bCs/>
          <w:sz w:val="22"/>
          <w:szCs w:val="22"/>
          <w:lang w:val="en-GB"/>
        </w:rPr>
      </w:pPr>
      <w:r w:rsidRPr="00551450">
        <w:rPr>
          <w:b/>
          <w:bCs/>
          <w:sz w:val="22"/>
          <w:szCs w:val="22"/>
          <w:lang w:val="en-GB"/>
        </w:rPr>
        <w:lastRenderedPageBreak/>
        <w:t xml:space="preserve">Supplementary Figure 4. HNSCC fibroblasts (related to Figure 2). </w:t>
      </w:r>
    </w:p>
    <w:p w14:paraId="70CC0A81" w14:textId="45468E12" w:rsidR="00EB66FC" w:rsidRPr="00EB66FC" w:rsidRDefault="00551450" w:rsidP="003073E3">
      <w:pPr>
        <w:spacing w:line="480" w:lineRule="auto"/>
        <w:rPr>
          <w:sz w:val="22"/>
          <w:szCs w:val="22"/>
          <w:lang w:val="en-GB"/>
        </w:rPr>
      </w:pPr>
      <w:r w:rsidRPr="00551450">
        <w:rPr>
          <w:sz w:val="22"/>
          <w:szCs w:val="22"/>
          <w:lang w:val="en-GB"/>
        </w:rPr>
        <w:t xml:space="preserve">A) Heatmap showing summarised (mean) activity scores of fibroblasts for pathway responsive genes using </w:t>
      </w:r>
      <w:proofErr w:type="spellStart"/>
      <w:r w:rsidRPr="00551450">
        <w:rPr>
          <w:sz w:val="22"/>
          <w:szCs w:val="22"/>
          <w:lang w:val="en-GB"/>
        </w:rPr>
        <w:t>PROGENy</w:t>
      </w:r>
      <w:proofErr w:type="spellEnd"/>
      <w:r w:rsidRPr="00551450">
        <w:rPr>
          <w:sz w:val="22"/>
          <w:szCs w:val="22"/>
          <w:lang w:val="en-GB"/>
        </w:rPr>
        <w:t xml:space="preserve">. B) Average expression of core matrisome </w:t>
      </w:r>
      <w:r w:rsidR="00175A03">
        <w:rPr>
          <w:sz w:val="22"/>
          <w:szCs w:val="22"/>
          <w:lang w:val="en-GB"/>
        </w:rPr>
        <w:fldChar w:fldCharType="begin"/>
      </w:r>
      <w:r w:rsidR="00175A03">
        <w:rPr>
          <w:sz w:val="22"/>
          <w:szCs w:val="22"/>
          <w:lang w:val="en-GB"/>
        </w:rPr>
        <w:instrText xml:space="preserve"> ADDIN ZOTERO_ITEM CSL_CITATION {"citationID":"W5dBYs7Z","properties":{"formattedCitation":"[1]","plainCitation":"[1]","noteIndex":0},"citationItems":[{"id":456,"uris":["http://zotero.org/users/8473258/items/EP2UMZKI"],"itemData":{"id":456,"type":"article-journal","abstract":"Completion of genome sequences for many organisms allows a reasonably complete definition of the complement of extracellular matrix (ECM) proteins. In mammals this \"core matrisome\" comprises </w:instrText>
      </w:r>
      <w:r w:rsidR="00175A03">
        <w:rPr>
          <w:rFonts w:ascii="Cambria Math" w:hAnsi="Cambria Math" w:cs="Cambria Math"/>
          <w:sz w:val="22"/>
          <w:szCs w:val="22"/>
          <w:lang w:val="en-GB"/>
        </w:rPr>
        <w:instrText>∼</w:instrText>
      </w:r>
      <w:r w:rsidR="00175A03">
        <w:rPr>
          <w:sz w:val="22"/>
          <w:szCs w:val="22"/>
          <w:lang w:val="en-GB"/>
        </w:rPr>
        <w:instrText xml:space="preserve">300 proteins. In addition there are large numbers of ECM-modifying enzymes, ECM-binding growth factors, and other ECM-associated proteins. These different categories of ECM and ECM-associated proteins cooperate to assemble and remodel extracellular matrices and bind to cells through ECM receptors. Together with receptors for ECM-bound growth factors, they provide multiple inputs into cells to control survival, proliferation, differentiation, shape, polarity, and motility of cells. The evolution of ECM proteins was key in the transition to multicellularity, the arrangement of cells into tissue layers, and the elaboration of novel structures during vertebrate evolution. This key role of ECM is reflected in the diversity of ECM proteins and the modular domain structures of ECM proteins both allow their multiple interactions and, during evolution, development of novel protein architectures.","container-title":"Cold Spring Harbor Perspectives in Biology","DOI":"10.1101/cshperspect.a004903","ISSN":"1943-0264","issue":"1","journalAbbreviation":"Cold Spring Harb Perspect Biol","language":"eng","note":"PMID: 21937732\nPMCID: PMC3249625","page":"a004903","source":"PubMed","title":"Overview of the matrisome--an inventory of extracellular matrix constituents and functions","volume":"4","author":[{"family":"Hynes","given":"Richard O."},{"family":"Naba","given":"Alexandra"}],"issued":{"date-parts":[["2012",1,1]]}}}],"schema":"https://github.com/citation-style-language/schema/raw/master/csl-citation.json"} </w:instrText>
      </w:r>
      <w:r w:rsidR="00175A03">
        <w:rPr>
          <w:sz w:val="22"/>
          <w:szCs w:val="22"/>
          <w:lang w:val="en-GB"/>
        </w:rPr>
        <w:fldChar w:fldCharType="separate"/>
      </w:r>
      <w:r w:rsidR="00175A03">
        <w:rPr>
          <w:noProof/>
          <w:sz w:val="22"/>
          <w:szCs w:val="22"/>
          <w:lang w:val="en-GB"/>
        </w:rPr>
        <w:t>[1]</w:t>
      </w:r>
      <w:r w:rsidR="00175A03">
        <w:rPr>
          <w:sz w:val="22"/>
          <w:szCs w:val="22"/>
          <w:lang w:val="en-GB"/>
        </w:rPr>
        <w:fldChar w:fldCharType="end"/>
      </w:r>
      <w:r w:rsidRPr="00551450">
        <w:rPr>
          <w:sz w:val="22"/>
          <w:szCs w:val="22"/>
          <w:lang w:val="en-GB"/>
        </w:rPr>
        <w:t xml:space="preserve"> genes. Differentially expressed genes (DEGs) identified between all fibroblast clusters (using </w:t>
      </w:r>
      <w:proofErr w:type="spellStart"/>
      <w:r w:rsidRPr="00551450">
        <w:rPr>
          <w:sz w:val="22"/>
          <w:szCs w:val="22"/>
          <w:lang w:val="en-GB"/>
        </w:rPr>
        <w:t>FindAllMarkers</w:t>
      </w:r>
      <w:proofErr w:type="spellEnd"/>
      <w:r w:rsidRPr="00551450">
        <w:rPr>
          <w:sz w:val="22"/>
          <w:szCs w:val="22"/>
          <w:lang w:val="en-GB"/>
        </w:rPr>
        <w:t xml:space="preserve">) were filtered for core matrisome genes. Expression levels are scaled by row and clustered. C) Volcano plot of DEGs between normal and tumour samples in normal fibroblast phenotypes. PI16/ADH1B+/FRC-like clusters (marked by box on UMAP plot) were subset and </w:t>
      </w:r>
      <w:proofErr w:type="spellStart"/>
      <w:r w:rsidRPr="00551450">
        <w:rPr>
          <w:sz w:val="22"/>
          <w:szCs w:val="22"/>
          <w:lang w:val="en-GB"/>
        </w:rPr>
        <w:t>FindMarkers</w:t>
      </w:r>
      <w:proofErr w:type="spellEnd"/>
      <w:r w:rsidRPr="00551450">
        <w:rPr>
          <w:sz w:val="22"/>
          <w:szCs w:val="22"/>
          <w:lang w:val="en-GB"/>
        </w:rPr>
        <w:t xml:space="preserve"> used to identify DEGs between normal and tumour samples. Selected genes (log2FC &gt;1; adjusted </w:t>
      </w:r>
      <w:proofErr w:type="spellStart"/>
      <w:r w:rsidRPr="00551450">
        <w:rPr>
          <w:sz w:val="22"/>
          <w:szCs w:val="22"/>
          <w:lang w:val="en-GB"/>
        </w:rPr>
        <w:t>pval</w:t>
      </w:r>
      <w:proofErr w:type="spellEnd"/>
      <w:r w:rsidRPr="00551450">
        <w:rPr>
          <w:sz w:val="22"/>
          <w:szCs w:val="22"/>
          <w:lang w:val="en-GB"/>
        </w:rPr>
        <w:t xml:space="preserve">&lt;0.05) are displayed. D) Single cell trajectory analysis using Monocle 3. UMAPs show overlay of determined trajectory graph path and corresponding pseudotime values. E) Gene set enrichment analysis showing significant (p&lt;0.05) </w:t>
      </w:r>
      <w:proofErr w:type="spellStart"/>
      <w:r w:rsidRPr="00551450">
        <w:rPr>
          <w:sz w:val="22"/>
          <w:szCs w:val="22"/>
          <w:lang w:val="en-GB"/>
        </w:rPr>
        <w:t>MSigDB</w:t>
      </w:r>
      <w:proofErr w:type="spellEnd"/>
      <w:r w:rsidRPr="00551450">
        <w:rPr>
          <w:sz w:val="22"/>
          <w:szCs w:val="22"/>
          <w:lang w:val="en-GB"/>
        </w:rPr>
        <w:t xml:space="preserve"> Hallmarks gene sets enrichment in FRC-like and iCAF.</w:t>
      </w:r>
    </w:p>
    <w:p w14:paraId="617AE3C7" w14:textId="515E9F16" w:rsidR="2FA30487" w:rsidRPr="003073E3" w:rsidRDefault="00551450" w:rsidP="003073E3">
      <w:pPr>
        <w:pStyle w:val="Heading1"/>
        <w:spacing w:before="240" w:after="0" w:line="480" w:lineRule="auto"/>
        <w:jc w:val="both"/>
        <w:rPr>
          <w:rFonts w:asciiTheme="minorHAnsi" w:eastAsia="Calibri" w:hAnsiTheme="minorHAnsi" w:cs="Calibri"/>
          <w:b/>
          <w:bCs/>
          <w:color w:val="auto"/>
          <w:sz w:val="22"/>
          <w:szCs w:val="22"/>
          <w:lang w:val="en-GB"/>
        </w:rPr>
      </w:pPr>
      <w:r w:rsidRPr="003073E3">
        <w:rPr>
          <w:rFonts w:asciiTheme="minorHAnsi" w:eastAsia="Calibri" w:hAnsiTheme="minorHAnsi" w:cs="Calibri"/>
          <w:b/>
          <w:bCs/>
          <w:noProof/>
          <w:color w:val="auto"/>
          <w:sz w:val="22"/>
          <w:szCs w:val="22"/>
          <w:lang w:val="en-GB"/>
        </w:rPr>
        <w:lastRenderedPageBreak/>
        <w:drawing>
          <wp:inline distT="0" distB="0" distL="0" distR="0" wp14:anchorId="3609E10A" wp14:editId="113B920B">
            <wp:extent cx="5697220" cy="8229600"/>
            <wp:effectExtent l="0" t="0" r="5080" b="0"/>
            <wp:docPr id="397314333" name="Picture 5" descr="A screenshot of a chart showing different colore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314333" name="Picture 5" descr="A screenshot of a chart showing different colored shape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5EAD0BE2" w14:textId="77777777" w:rsidR="00551450" w:rsidRPr="00551450" w:rsidRDefault="00551450" w:rsidP="003073E3">
      <w:pPr>
        <w:spacing w:line="480" w:lineRule="auto"/>
        <w:rPr>
          <w:b/>
          <w:bCs/>
          <w:sz w:val="22"/>
          <w:szCs w:val="22"/>
          <w:lang w:val="en-GB"/>
        </w:rPr>
      </w:pPr>
      <w:r w:rsidRPr="00551450">
        <w:rPr>
          <w:b/>
          <w:bCs/>
          <w:sz w:val="22"/>
          <w:szCs w:val="22"/>
          <w:lang w:val="en-GB"/>
        </w:rPr>
        <w:lastRenderedPageBreak/>
        <w:t xml:space="preserve">Supplementary Figure 5. Spatial transcriptomics RCTD deconvolution shows fibroblast phenotypes are occupy spatially discrete regions across HNSCC sections. </w:t>
      </w:r>
    </w:p>
    <w:p w14:paraId="42618797" w14:textId="2FADC720" w:rsidR="00551450" w:rsidRPr="003073E3" w:rsidRDefault="00551450" w:rsidP="003073E3">
      <w:pPr>
        <w:spacing w:line="480" w:lineRule="auto"/>
        <w:rPr>
          <w:sz w:val="22"/>
          <w:szCs w:val="22"/>
          <w:lang w:val="en-GB"/>
        </w:rPr>
      </w:pPr>
      <w:r w:rsidRPr="003073E3">
        <w:rPr>
          <w:sz w:val="22"/>
          <w:szCs w:val="22"/>
          <w:lang w:val="en-GB"/>
        </w:rPr>
        <w:t>Fibroblast phenotypes considered present in a Visium spot when RCTD normalised weights ≥ 0.05. Spots coloured by fibroblast phenotype (myCAF, blue; iCAF, orange; FRC-like, red; PI16, purple). Spots considered mixed when within a given spot &gt;1 fibroblast phenotype was present. HPV status depicted above H&amp;E images on the left.</w:t>
      </w:r>
    </w:p>
    <w:p w14:paraId="65F32BEB" w14:textId="5636DEBF" w:rsidR="2FA30487" w:rsidRPr="003073E3" w:rsidRDefault="00551450" w:rsidP="003073E3">
      <w:pPr>
        <w:pStyle w:val="Heading1"/>
        <w:spacing w:before="240" w:after="0" w:line="480" w:lineRule="auto"/>
        <w:jc w:val="both"/>
        <w:rPr>
          <w:rFonts w:asciiTheme="minorHAnsi" w:eastAsia="Calibri" w:hAnsiTheme="minorHAnsi" w:cs="Calibri"/>
          <w:b/>
          <w:bCs/>
          <w:color w:val="auto"/>
          <w:sz w:val="22"/>
          <w:szCs w:val="22"/>
          <w:lang w:val="en-GB"/>
        </w:rPr>
      </w:pPr>
      <w:r w:rsidRPr="003073E3">
        <w:rPr>
          <w:rFonts w:asciiTheme="minorHAnsi" w:eastAsia="Calibri" w:hAnsiTheme="minorHAnsi" w:cs="Calibri"/>
          <w:b/>
          <w:bCs/>
          <w:noProof/>
          <w:color w:val="auto"/>
          <w:sz w:val="22"/>
          <w:szCs w:val="22"/>
          <w:lang w:val="en-GB"/>
        </w:rPr>
        <w:lastRenderedPageBreak/>
        <w:drawing>
          <wp:inline distT="0" distB="0" distL="0" distR="0" wp14:anchorId="120C3987" wp14:editId="39085F44">
            <wp:extent cx="5943600" cy="6791325"/>
            <wp:effectExtent l="0" t="0" r="0" b="3175"/>
            <wp:docPr id="1417642567" name="Picture 6" descr="A screenshot of a screenshot of a screenshot of a screenshot of a screenshot of a screenshot of a screenshot of a screenshot of a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642567" name="Picture 6" descr="A screenshot of a screenshot of a screenshot of a screenshot of a screenshot of a screenshot of a screenshot of a screenshot of a screensho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6791325"/>
                    </a:xfrm>
                    <a:prstGeom prst="rect">
                      <a:avLst/>
                    </a:prstGeom>
                  </pic:spPr>
                </pic:pic>
              </a:graphicData>
            </a:graphic>
          </wp:inline>
        </w:drawing>
      </w:r>
    </w:p>
    <w:p w14:paraId="3BF6A945" w14:textId="77777777" w:rsidR="00551450" w:rsidRPr="003073E3" w:rsidRDefault="00551450" w:rsidP="003073E3">
      <w:pPr>
        <w:spacing w:line="480" w:lineRule="auto"/>
        <w:rPr>
          <w:b/>
          <w:bCs/>
          <w:sz w:val="22"/>
          <w:szCs w:val="22"/>
          <w:lang w:val="en-GB"/>
        </w:rPr>
      </w:pPr>
      <w:r w:rsidRPr="003073E3">
        <w:rPr>
          <w:b/>
          <w:bCs/>
          <w:sz w:val="22"/>
          <w:szCs w:val="22"/>
          <w:lang w:val="en-GB"/>
        </w:rPr>
        <w:br w:type="page"/>
      </w:r>
    </w:p>
    <w:p w14:paraId="3EAC5379" w14:textId="2E137831" w:rsidR="00551450" w:rsidRPr="00551450" w:rsidRDefault="00551450" w:rsidP="003073E3">
      <w:pPr>
        <w:spacing w:line="480" w:lineRule="auto"/>
        <w:rPr>
          <w:b/>
          <w:bCs/>
          <w:sz w:val="22"/>
          <w:szCs w:val="22"/>
          <w:lang w:val="en-GB"/>
        </w:rPr>
      </w:pPr>
      <w:r w:rsidRPr="00551450">
        <w:rPr>
          <w:b/>
          <w:bCs/>
          <w:sz w:val="22"/>
          <w:szCs w:val="22"/>
          <w:lang w:val="en-GB"/>
        </w:rPr>
        <w:lastRenderedPageBreak/>
        <w:t>Supplementary Figure 6. Spatial transcriptomics deconvolution cell type correlations using RCTD and SpatialDWLS.</w:t>
      </w:r>
    </w:p>
    <w:p w14:paraId="740B1515" w14:textId="77777777" w:rsidR="00551450" w:rsidRPr="00551450" w:rsidRDefault="00551450" w:rsidP="003073E3">
      <w:pPr>
        <w:spacing w:line="480" w:lineRule="auto"/>
        <w:rPr>
          <w:sz w:val="22"/>
          <w:szCs w:val="22"/>
          <w:lang w:val="en-GB"/>
        </w:rPr>
      </w:pPr>
      <w:r w:rsidRPr="00551450">
        <w:rPr>
          <w:sz w:val="22"/>
          <w:szCs w:val="22"/>
          <w:lang w:val="en-GB"/>
        </w:rPr>
        <w:t>A) Spatial transcriptomics cell type correlations (spearman) using SpatialDWLS. Visium (10x) spots were deconvoluted using SpatialDWLS. Annotated scRNA-Seq data was used as a reference for derivation of cell-type specific gene signatures that were used to deconvolute the cell types present within each 55uM spot. Spearman correlation of imputed abundance was carried out on each patient separately. Correlation coefficients are plotted for each of 10 patients, median displayed as vertical line in boxplot and mean as star symbol. Weighted Fisher’s method was used to combine p values. B) Heatmaps of spearman correlation values from spatial analysis using RCTD (normalised weights ≥ 0.05) and SpatialDWLS deconvolution methods. Non-significant associations left blank. Correlations across all spots and all patients. *p &lt; 0.05; **p &lt; 0.01; ***p &lt; 0.001. ****p &lt; 0.0001.</w:t>
      </w:r>
    </w:p>
    <w:p w14:paraId="6834B572" w14:textId="77777777" w:rsidR="00551450" w:rsidRPr="00551450" w:rsidRDefault="00551450" w:rsidP="003073E3">
      <w:pPr>
        <w:spacing w:line="480" w:lineRule="auto"/>
        <w:rPr>
          <w:sz w:val="22"/>
          <w:szCs w:val="22"/>
          <w:lang w:val="en-GB"/>
        </w:rPr>
      </w:pPr>
    </w:p>
    <w:p w14:paraId="640FBB2C" w14:textId="77777777" w:rsidR="00551450" w:rsidRPr="003073E3" w:rsidRDefault="00551450" w:rsidP="003073E3">
      <w:pPr>
        <w:spacing w:line="480" w:lineRule="auto"/>
        <w:rPr>
          <w:sz w:val="22"/>
          <w:szCs w:val="22"/>
          <w:lang w:val="en-GB"/>
        </w:rPr>
      </w:pPr>
    </w:p>
    <w:p w14:paraId="329DC1E9" w14:textId="23896667" w:rsidR="00551450" w:rsidRPr="003073E3" w:rsidRDefault="00551450" w:rsidP="003073E3">
      <w:pPr>
        <w:spacing w:line="480" w:lineRule="auto"/>
        <w:rPr>
          <w:sz w:val="22"/>
          <w:szCs w:val="22"/>
          <w:lang w:val="en-GB"/>
        </w:rPr>
      </w:pPr>
      <w:r w:rsidRPr="003073E3">
        <w:rPr>
          <w:noProof/>
          <w:sz w:val="22"/>
          <w:szCs w:val="22"/>
          <w:lang w:val="en-GB"/>
        </w:rPr>
        <w:lastRenderedPageBreak/>
        <w:drawing>
          <wp:inline distT="0" distB="0" distL="0" distR="0" wp14:anchorId="692A34C0" wp14:editId="2662D815">
            <wp:extent cx="5697220" cy="8229600"/>
            <wp:effectExtent l="0" t="0" r="5080" b="0"/>
            <wp:docPr id="2122410648" name="Picture 7"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410648" name="Picture 7" descr="A close-up of a graph&#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5B9CE988" w14:textId="77777777" w:rsidR="00551450" w:rsidRPr="00551450" w:rsidRDefault="00551450" w:rsidP="003073E3">
      <w:pPr>
        <w:spacing w:line="480" w:lineRule="auto"/>
        <w:rPr>
          <w:rFonts w:eastAsia="Calibri" w:cs="Calibri"/>
          <w:b/>
          <w:bCs/>
          <w:sz w:val="22"/>
          <w:szCs w:val="22"/>
          <w:lang w:val="en-GB"/>
        </w:rPr>
      </w:pPr>
      <w:r w:rsidRPr="00551450">
        <w:rPr>
          <w:rFonts w:eastAsia="Calibri" w:cs="Calibri"/>
          <w:b/>
          <w:bCs/>
          <w:sz w:val="22"/>
          <w:szCs w:val="22"/>
          <w:lang w:val="en-GB"/>
        </w:rPr>
        <w:lastRenderedPageBreak/>
        <w:t xml:space="preserve">Supplementary Figure 7. FRC-like spatial associations (relating to Figure 3). </w:t>
      </w:r>
    </w:p>
    <w:p w14:paraId="2DB7FA52" w14:textId="06D89E5E" w:rsidR="00551450" w:rsidRPr="00551450" w:rsidRDefault="00551450" w:rsidP="003073E3">
      <w:pPr>
        <w:spacing w:line="480" w:lineRule="auto"/>
        <w:rPr>
          <w:rFonts w:eastAsia="Calibri" w:cs="Calibri"/>
          <w:sz w:val="22"/>
          <w:szCs w:val="22"/>
          <w:lang w:val="en-GB"/>
        </w:rPr>
      </w:pPr>
      <w:r w:rsidRPr="00551450">
        <w:rPr>
          <w:rFonts w:eastAsia="Calibri" w:cs="Calibri"/>
          <w:sz w:val="22"/>
          <w:szCs w:val="22"/>
          <w:lang w:val="en-GB"/>
        </w:rPr>
        <w:t xml:space="preserve">A) Spatial feature plot of deconvoluted values of FRC-like fibroblasts, B cells and CD4+ T cells in </w:t>
      </w:r>
      <w:proofErr w:type="gramStart"/>
      <w:r w:rsidRPr="00551450">
        <w:rPr>
          <w:rFonts w:eastAsia="Calibri" w:cs="Calibri"/>
          <w:sz w:val="22"/>
          <w:szCs w:val="22"/>
          <w:lang w:val="en-GB"/>
        </w:rPr>
        <w:t>a</w:t>
      </w:r>
      <w:proofErr w:type="gramEnd"/>
      <w:r w:rsidRPr="00551450">
        <w:rPr>
          <w:rFonts w:eastAsia="Calibri" w:cs="Calibri"/>
          <w:sz w:val="22"/>
          <w:szCs w:val="22"/>
          <w:lang w:val="en-GB"/>
        </w:rPr>
        <w:t xml:space="preserve"> HPV+ve HNSCC sample. B) MxIHC (Phenocycler-Fusion) showing staining (DAPI, Pan-cytokeratin, PDPN, CD31, </w:t>
      </w:r>
      <w:r w:rsidRPr="00551450">
        <w:rPr>
          <w:rFonts w:ascii="Cambria Math" w:eastAsia="Calibri" w:hAnsi="Cambria Math" w:cs="Cambria Math"/>
          <w:sz w:val="22"/>
          <w:szCs w:val="22"/>
          <w:lang w:val="en-GB"/>
        </w:rPr>
        <w:t>𝛂</w:t>
      </w:r>
      <w:r w:rsidRPr="00551450">
        <w:rPr>
          <w:rFonts w:eastAsia="Calibri" w:cs="Calibri"/>
          <w:sz w:val="22"/>
          <w:szCs w:val="22"/>
          <w:lang w:val="en-GB"/>
        </w:rPr>
        <w:t xml:space="preserve">SMA, CD21, CD20, CD4) in FRC-like containing region of interest identified by RCTD deconvolution. MxIHC markers are shown separately and accompanied by composite image of all markers. PDPN+CD31- cells marking fibroblasts. CD21 (CR2) marking follicular dendritic cells found with dense aggregates of B cells (CD20) and CD4+ T cells (CD4). FRC-like abundance (RCTD) with 12-chemokine </w:t>
      </w:r>
      <w:r w:rsidR="00175A03">
        <w:rPr>
          <w:rFonts w:eastAsia="Calibri" w:cs="Calibri"/>
          <w:sz w:val="22"/>
          <w:szCs w:val="22"/>
          <w:lang w:val="en-GB"/>
        </w:rPr>
        <w:fldChar w:fldCharType="begin"/>
      </w:r>
      <w:r w:rsidR="00175A03">
        <w:rPr>
          <w:rFonts w:eastAsia="Calibri" w:cs="Calibri"/>
          <w:sz w:val="22"/>
          <w:szCs w:val="22"/>
          <w:lang w:val="en-GB"/>
        </w:rPr>
        <w:instrText xml:space="preserve"> ADDIN ZOTERO_ITEM CSL_CITATION {"citationID":"OHWZbvlf","properties":{"formattedCitation":"[2]","plainCitation":"[2]","noteIndex":0},"citationItems":[{"id":1932,"uris":["http://zotero.org/users/8473258/items/BAWCRRMJ"],"itemData":{"id":1932,"type":"article-journal","abstract":"We hypothesized that immune gene-related signatures would predict the presence of unique histological features of lymphoid cell infiltrates in colorectal carcinoma (CRC) that correlate with clinical parameters. Metagene analysis with gene chip technology was performed on 326 CRCs, which were then sorted by low versus high gene scores. Microscopically, CRCs with a high gene score revealed a marked host immune response organized, remarkably, as lymphoid follicles. Proliferation involved both B and T cells. In every case, the presence of CD79a(+) B-cell precursors was identified, suggesting that the lymphoid follicles represent newly formed, ectopic lymph node-like structures. CD21(+) dendritic cells were present within the follicular germinal centers, and CD3(+) T cells were localized mainly in the parafollicular cortex zone surrounding the B-cell area of the follicles. A strong correlation between a 12-chemokine gene subset of the molecular profile and the presence of ectopic lymph node-like structures was associated with better patient survival independent of tumor staging, site location, microsatellite instability or stability, and patient treatment. These findings suggest beneficial, intratumoral immune cell priming and raise the possibility of immunotherapy intervention decisions based on molecular signatures that can identify the presence of tumor-localized, ectopic lymph node-like structures.","container-title":"The American Journal of Pathology","DOI":"10.1016/j.ajpath.2011.03.007","ISSN":"1525-2191","issue":"1","journalAbbreviation":"Am J Pathol","language":"eng","note":"PMID: 21703392\nPMCID: PMC3123872","page":"37-45","source":"PubMed","title":"Unique ectopic lymph node-like structures present in human primary colorectal carcinoma are identified by immune gene array profiling","volume":"179","author":[{"family":"Coppola","given":"Domenico"},{"family":"Nebozhyn","given":"Michael"},{"family":"Khalil","given":"Farah"},{"family":"Dai","given":"Hongyue"},{"family":"Yeatman","given":"Timothy"},{"family":"Loboda","given":"Andrey"},{"family":"Mulé","given":"James J."}],"issued":{"date-parts":[["2011",7]]}}}],"schema":"https://github.com/citation-style-language/schema/raw/master/csl-citation.json"} </w:instrText>
      </w:r>
      <w:r w:rsidR="00175A03">
        <w:rPr>
          <w:rFonts w:eastAsia="Calibri" w:cs="Calibri"/>
          <w:sz w:val="22"/>
          <w:szCs w:val="22"/>
          <w:lang w:val="en-GB"/>
        </w:rPr>
        <w:fldChar w:fldCharType="separate"/>
      </w:r>
      <w:r w:rsidR="00175A03">
        <w:rPr>
          <w:rFonts w:eastAsia="Calibri" w:cs="Calibri"/>
          <w:noProof/>
          <w:sz w:val="22"/>
          <w:szCs w:val="22"/>
          <w:lang w:val="en-GB"/>
        </w:rPr>
        <w:t>[2]</w:t>
      </w:r>
      <w:r w:rsidR="00175A03">
        <w:rPr>
          <w:rFonts w:eastAsia="Calibri" w:cs="Calibri"/>
          <w:sz w:val="22"/>
          <w:szCs w:val="22"/>
          <w:lang w:val="en-GB"/>
        </w:rPr>
        <w:fldChar w:fldCharType="end"/>
      </w:r>
      <w:r w:rsidR="00175A03">
        <w:rPr>
          <w:rFonts w:eastAsia="Calibri" w:cs="Calibri"/>
          <w:sz w:val="22"/>
          <w:szCs w:val="22"/>
          <w:lang w:val="en-GB"/>
        </w:rPr>
        <w:t xml:space="preserve"> </w:t>
      </w:r>
      <w:r w:rsidRPr="00551450">
        <w:rPr>
          <w:rFonts w:eastAsia="Calibri" w:cs="Calibri"/>
          <w:sz w:val="22"/>
          <w:szCs w:val="22"/>
          <w:lang w:val="en-GB"/>
        </w:rPr>
        <w:t>TLS signature (C), gastric cancer</w:t>
      </w:r>
      <w:r w:rsidR="00175A03">
        <w:rPr>
          <w:rFonts w:eastAsia="Calibri" w:cs="Calibri"/>
          <w:sz w:val="22"/>
          <w:szCs w:val="22"/>
          <w:lang w:val="en-GB"/>
        </w:rPr>
        <w:t xml:space="preserve"> </w:t>
      </w:r>
      <w:r w:rsidR="00175A03">
        <w:rPr>
          <w:rFonts w:eastAsia="Calibri" w:cs="Calibri"/>
          <w:sz w:val="22"/>
          <w:szCs w:val="22"/>
          <w:lang w:val="en-GB"/>
        </w:rPr>
        <w:fldChar w:fldCharType="begin"/>
      </w:r>
      <w:r w:rsidR="00175A03">
        <w:rPr>
          <w:rFonts w:eastAsia="Calibri" w:cs="Calibri"/>
          <w:sz w:val="22"/>
          <w:szCs w:val="22"/>
          <w:lang w:val="en-GB"/>
        </w:rPr>
        <w:instrText xml:space="preserve"> ADDIN ZOTERO_ITEM CSL_CITATION {"citationID":"Kqd03zbi","properties":{"formattedCitation":"[3]","plainCitation":"[3]","noteIndex":0},"citationItems":[{"id":2247,"uris":["http://zotero.org/users/8473258/items/NYVR833K"],"itemData":{"id":2247,"type":"article-journal","abstract":"Tumor-infiltrating T and B lymphocytes could have the potential to affect cancer prognosis. The objective of this study was to investigate the prognostic significance of tumor infiltration by CD8 and CD4 T cells, and B lymphocytes in patients with localized gastric cancer. In a retrospective cohort of 82 patients with localized gastric cancer and treated by surgery we quantitatively assessed by immunohistochemistry on surgical specimen, immune infiltrates of IL-17+, CD8+, Foxp3+, Tbet+ T cells and CD20+ B cells both in the tumor core and at the invasive margin via immunohistochemical analyses of surgical specimens. We observed that CD8+ and IL17+ T-cell densities were not significantly associated with gastric cancer prognosis. In contrast, high infiltration of Tbet+ T cells, high numbers of CD20+ B-cell follicles, and low infiltration of Foxp3+ T cells, were associated with better relapse-free survival. Interestingly, treatment with neoadjuvant chemotherapy or histological tumor type (diffuse versus intestinal) did not influence type and density of immune infiltrates or their prognostic value. Immunohistochemical analysis of the gastric cancer stromal microenvironment revealed organized T and B cell aggregates, with strong structural analogies to normal secondary lymphoid organs and which could be considered as tertiary lymphoid structures. Using transcriptomic data from an independent cohort of 365 localized gastric cancer, we confirmed that a coordinated Th1, and B cell stromal gene signature is associated with better outcome. Altogether, these data suggest that tumor infiltration by B and Th1 T cells could affect gastric cancer prognosis and may be used to better define the outcome of patients with localized gastric cancer.","container-title":"Oncoimmunology","DOI":"10.1080/2162402X.2015.1054598","ISSN":"2162-4011","issue":"2","journalAbbreviation":"Oncoimmunology","language":"eng","note":"PMID: 27057426\nPMCID: PMC4801425","page":"e1054598","source":"PubMed","title":"Tumor infiltration by Tbet+ effector T cells and CD20+ B cells is associated with survival in gastric cancer patients","volume":"5","author":[{"family":"Hennequin","given":"Audrey"},{"family":"Derangère","given":"Valentin"},{"family":"Boidot","given":"Romain"},{"family":"Apetoh","given":"Lionel"},{"family":"Vincent","given":"Julie"},{"family":"Orry","given":"David"},{"family":"Fraisse","given":"Jean"},{"family":"Causeret","given":"Sylvain"},{"family":"Martin","given":"François"},{"family":"Arnould","given":"Laurent"},{"family":"Beltjens","given":"Françoise"},{"family":"Ghiringhelli","given":"François"},{"family":"Ladoire","given":"Sylvain"}],"issued":{"date-parts":[["2016",2]]}}}],"schema":"https://github.com/citation-style-language/schema/raw/master/csl-citation.json"} </w:instrText>
      </w:r>
      <w:r w:rsidR="00175A03">
        <w:rPr>
          <w:rFonts w:eastAsia="Calibri" w:cs="Calibri"/>
          <w:sz w:val="22"/>
          <w:szCs w:val="22"/>
          <w:lang w:val="en-GB"/>
        </w:rPr>
        <w:fldChar w:fldCharType="separate"/>
      </w:r>
      <w:r w:rsidR="00175A03">
        <w:rPr>
          <w:rFonts w:eastAsia="Calibri" w:cs="Calibri"/>
          <w:noProof/>
          <w:sz w:val="22"/>
          <w:szCs w:val="22"/>
          <w:lang w:val="en-GB"/>
        </w:rPr>
        <w:t>[3]</w:t>
      </w:r>
      <w:r w:rsidR="00175A03">
        <w:rPr>
          <w:rFonts w:eastAsia="Calibri" w:cs="Calibri"/>
          <w:sz w:val="22"/>
          <w:szCs w:val="22"/>
          <w:lang w:val="en-GB"/>
        </w:rPr>
        <w:fldChar w:fldCharType="end"/>
      </w:r>
      <w:r w:rsidRPr="00551450">
        <w:rPr>
          <w:rFonts w:eastAsia="Calibri" w:cs="Calibri"/>
          <w:sz w:val="22"/>
          <w:szCs w:val="22"/>
          <w:lang w:val="en-GB"/>
        </w:rPr>
        <w:t xml:space="preserve"> TLS signature (D) and breast cancer </w:t>
      </w:r>
      <w:r w:rsidR="00175A03">
        <w:rPr>
          <w:rFonts w:eastAsia="Calibri" w:cs="Calibri"/>
          <w:sz w:val="22"/>
          <w:szCs w:val="22"/>
          <w:lang w:val="en-GB"/>
        </w:rPr>
        <w:fldChar w:fldCharType="begin"/>
      </w:r>
      <w:r w:rsidR="00175A03">
        <w:rPr>
          <w:rFonts w:eastAsia="Calibri" w:cs="Calibri"/>
          <w:sz w:val="22"/>
          <w:szCs w:val="22"/>
          <w:lang w:val="en-GB"/>
        </w:rPr>
        <w:instrText xml:space="preserve"> ADDIN ZOTERO_ITEM CSL_CITATION {"citationID":"O9Zzp26F","properties":{"formattedCitation":"[4]","plainCitation":"[4]","noteIndex":0},"citationItems":[{"id":2250,"uris":["http://zotero.org/users/8473258/items/TCCUAFVL"],"itemData":{"id":2250,"type":"article-journal","abstract":"CD4+ T cells are critical regulators of immune responses, but their functional role in human breast cancer is relatively unknown. The goal of this study was to produce an image of CD4+ T cells infiltrating breast tumors using limited ex vivo manipulation to better understand the in vivo differences associated with patient prognosis. We performed comprehensive molecular profiling of infiltrating CD4+ T cells isolated from untreated invasive primary tumors and found that the infiltrating T cell subpopulations included follicular helper T (Tfh) cells, which have not previously been found in solid tumors, as well as Th1, Th2, and Th17 effector memory cells and Tregs. T cell signaling pathway alterations included a mixture of activation and suppression characterized by restricted cytokine/chemokine production, which inversely paralleled lymphoid infiltration levels and could be reproduced in activated donor CD4+ T cells treated with primary tumor supernatant. A comparison of extensively versus minimally infiltrated tumors showed that CXCL13-producing CD4+ Tfh cells distinguish extensive immune infiltrates, principally located in tertiary lymphoid structure germinal centers. An 8-gene Tfh signature, signifying organized antitumor immunity, robustly predicted survival or preoperative response to chemotherapy. Our identification of CD4+ Tfh cells in breast cancer suggests that they are an important immune element whose presence in the tumor is a prognostic factor.","container-title":"The Journal of Clinical Investigation","DOI":"10.1172/JCI67428","ISSN":"0021-9738","issue":"7","journalAbbreviation":"J Clin Invest","note":"PMID: 23778140\nPMCID: PMC3696556","page":"2873-2892","source":"PubMed Central","title":"CD4+ follicular helper T cell infiltration predicts breast cancer survival","volume":"123","author":[{"family":"Gu-Trantien","given":"Chunyan"},{"family":"Loi","given":"Sherene"},{"family":"Garaud","given":"Soizic"},{"family":"Equeter","given":"Carole"},{"family":"Libin","given":"Myriam"},{"family":"Wind","given":"Alexandre","non-dropping-particle":"de"},{"family":"Ravoet","given":"Marie"},{"family":"Le Buanec","given":"Hélène"},{"family":"Sibille","given":"Catherine"},{"family":"Manfouo-Foutsop","given":"Germain"},{"family":"Veys","given":"Isabelle"},{"family":"Haibe-Kains","given":"Benjamin"},{"family":"Singhal","given":"Sandeep K."},{"family":"Michiels","given":"Stefan"},{"family":"Rothé","given":"Françoise"},{"family":"Salgado","given":"Roberto"},{"family":"Duvillier","given":"Hugues"},{"family":"Ignatiadis","given":"Michail"},{"family":"Desmedt","given":"Christine"},{"family":"Bron","given":"Dominique"},{"family":"Larsimont","given":"Denis"},{"family":"Piccart","given":"Martine"},{"family":"Sotiriou","given":"Christos"},{"family":"Willard-Gallo","given":"Karen"}],"issued":{"date-parts":[["2013",7,1]]}}}],"schema":"https://github.com/citation-style-language/schema/raw/master/csl-citation.json"} </w:instrText>
      </w:r>
      <w:r w:rsidR="00175A03">
        <w:rPr>
          <w:rFonts w:eastAsia="Calibri" w:cs="Calibri"/>
          <w:sz w:val="22"/>
          <w:szCs w:val="22"/>
          <w:lang w:val="en-GB"/>
        </w:rPr>
        <w:fldChar w:fldCharType="separate"/>
      </w:r>
      <w:r w:rsidR="00175A03">
        <w:rPr>
          <w:rFonts w:eastAsia="Calibri" w:cs="Calibri"/>
          <w:noProof/>
          <w:sz w:val="22"/>
          <w:szCs w:val="22"/>
          <w:lang w:val="en-GB"/>
        </w:rPr>
        <w:t>[4]</w:t>
      </w:r>
      <w:r w:rsidR="00175A03">
        <w:rPr>
          <w:rFonts w:eastAsia="Calibri" w:cs="Calibri"/>
          <w:sz w:val="22"/>
          <w:szCs w:val="22"/>
          <w:lang w:val="en-GB"/>
        </w:rPr>
        <w:fldChar w:fldCharType="end"/>
      </w:r>
      <w:r w:rsidRPr="00551450">
        <w:rPr>
          <w:rFonts w:eastAsia="Calibri" w:cs="Calibri"/>
          <w:sz w:val="22"/>
          <w:szCs w:val="22"/>
          <w:lang w:val="en-GB"/>
        </w:rPr>
        <w:t xml:space="preserve"> TLS signature (E) enrichment (</w:t>
      </w:r>
      <w:proofErr w:type="spellStart"/>
      <w:r w:rsidR="00175A03">
        <w:rPr>
          <w:rFonts w:eastAsia="Calibri" w:cs="Calibri"/>
          <w:sz w:val="22"/>
          <w:szCs w:val="22"/>
          <w:lang w:val="en-GB"/>
        </w:rPr>
        <w:t>A</w:t>
      </w:r>
      <w:r w:rsidRPr="00551450">
        <w:rPr>
          <w:rFonts w:eastAsia="Calibri" w:cs="Calibri"/>
          <w:sz w:val="22"/>
          <w:szCs w:val="22"/>
          <w:lang w:val="en-GB"/>
        </w:rPr>
        <w:t>dd</w:t>
      </w:r>
      <w:r w:rsidR="00175A03">
        <w:rPr>
          <w:rFonts w:eastAsia="Calibri" w:cs="Calibri"/>
          <w:sz w:val="22"/>
          <w:szCs w:val="22"/>
          <w:lang w:val="en-GB"/>
        </w:rPr>
        <w:t>M</w:t>
      </w:r>
      <w:r w:rsidRPr="00551450">
        <w:rPr>
          <w:rFonts w:eastAsia="Calibri" w:cs="Calibri"/>
          <w:sz w:val="22"/>
          <w:szCs w:val="22"/>
          <w:lang w:val="en-GB"/>
        </w:rPr>
        <w:t>odule</w:t>
      </w:r>
      <w:r w:rsidR="00175A03">
        <w:rPr>
          <w:rFonts w:eastAsia="Calibri" w:cs="Calibri"/>
          <w:sz w:val="22"/>
          <w:szCs w:val="22"/>
          <w:lang w:val="en-GB"/>
        </w:rPr>
        <w:t>S</w:t>
      </w:r>
      <w:r w:rsidRPr="00551450">
        <w:rPr>
          <w:rFonts w:eastAsia="Calibri" w:cs="Calibri"/>
          <w:sz w:val="22"/>
          <w:szCs w:val="22"/>
          <w:lang w:val="en-GB"/>
        </w:rPr>
        <w:t>core</w:t>
      </w:r>
      <w:proofErr w:type="spellEnd"/>
      <w:r w:rsidRPr="00551450">
        <w:rPr>
          <w:rFonts w:eastAsia="Calibri" w:cs="Calibri"/>
          <w:sz w:val="22"/>
          <w:szCs w:val="22"/>
          <w:lang w:val="en-GB"/>
        </w:rPr>
        <w:t>). Spatial feature plot with spearman correlation of RCTD normalised weights. Correlations for each Visium (10x) spot across all 10 patients; top 5 shown.</w:t>
      </w:r>
    </w:p>
    <w:p w14:paraId="060AF58F" w14:textId="77777777" w:rsidR="00551450" w:rsidRPr="00551450" w:rsidRDefault="00551450" w:rsidP="003073E3">
      <w:pPr>
        <w:spacing w:line="480" w:lineRule="auto"/>
        <w:rPr>
          <w:rFonts w:eastAsia="Calibri" w:cs="Calibri"/>
          <w:b/>
          <w:bCs/>
          <w:sz w:val="22"/>
          <w:szCs w:val="22"/>
          <w:lang w:val="en-GB"/>
        </w:rPr>
      </w:pPr>
    </w:p>
    <w:p w14:paraId="6D7B1349" w14:textId="4D013F91" w:rsidR="00551450" w:rsidRPr="003073E3" w:rsidRDefault="005C226B" w:rsidP="003073E3">
      <w:pPr>
        <w:spacing w:line="480" w:lineRule="auto"/>
        <w:rPr>
          <w:rFonts w:eastAsia="Calibri" w:cs="Calibri"/>
          <w:b/>
          <w:bCs/>
          <w:sz w:val="22"/>
          <w:szCs w:val="22"/>
          <w:lang w:val="en-GB"/>
        </w:rPr>
      </w:pPr>
      <w:r w:rsidRPr="003073E3">
        <w:rPr>
          <w:rFonts w:eastAsia="Calibri" w:cs="Calibri"/>
          <w:b/>
          <w:bCs/>
          <w:noProof/>
          <w:sz w:val="22"/>
          <w:szCs w:val="22"/>
          <w:lang w:val="en-GB"/>
        </w:rPr>
        <w:lastRenderedPageBreak/>
        <w:drawing>
          <wp:inline distT="0" distB="0" distL="0" distR="0" wp14:anchorId="43F08693" wp14:editId="7E2A31D7">
            <wp:extent cx="5697220" cy="8229600"/>
            <wp:effectExtent l="0" t="0" r="5080" b="0"/>
            <wp:docPr id="1534962818" name="Picture 8"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962818" name="Picture 8" descr="A close-up of a dia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274A4913" w14:textId="77777777" w:rsidR="005C226B" w:rsidRPr="005C226B" w:rsidRDefault="005C226B" w:rsidP="003073E3">
      <w:pPr>
        <w:spacing w:line="480" w:lineRule="auto"/>
        <w:rPr>
          <w:rFonts w:eastAsia="Calibri" w:cs="Calibri"/>
          <w:b/>
          <w:bCs/>
          <w:sz w:val="22"/>
          <w:szCs w:val="22"/>
          <w:lang w:val="en-GB"/>
        </w:rPr>
      </w:pPr>
      <w:r w:rsidRPr="005C226B">
        <w:rPr>
          <w:rFonts w:eastAsia="Calibri" w:cs="Calibri"/>
          <w:b/>
          <w:bCs/>
          <w:sz w:val="22"/>
          <w:szCs w:val="22"/>
          <w:lang w:val="en-GB"/>
        </w:rPr>
        <w:lastRenderedPageBreak/>
        <w:t xml:space="preserve">Supplementary Figure 8. </w:t>
      </w:r>
    </w:p>
    <w:p w14:paraId="67E22442" w14:textId="77777777" w:rsidR="005C226B" w:rsidRPr="005C226B" w:rsidRDefault="005C226B" w:rsidP="003073E3">
      <w:pPr>
        <w:spacing w:line="480" w:lineRule="auto"/>
        <w:rPr>
          <w:rFonts w:eastAsia="Calibri" w:cs="Calibri"/>
          <w:sz w:val="22"/>
          <w:szCs w:val="22"/>
          <w:lang w:val="en-GB"/>
        </w:rPr>
      </w:pPr>
      <w:r w:rsidRPr="005C226B">
        <w:rPr>
          <w:rFonts w:eastAsia="Calibri" w:cs="Calibri"/>
          <w:sz w:val="22"/>
          <w:szCs w:val="22"/>
          <w:lang w:val="en-GB"/>
        </w:rPr>
        <w:t xml:space="preserve">A) Differentially expressed (log2FC ≥ 1; padj &lt; 0.0001) ligands and receptors associated with FRC-like and iCAF niche acquired using RCTD depicted spot identification. Differentially expressed ligands identified using </w:t>
      </w:r>
      <w:proofErr w:type="spellStart"/>
      <w:r w:rsidRPr="005C226B">
        <w:rPr>
          <w:rFonts w:eastAsia="Calibri" w:cs="Calibri"/>
          <w:sz w:val="22"/>
          <w:szCs w:val="22"/>
          <w:lang w:val="en-GB"/>
        </w:rPr>
        <w:t>FindMarkers</w:t>
      </w:r>
      <w:proofErr w:type="spellEnd"/>
      <w:r w:rsidRPr="005C226B">
        <w:rPr>
          <w:rFonts w:eastAsia="Calibri" w:cs="Calibri"/>
          <w:sz w:val="22"/>
          <w:szCs w:val="22"/>
          <w:lang w:val="en-GB"/>
        </w:rPr>
        <w:t xml:space="preserve"> on FRC-like/iCAF containing spots (normalised weight ≥ 0.05) filtered for ligands/receptors. Top 10 ligands and top 10 receptors shown. B) </w:t>
      </w:r>
      <w:proofErr w:type="spellStart"/>
      <w:r w:rsidRPr="005C226B">
        <w:rPr>
          <w:rFonts w:eastAsia="Calibri" w:cs="Calibri"/>
          <w:sz w:val="22"/>
          <w:szCs w:val="22"/>
          <w:lang w:val="en-GB"/>
        </w:rPr>
        <w:t>Circos</w:t>
      </w:r>
      <w:proofErr w:type="spellEnd"/>
      <w:r w:rsidRPr="005C226B">
        <w:rPr>
          <w:rFonts w:eastAsia="Calibri" w:cs="Calibri"/>
          <w:sz w:val="22"/>
          <w:szCs w:val="22"/>
          <w:lang w:val="en-GB"/>
        </w:rPr>
        <w:t xml:space="preserve"> plot of all spatially differentially expressed ligands expressed by FRC-like fibroblasts, CD4+ T cells or B cells; and have expression of corresponding receptor in FRC-like fibroblasts. Average normalised expression also shown for each ligand/receptor. C) NicheNet output for top ligands with high target gene prediction ability for FRC-like fibroblast genes. Ligands for analysis were filtered to only contain spatially differentially expressed ligands that had corresponding receptor expression in FRC-like fibroblast. To right, expression of ligands prioritised by NicheNet across the broad cell types in HNSCC scRNA-Seq dataset. D) Expression of selected ligands across the broad cell types in HNSCC scRNA-Seq dataset. E) Expression across fibroblasts of key receptors implicated by ligand-receptor analysis. Demonstrating conserved expression of receptors across phenotypes.</w:t>
      </w:r>
    </w:p>
    <w:p w14:paraId="20E17397" w14:textId="77777777" w:rsidR="005C226B" w:rsidRPr="00551450" w:rsidRDefault="005C226B" w:rsidP="003073E3">
      <w:pPr>
        <w:spacing w:line="480" w:lineRule="auto"/>
        <w:rPr>
          <w:rFonts w:eastAsia="Calibri" w:cs="Calibri"/>
          <w:b/>
          <w:bCs/>
          <w:sz w:val="22"/>
          <w:szCs w:val="22"/>
          <w:lang w:val="en-GB"/>
        </w:rPr>
      </w:pPr>
    </w:p>
    <w:p w14:paraId="259FDB65" w14:textId="77777777" w:rsidR="00551450" w:rsidRPr="00551450" w:rsidRDefault="00551450" w:rsidP="003073E3">
      <w:pPr>
        <w:spacing w:line="480" w:lineRule="auto"/>
        <w:rPr>
          <w:rFonts w:eastAsia="Calibri" w:cs="Calibri"/>
          <w:b/>
          <w:bCs/>
          <w:sz w:val="22"/>
          <w:szCs w:val="22"/>
          <w:lang w:val="en-GB"/>
        </w:rPr>
      </w:pPr>
    </w:p>
    <w:p w14:paraId="5E73B66A" w14:textId="77777777" w:rsidR="005C226B" w:rsidRPr="003073E3" w:rsidRDefault="005C226B" w:rsidP="003073E3">
      <w:pPr>
        <w:spacing w:line="480" w:lineRule="auto"/>
        <w:rPr>
          <w:rFonts w:eastAsia="Calibri" w:cs="Calibri"/>
          <w:b/>
          <w:bCs/>
          <w:sz w:val="22"/>
          <w:szCs w:val="22"/>
          <w:lang w:val="en-GB"/>
        </w:rPr>
      </w:pPr>
      <w:r w:rsidRPr="003073E3">
        <w:rPr>
          <w:rFonts w:eastAsia="Calibri" w:cs="Calibri"/>
          <w:b/>
          <w:bCs/>
          <w:noProof/>
          <w:sz w:val="22"/>
          <w:szCs w:val="22"/>
          <w:lang w:val="en-GB"/>
        </w:rPr>
        <w:lastRenderedPageBreak/>
        <w:drawing>
          <wp:inline distT="0" distB="0" distL="0" distR="0" wp14:anchorId="470CBF7B" wp14:editId="7995AD67">
            <wp:extent cx="5697220" cy="8229600"/>
            <wp:effectExtent l="0" t="0" r="5080" b="0"/>
            <wp:docPr id="1898908690" name="Picture 9" descr="A close-up of a collage of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908690" name="Picture 9" descr="A close-up of a collage of diagrams&#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7A348D75" w14:textId="77777777" w:rsidR="005C226B" w:rsidRPr="005C226B" w:rsidRDefault="005C226B" w:rsidP="003073E3">
      <w:pPr>
        <w:spacing w:line="480" w:lineRule="auto"/>
        <w:rPr>
          <w:rFonts w:eastAsia="Calibri" w:cs="Calibri"/>
          <w:b/>
          <w:bCs/>
          <w:sz w:val="22"/>
          <w:szCs w:val="22"/>
          <w:lang w:val="en-GB"/>
        </w:rPr>
      </w:pPr>
      <w:r w:rsidRPr="005C226B">
        <w:rPr>
          <w:rFonts w:eastAsia="Calibri" w:cs="Calibri"/>
          <w:b/>
          <w:bCs/>
          <w:sz w:val="22"/>
          <w:szCs w:val="22"/>
          <w:lang w:val="en-GB"/>
        </w:rPr>
        <w:lastRenderedPageBreak/>
        <w:t xml:space="preserve">Supplementary Figure 9. iCAF spatial associations (relating to Figure 4). </w:t>
      </w:r>
    </w:p>
    <w:p w14:paraId="7F0E154E" w14:textId="62420CB3" w:rsidR="00EB66FC" w:rsidRPr="003073E3" w:rsidRDefault="006277D7" w:rsidP="003073E3">
      <w:pPr>
        <w:spacing w:line="480" w:lineRule="auto"/>
        <w:rPr>
          <w:rFonts w:eastAsia="Calibri" w:cs="Calibri"/>
          <w:sz w:val="22"/>
          <w:szCs w:val="22"/>
          <w:lang w:val="en-GB"/>
        </w:rPr>
      </w:pPr>
      <w:r w:rsidRPr="003073E3">
        <w:rPr>
          <w:rFonts w:eastAsia="Calibri" w:cs="Calibri"/>
          <w:sz w:val="22"/>
          <w:szCs w:val="22"/>
          <w:lang w:val="en-GB"/>
        </w:rPr>
        <w:t xml:space="preserve">A) </w:t>
      </w:r>
      <w:r w:rsidR="005C226B" w:rsidRPr="003073E3">
        <w:rPr>
          <w:rFonts w:eastAsia="Calibri" w:cs="Calibri"/>
          <w:sz w:val="22"/>
          <w:szCs w:val="22"/>
          <w:lang w:val="en-GB"/>
        </w:rPr>
        <w:t xml:space="preserve">Sample-level scRNA-Seq correlation (spearman) of iCAF with IL1B inflammatory monocytes. For HNSCC samples only, iCAF proportion (relative to total fibroblasts) per sample were correlated against IL1B monocyte cluster proportions (relative to total immune cells). Graph split by HPV status. B) Spatial feature plot of deconvoluted values of iCAF, monocytes and neutrophils in </w:t>
      </w:r>
      <w:proofErr w:type="gramStart"/>
      <w:r w:rsidR="005C226B" w:rsidRPr="003073E3">
        <w:rPr>
          <w:rFonts w:eastAsia="Calibri" w:cs="Calibri"/>
          <w:sz w:val="22"/>
          <w:szCs w:val="22"/>
          <w:lang w:val="en-GB"/>
        </w:rPr>
        <w:t>a</w:t>
      </w:r>
      <w:proofErr w:type="gramEnd"/>
      <w:r w:rsidR="005C226B" w:rsidRPr="003073E3">
        <w:rPr>
          <w:rFonts w:eastAsia="Calibri" w:cs="Calibri"/>
          <w:sz w:val="22"/>
          <w:szCs w:val="22"/>
          <w:lang w:val="en-GB"/>
        </w:rPr>
        <w:t xml:space="preserve"> HPV-ve HNSCC sample. C) MxIHC (Phenocycler-Fusion) showing staining (DAPI, Pan-cytokeratin, PDPN, CD31, </w:t>
      </w:r>
      <w:r w:rsidR="005C226B" w:rsidRPr="003073E3">
        <w:rPr>
          <w:rFonts w:eastAsia="Calibri" w:cs="Cambria Math"/>
          <w:sz w:val="22"/>
          <w:szCs w:val="22"/>
          <w:lang w:val="en-GB"/>
        </w:rPr>
        <w:sym w:font="Symbol" w:char="F061"/>
      </w:r>
      <w:r w:rsidR="005C226B" w:rsidRPr="003073E3">
        <w:rPr>
          <w:rFonts w:eastAsia="Calibri" w:cs="Calibri"/>
          <w:sz w:val="22"/>
          <w:szCs w:val="22"/>
          <w:lang w:val="en-GB"/>
        </w:rPr>
        <w:t xml:space="preserve">SMA, MPO, CD68, CD14) in iCAF containing region of interest identified by RCTD deconvolution. MxIHC markers are shown separately and accompanied by composite image of all markers. D) </w:t>
      </w:r>
      <w:proofErr w:type="spellStart"/>
      <w:r w:rsidR="005C226B" w:rsidRPr="003073E3">
        <w:rPr>
          <w:rFonts w:eastAsia="Calibri" w:cs="Calibri"/>
          <w:sz w:val="22"/>
          <w:szCs w:val="22"/>
          <w:lang w:val="en-GB"/>
        </w:rPr>
        <w:t>Circos</w:t>
      </w:r>
      <w:proofErr w:type="spellEnd"/>
      <w:r w:rsidR="005C226B" w:rsidRPr="003073E3">
        <w:rPr>
          <w:rFonts w:eastAsia="Calibri" w:cs="Calibri"/>
          <w:sz w:val="22"/>
          <w:szCs w:val="22"/>
          <w:lang w:val="en-GB"/>
        </w:rPr>
        <w:t xml:space="preserve"> plot of all spatially differentially expressed ligands expressed by iCAF, monocytes or neutrophils; and have expression of corresponding receptor in iCAF. Average normalised expression also shown for each ligand/receptor. E) NicheNet output for top ligands with high target gene prediction ability for iCAF genes. Ligands for analysis were filtered to only contain spatially differentially expressed ligands that had corresponding receptor expression in iCAF. To right, expression of ligands prioritised by NicheNet across the broad cell types in HNSCC scRNA-Seq dataset. F) qPCR analysis of myCAF markers (ACTA2, POSTN, TAGLN and COL1A1) in n=5 primary NOF lines treated with TGFβ (4ng/mL) or IL1β (1ng/mL)+TNF</w:t>
      </w:r>
      <w:r w:rsidR="005C226B" w:rsidRPr="003073E3">
        <w:rPr>
          <w:rFonts w:ascii="Cambria Math" w:eastAsia="Calibri" w:hAnsi="Cambria Math" w:cs="Cambria Math"/>
          <w:sz w:val="22"/>
          <w:szCs w:val="22"/>
          <w:lang w:val="en-GB"/>
        </w:rPr>
        <w:t>𝛼</w:t>
      </w:r>
      <w:r w:rsidR="005C226B" w:rsidRPr="003073E3">
        <w:rPr>
          <w:rFonts w:eastAsia="Calibri" w:cs="Calibri"/>
          <w:sz w:val="22"/>
          <w:szCs w:val="22"/>
          <w:lang w:val="en-GB"/>
        </w:rPr>
        <w:t xml:space="preserve"> (1ng/mL) for 72 hours. Results show mean ± SD of n=9 independent experiments, colours of points correspond to primary NOF line. One-way ANOVA with Bonferroni correction. G) qPCR analysis of myCAF markers (ACTA2, POSTN, TAGLN and COL1A1) in n=3/4 primary NOF lines treated with TGFβ (4ng/mL), IL1β (1ng/mL)+TNF</w:t>
      </w:r>
      <w:r w:rsidR="005C226B" w:rsidRPr="003073E3">
        <w:rPr>
          <w:rFonts w:ascii="Cambria Math" w:eastAsia="Calibri" w:hAnsi="Cambria Math" w:cs="Cambria Math"/>
          <w:sz w:val="22"/>
          <w:szCs w:val="22"/>
          <w:lang w:val="en-GB"/>
        </w:rPr>
        <w:t>𝛼</w:t>
      </w:r>
      <w:r w:rsidR="005C226B" w:rsidRPr="003073E3">
        <w:rPr>
          <w:rFonts w:eastAsia="Calibri" w:cs="Calibri"/>
          <w:sz w:val="22"/>
          <w:szCs w:val="22"/>
          <w:lang w:val="en-GB"/>
        </w:rPr>
        <w:t xml:space="preserve"> (1ng/mL), monocyte conditioned media (CM) or LPS-activated monocyte conditioned media for 72 hours. Results show mean ± SD of n≥3 independent experiments, colours of points correspond to primary NOF line. One-way ANOVA with Bonferroni correction. *p &lt; 0.05; **p &lt; 0.01; ***p &lt; 0.001. ****p &lt; 0.0001.</w:t>
      </w:r>
      <w:r w:rsidR="00EB66FC" w:rsidRPr="003073E3">
        <w:rPr>
          <w:rFonts w:eastAsia="Calibri" w:cs="Calibri"/>
          <w:sz w:val="22"/>
          <w:szCs w:val="22"/>
          <w:lang w:val="en-GB"/>
        </w:rPr>
        <w:br w:type="page"/>
      </w:r>
      <w:r w:rsidR="005C226B" w:rsidRPr="003073E3">
        <w:rPr>
          <w:rFonts w:eastAsia="Calibri"/>
          <w:noProof/>
          <w:sz w:val="22"/>
          <w:szCs w:val="22"/>
          <w:lang w:val="en-GB"/>
        </w:rPr>
        <w:lastRenderedPageBreak/>
        <w:drawing>
          <wp:inline distT="0" distB="0" distL="0" distR="0" wp14:anchorId="54DA18DF" wp14:editId="7DC13EDD">
            <wp:extent cx="5697220" cy="8229600"/>
            <wp:effectExtent l="0" t="0" r="5080" b="0"/>
            <wp:docPr id="1597156481" name="Picture 10"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156481" name="Picture 10" descr="A close-up of a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03BC621F" w14:textId="77777777" w:rsidR="005C226B" w:rsidRPr="005C226B" w:rsidRDefault="005C226B" w:rsidP="003073E3">
      <w:pPr>
        <w:spacing w:line="480" w:lineRule="auto"/>
        <w:rPr>
          <w:rFonts w:eastAsia="Calibri" w:cs="Calibri"/>
          <w:b/>
          <w:bCs/>
          <w:sz w:val="22"/>
          <w:szCs w:val="22"/>
          <w:lang w:val="en-GB"/>
        </w:rPr>
      </w:pPr>
      <w:r w:rsidRPr="005C226B">
        <w:rPr>
          <w:rFonts w:eastAsia="Calibri" w:cs="Calibri"/>
          <w:b/>
          <w:bCs/>
          <w:sz w:val="22"/>
          <w:szCs w:val="22"/>
          <w:lang w:val="en-GB"/>
        </w:rPr>
        <w:lastRenderedPageBreak/>
        <w:t>Supplementary Figure 10. Pan-Cancer Fibroblast Atlas (PCFA; related to Figure 5 &amp; 6).</w:t>
      </w:r>
    </w:p>
    <w:p w14:paraId="6D0CF73B" w14:textId="15E7351A" w:rsidR="005C226B" w:rsidRPr="005C226B" w:rsidRDefault="005C226B" w:rsidP="003073E3">
      <w:pPr>
        <w:spacing w:line="480" w:lineRule="auto"/>
        <w:rPr>
          <w:rFonts w:eastAsia="Calibri" w:cs="Calibri"/>
          <w:sz w:val="22"/>
          <w:szCs w:val="22"/>
          <w:lang w:val="en-GB"/>
        </w:rPr>
      </w:pPr>
      <w:r w:rsidRPr="005C226B">
        <w:rPr>
          <w:rFonts w:eastAsia="Calibri" w:cs="Calibri"/>
          <w:sz w:val="22"/>
          <w:szCs w:val="22"/>
          <w:lang w:val="en-GB"/>
        </w:rPr>
        <w:t xml:space="preserve">A) Abundance of PCFA clusters in tumour sample only across cancer types. Proportion of each cluster determined per sample. B) Abundance of PCFA clusters in normal samples only across anatomical sites. Proportion of each cluster determined per sample. C) Abundance of PCFA clusters in tumour sample only shown for each cancer type. Proportion of each cluster determined per sample. D) Transfer of labels from PCFA back to HNSCC UMAP (Figure 2) with accompanying bar plot showing the number of IGF1+ CAF or PI16+ fibroblasts in the original PI16 cluster (split by tumour or normal). IGF1+ CAF was specific to tumour samples, while PI16+ universal fibroblasts could be found in both. This supports previous analysis in Sup Fig 4, that in tumours, PI16 fibroblasts likely show early activation. E) Sample level scRNA-Seq correlations of IL11+ CAF with myeloid cell subsets in CRC and ESCC. Myeloid cell phenotypes were identified in CRC and ESCC datasets using label transfer – with HNSCC annotated myeloid cells acting as reference cells. Only significant correlations (spearman; p&lt;0.05) are shown. IL1B monocytes, </w:t>
      </w:r>
      <w:proofErr w:type="gramStart"/>
      <w:r w:rsidRPr="005C226B">
        <w:rPr>
          <w:rFonts w:eastAsia="Calibri" w:cs="Calibri"/>
          <w:sz w:val="22"/>
          <w:szCs w:val="22"/>
          <w:lang w:val="en-GB"/>
        </w:rPr>
        <w:t>similar to</w:t>
      </w:r>
      <w:proofErr w:type="gramEnd"/>
      <w:r w:rsidRPr="005C226B">
        <w:rPr>
          <w:rFonts w:eastAsia="Calibri" w:cs="Calibri"/>
          <w:sz w:val="22"/>
          <w:szCs w:val="22"/>
          <w:lang w:val="en-GB"/>
        </w:rPr>
        <w:t xml:space="preserve"> HNSCC, correlate with abundance of IL11+ CAF in tumours. F) Heatmap of iCAF signature </w:t>
      </w:r>
      <w:r w:rsidR="00175A03">
        <w:rPr>
          <w:rFonts w:eastAsia="Calibri" w:cs="Calibri"/>
          <w:sz w:val="22"/>
          <w:szCs w:val="22"/>
          <w:lang w:val="en-GB"/>
        </w:rPr>
        <w:fldChar w:fldCharType="begin"/>
      </w:r>
      <w:r w:rsidR="00175A03">
        <w:rPr>
          <w:rFonts w:eastAsia="Calibri" w:cs="Calibri"/>
          <w:sz w:val="22"/>
          <w:szCs w:val="22"/>
          <w:lang w:val="en-GB"/>
        </w:rPr>
        <w:instrText xml:space="preserve"> ADDIN ZOTERO_ITEM CSL_CITATION {"citationID":"RqqnBkUD","properties":{"formattedCitation":"[5]","plainCitation":"[5]","noteIndex":0},"citationItems":[{"id":1090,"uris":["http://zotero.org/users/8473258/items/JC6A5SAN"],"itemData":{"id":1090,"type":"article-journal","abstract":"Cancer-associated fibroblasts (CAF) are major players in the progression and drug resistance of pancreatic ductal adenocarcinoma (PDAC). CAFs constitute a diverse cell population consisting of several recently described subtypes, although the extent of CAF heterogeneity has remained undefined. Here we use single-cell RNA sequencing to thoroughly characterize the neoplastic and tumor microenvironment content of human and mouse PDAC tumors. We corroborate the presence of myofibroblastic CAFs and inflammatory CAFs and define their unique gene signatures in vivo. Moreover, we describe a new population of CAFs that express MHC class II and CD74, but do not express classic costimulatory molecules. We term this cell population “antigenpresenting CAFs” and find that they activate CD4+ T cells in an antigen-specific fashion in a model system, confirming their putative immune-modulatory capacity. Our cross-species analysis paves the way for investigating distinct functions of CAF subtypes in PDAC immunity and progression.","container-title":"Cancer Discovery","DOI":"10.1158/2159-8290.CD-19-0094","ISSN":"2159-8274, 2159-8290","issue":"8","journalAbbreviation":"Cancer Discov","language":"en","page":"1102-1123","source":"DOI.org (Crossref)","title":"Cross-Species Single-Cell Analysis of Pancreatic Ductal Adenocarcinoma Reveals Antigen-Presenting Cancer-Associated Fibroblasts","volume":"9","author":[{"family":"Elyada","given":"Ela"},{"family":"Bolisetty","given":"Mohan"},{"family":"Laise","given":"Pasquale"},{"family":"Flynn","given":"William F."},{"family":"Courtois","given":"Elise T."},{"family":"Burkhart","given":"Richard A."},{"family":"Teinor","given":"Jonathan A."},{"family":"Belleau","given":"Pascal"},{"family":"Biffi","given":"Giulia"},{"family":"Lucito","given":"Matthew S."},{"family":"Sivajothi","given":"Santhosh"},{"family":"Armstrong","given":"Todd D."},{"family":"Engle","given":"Dannielle D."},{"family":"Yu","given":"Kenneth H."},{"family":"Hao","given":"Yuan"},{"family":"Wolfgang","given":"Christopher L."},{"family":"Park","given":"Youngkyu"},{"family":"Preall","given":"Jonathan"},{"family":"Jaffee","given":"Elizabeth M."},{"family":"Califano","given":"Andrea"},{"family":"Robson","given":"Paul"},{"family":"Tuveson","given":"David A."}],"issued":{"date-parts":[["2019",8]]}}}],"schema":"https://github.com/citation-style-language/schema/raw/master/csl-citation.json"} </w:instrText>
      </w:r>
      <w:r w:rsidR="00175A03">
        <w:rPr>
          <w:rFonts w:eastAsia="Calibri" w:cs="Calibri"/>
          <w:sz w:val="22"/>
          <w:szCs w:val="22"/>
          <w:lang w:val="en-GB"/>
        </w:rPr>
        <w:fldChar w:fldCharType="separate"/>
      </w:r>
      <w:r w:rsidR="00175A03">
        <w:rPr>
          <w:rFonts w:eastAsia="Calibri" w:cs="Calibri"/>
          <w:noProof/>
          <w:sz w:val="22"/>
          <w:szCs w:val="22"/>
          <w:lang w:val="en-GB"/>
        </w:rPr>
        <w:t>[5]</w:t>
      </w:r>
      <w:r w:rsidR="00175A03">
        <w:rPr>
          <w:rFonts w:eastAsia="Calibri" w:cs="Calibri"/>
          <w:sz w:val="22"/>
          <w:szCs w:val="22"/>
          <w:lang w:val="en-GB"/>
        </w:rPr>
        <w:fldChar w:fldCharType="end"/>
      </w:r>
      <w:r w:rsidRPr="005C226B">
        <w:rPr>
          <w:rFonts w:eastAsia="Calibri" w:cs="Calibri"/>
          <w:sz w:val="22"/>
          <w:szCs w:val="22"/>
          <w:lang w:val="en-GB"/>
        </w:rPr>
        <w:t xml:space="preserve"> average expression in PCFA clusters. Heatmap scaled by row. G) Label transfer predictions of Elyada iCAF </w:t>
      </w:r>
      <w:r w:rsidR="00175A03">
        <w:rPr>
          <w:rFonts w:eastAsia="Calibri" w:cs="Calibri"/>
          <w:sz w:val="22"/>
          <w:szCs w:val="22"/>
          <w:lang w:val="en-GB"/>
        </w:rPr>
        <w:fldChar w:fldCharType="begin"/>
      </w:r>
      <w:r w:rsidR="00175A03">
        <w:rPr>
          <w:rFonts w:eastAsia="Calibri" w:cs="Calibri"/>
          <w:sz w:val="22"/>
          <w:szCs w:val="22"/>
          <w:lang w:val="en-GB"/>
        </w:rPr>
        <w:instrText xml:space="preserve"> ADDIN ZOTERO_ITEM CSL_CITATION {"citationID":"lUr8zchK","properties":{"formattedCitation":"[5]","plainCitation":"[5]","noteIndex":0},"citationItems":[{"id":1090,"uris":["http://zotero.org/users/8473258/items/JC6A5SAN"],"itemData":{"id":1090,"type":"article-journal","abstract":"Cancer-associated fibroblasts (CAF) are major players in the progression and drug resistance of pancreatic ductal adenocarcinoma (PDAC). CAFs constitute a diverse cell population consisting of several recently described subtypes, although the extent of CAF heterogeneity has remained undefined. Here we use single-cell RNA sequencing to thoroughly characterize the neoplastic and tumor microenvironment content of human and mouse PDAC tumors. We corroborate the presence of myofibroblastic CAFs and inflammatory CAFs and define their unique gene signatures in vivo. Moreover, we describe a new population of CAFs that express MHC class II and CD74, but do not express classic costimulatory molecules. We term this cell population “antigenpresenting CAFs” and find that they activate CD4+ T cells in an antigen-specific fashion in a model system, confirming their putative immune-modulatory capacity. Our cross-species analysis paves the way for investigating distinct functions of CAF subtypes in PDAC immunity and progression.","container-title":"Cancer Discovery","DOI":"10.1158/2159-8290.CD-19-0094","ISSN":"2159-8274, 2159-8290","issue":"8","journalAbbreviation":"Cancer Discov","language":"en","page":"1102-1123","source":"DOI.org (Crossref)","title":"Cross-Species Single-Cell Analysis of Pancreatic Ductal Adenocarcinoma Reveals Antigen-Presenting Cancer-Associated Fibroblasts","volume":"9","author":[{"family":"Elyada","given":"Ela"},{"family":"Bolisetty","given":"Mohan"},{"family":"Laise","given":"Pasquale"},{"family":"Flynn","given":"William F."},{"family":"Courtois","given":"Elise T."},{"family":"Burkhart","given":"Richard A."},{"family":"Teinor","given":"Jonathan A."},{"family":"Belleau","given":"Pascal"},{"family":"Biffi","given":"Giulia"},{"family":"Lucito","given":"Matthew S."},{"family":"Sivajothi","given":"Santhosh"},{"family":"Armstrong","given":"Todd D."},{"family":"Engle","given":"Dannielle D."},{"family":"Yu","given":"Kenneth H."},{"family":"Hao","given":"Yuan"},{"family":"Wolfgang","given":"Christopher L."},{"family":"Park","given":"Youngkyu"},{"family":"Preall","given":"Jonathan"},{"family":"Jaffee","given":"Elizabeth M."},{"family":"Califano","given":"Andrea"},{"family":"Robson","given":"Paul"},{"family":"Tuveson","given":"David A."}],"issued":{"date-parts":[["2019",8]]}}}],"schema":"https://github.com/citation-style-language/schema/raw/master/csl-citation.json"} </w:instrText>
      </w:r>
      <w:r w:rsidR="00175A03">
        <w:rPr>
          <w:rFonts w:eastAsia="Calibri" w:cs="Calibri"/>
          <w:sz w:val="22"/>
          <w:szCs w:val="22"/>
          <w:lang w:val="en-GB"/>
        </w:rPr>
        <w:fldChar w:fldCharType="separate"/>
      </w:r>
      <w:r w:rsidR="00175A03">
        <w:rPr>
          <w:rFonts w:eastAsia="Calibri" w:cs="Calibri"/>
          <w:noProof/>
          <w:sz w:val="22"/>
          <w:szCs w:val="22"/>
          <w:lang w:val="en-GB"/>
        </w:rPr>
        <w:t>[5]</w:t>
      </w:r>
      <w:r w:rsidR="00175A03">
        <w:rPr>
          <w:rFonts w:eastAsia="Calibri" w:cs="Calibri"/>
          <w:sz w:val="22"/>
          <w:szCs w:val="22"/>
          <w:lang w:val="en-GB"/>
        </w:rPr>
        <w:fldChar w:fldCharType="end"/>
      </w:r>
      <w:r w:rsidR="00175A03" w:rsidRPr="005C226B">
        <w:rPr>
          <w:rFonts w:eastAsia="Calibri" w:cs="Calibri"/>
          <w:sz w:val="22"/>
          <w:szCs w:val="22"/>
          <w:lang w:val="en-GB"/>
        </w:rPr>
        <w:t xml:space="preserve"> </w:t>
      </w:r>
      <w:r w:rsidRPr="005C226B">
        <w:rPr>
          <w:rFonts w:eastAsia="Calibri" w:cs="Calibri"/>
          <w:sz w:val="22"/>
          <w:szCs w:val="22"/>
          <w:lang w:val="en-GB"/>
        </w:rPr>
        <w:t>using PCFA reference. Prediction scores from label transfer are shown. Confidently assigned labels (prediction score ≥ 0.75) with ≥10 cells are shown. Fisher’s exact test (two-tailed). *p &lt; 0.05; **p &lt; 0.01; ***p &lt; 0.001. ****p &lt; 0.0001.</w:t>
      </w:r>
    </w:p>
    <w:p w14:paraId="2E9146EA" w14:textId="77777777" w:rsidR="005C226B" w:rsidRPr="003073E3" w:rsidRDefault="005C226B" w:rsidP="003073E3">
      <w:pPr>
        <w:spacing w:line="480" w:lineRule="auto"/>
        <w:rPr>
          <w:rFonts w:eastAsia="Calibri" w:cs="Calibri"/>
          <w:b/>
          <w:bCs/>
          <w:sz w:val="22"/>
          <w:szCs w:val="22"/>
          <w:lang w:val="en-GB"/>
        </w:rPr>
      </w:pPr>
      <w:r w:rsidRPr="003073E3">
        <w:rPr>
          <w:rFonts w:eastAsia="Calibri" w:cs="Calibri"/>
          <w:b/>
          <w:bCs/>
          <w:noProof/>
          <w:sz w:val="22"/>
          <w:szCs w:val="22"/>
          <w:lang w:val="en-GB"/>
        </w:rPr>
        <w:lastRenderedPageBreak/>
        <w:drawing>
          <wp:inline distT="0" distB="0" distL="0" distR="0" wp14:anchorId="59E3BD1A" wp14:editId="135D4F8B">
            <wp:extent cx="5697220" cy="8229600"/>
            <wp:effectExtent l="0" t="0" r="5080" b="0"/>
            <wp:docPr id="708183546" name="Picture 1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183546" name="Picture 11" descr="A close-up of a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p w14:paraId="069B87B7" w14:textId="77777777" w:rsidR="005C226B" w:rsidRPr="005C226B" w:rsidRDefault="005C226B" w:rsidP="003073E3">
      <w:pPr>
        <w:spacing w:line="480" w:lineRule="auto"/>
        <w:rPr>
          <w:rFonts w:eastAsia="Calibri" w:cs="Calibri"/>
          <w:b/>
          <w:bCs/>
          <w:sz w:val="22"/>
          <w:szCs w:val="22"/>
          <w:lang w:val="en-GB"/>
        </w:rPr>
      </w:pPr>
      <w:r w:rsidRPr="005C226B">
        <w:rPr>
          <w:rFonts w:eastAsia="Calibri" w:cs="Calibri"/>
          <w:b/>
          <w:bCs/>
          <w:sz w:val="22"/>
          <w:szCs w:val="22"/>
          <w:lang w:val="en-GB"/>
        </w:rPr>
        <w:lastRenderedPageBreak/>
        <w:t>Supplementary Figure 11. MHC class II expression and immunotherapy response (relating to Figure 7).</w:t>
      </w:r>
    </w:p>
    <w:p w14:paraId="5F5602A4" w14:textId="301E39F6" w:rsidR="005C226B" w:rsidRPr="003073E3" w:rsidRDefault="005C226B" w:rsidP="003073E3">
      <w:pPr>
        <w:spacing w:line="480" w:lineRule="auto"/>
        <w:rPr>
          <w:rFonts w:eastAsia="Calibri" w:cs="Calibri"/>
          <w:sz w:val="28"/>
          <w:szCs w:val="28"/>
          <w:lang w:val="en-GB"/>
        </w:rPr>
      </w:pPr>
      <w:r w:rsidRPr="003073E3">
        <w:rPr>
          <w:rFonts w:eastAsia="Calibri" w:cs="Calibri"/>
          <w:sz w:val="22"/>
          <w:szCs w:val="22"/>
          <w:lang w:val="en-GB"/>
        </w:rPr>
        <w:t xml:space="preserve">A) Expression of MHC class II genes across PCFA fibroblast clusters. Ordered by average </w:t>
      </w:r>
      <w:r w:rsidRPr="00175A03">
        <w:rPr>
          <w:rFonts w:eastAsia="Calibri" w:cs="Calibri"/>
          <w:i/>
          <w:iCs/>
          <w:sz w:val="22"/>
          <w:szCs w:val="22"/>
          <w:lang w:val="en-GB"/>
        </w:rPr>
        <w:t>CD74</w:t>
      </w:r>
      <w:r w:rsidRPr="003073E3">
        <w:rPr>
          <w:rFonts w:eastAsia="Calibri" w:cs="Calibri"/>
          <w:sz w:val="22"/>
          <w:szCs w:val="22"/>
          <w:lang w:val="en-GB"/>
        </w:rPr>
        <w:t xml:space="preserve"> expression. B) Expression of MHC class II genes across HNSCC cell types. FRC-like fibroblasts highlighted in red. C) Forest plot for multivariate cox regression model using fibroblast (myCAF, IL11+ (</w:t>
      </w:r>
      <w:proofErr w:type="spellStart"/>
      <w:r w:rsidRPr="003073E3">
        <w:rPr>
          <w:rFonts w:eastAsia="Calibri" w:cs="Calibri"/>
          <w:sz w:val="22"/>
          <w:szCs w:val="22"/>
          <w:lang w:val="en-GB"/>
        </w:rPr>
        <w:t>i</w:t>
      </w:r>
      <w:proofErr w:type="spellEnd"/>
      <w:r w:rsidRPr="003073E3">
        <w:rPr>
          <w:rFonts w:eastAsia="Calibri" w:cs="Calibri"/>
          <w:sz w:val="22"/>
          <w:szCs w:val="22"/>
          <w:lang w:val="en-GB"/>
        </w:rPr>
        <w:t>)CAF, PI16+ fibroblast) ssGSEA score (high or low), patient sex and patient age. Anti-PD-1/PD-L1 treated HNSCC cohort (GSE159067; n=102). Hazard ratio estimates along with confidence intervals (95%) and p-values are plotted for each variable. D) Forest plot for multivariate cox regression model using fibroblast (myCAF, IL11+ (</w:t>
      </w:r>
      <w:proofErr w:type="spellStart"/>
      <w:r w:rsidRPr="003073E3">
        <w:rPr>
          <w:rFonts w:eastAsia="Calibri" w:cs="Calibri"/>
          <w:sz w:val="22"/>
          <w:szCs w:val="22"/>
          <w:lang w:val="en-GB"/>
        </w:rPr>
        <w:t>i</w:t>
      </w:r>
      <w:proofErr w:type="spellEnd"/>
      <w:r w:rsidRPr="003073E3">
        <w:rPr>
          <w:rFonts w:eastAsia="Calibri" w:cs="Calibri"/>
          <w:sz w:val="22"/>
          <w:szCs w:val="22"/>
          <w:lang w:val="en-GB"/>
        </w:rPr>
        <w:t>)CAF, PI16+ fibroblast) ssGSEA score (high or low), patient sex and patient age. Anti-PD-1/PD-L1 treated NSCLC cohort (GSE161537; n=82). Hazard ratio estimates along with confidence intervals (95%) and p-values are plotted for each variable. E) Forest plot for multivariate cox regression model using fibroblast (myCAF, IL11+ (</w:t>
      </w:r>
      <w:proofErr w:type="spellStart"/>
      <w:r w:rsidRPr="003073E3">
        <w:rPr>
          <w:rFonts w:eastAsia="Calibri" w:cs="Calibri"/>
          <w:sz w:val="22"/>
          <w:szCs w:val="22"/>
          <w:lang w:val="en-GB"/>
        </w:rPr>
        <w:t>i</w:t>
      </w:r>
      <w:proofErr w:type="spellEnd"/>
      <w:r w:rsidRPr="003073E3">
        <w:rPr>
          <w:rFonts w:eastAsia="Calibri" w:cs="Calibri"/>
          <w:sz w:val="22"/>
          <w:szCs w:val="22"/>
          <w:lang w:val="en-GB"/>
        </w:rPr>
        <w:t>)CAF, PI16+ fibroblast) ssGSEA score (high or low), patient sex and patient age. Anti-CTLA-4 + anti-PD-1 or anti-PD-1 treated melanoma cohort (PRJEB23709; n=91). Hazard ratio estimates along with confidence intervals (95%) and p-values are plotted for each variable. F) TLS</w:t>
      </w:r>
      <w:r w:rsidR="00175A03">
        <w:rPr>
          <w:rFonts w:eastAsia="Calibri" w:cs="Calibri"/>
          <w:sz w:val="22"/>
          <w:szCs w:val="22"/>
          <w:lang w:val="en-GB"/>
        </w:rPr>
        <w:t xml:space="preserve"> </w:t>
      </w:r>
      <w:r w:rsidR="00175A03">
        <w:rPr>
          <w:rFonts w:eastAsia="Calibri" w:cs="Calibri"/>
          <w:sz w:val="22"/>
          <w:szCs w:val="22"/>
          <w:lang w:val="en-GB"/>
        </w:rPr>
        <w:fldChar w:fldCharType="begin"/>
      </w:r>
      <w:r w:rsidR="00175A03">
        <w:rPr>
          <w:rFonts w:eastAsia="Calibri" w:cs="Calibri"/>
          <w:sz w:val="22"/>
          <w:szCs w:val="22"/>
          <w:lang w:val="en-GB"/>
        </w:rPr>
        <w:instrText xml:space="preserve"> ADDIN ZOTERO_ITEM CSL_CITATION {"citationID":"Qy4BV7kr","properties":{"formattedCitation":"[6]","plainCitation":"[6]","noteIndex":0},"citationItems":[{"id":2184,"uris":["http://zotero.org/users/8473258/items/BTG6DL74"],"itemData":{"id":2184,"type":"article-journal","abstract":"Checkpoint blockade therapies that reactivate tumour-associated T cells can induce durable tumour control and result in the long-term survival of patients with advanced cancers1. Current predictive biomarkers for therapy response include high levels of intratumour immunological activity, a high tumour mutational burden and specific characteristics of the gut microbiota2,3. Although the role of T cells in antitumour responses has thoroughly been studied, other immune cells remain insufficiently explored. Here we use clinical samples of metastatic melanomas to investigate the role of B cells in antitumour responses, and find that the co-occurrence of tumour-associated CD8+ T cells and CD20+ B cells is associated with improved survival, independently of other clinical variables. Immunofluorescence staining of CXCR5 and CXCL13 in combination with CD20 reveals the formation of tertiary lymphoid structures in these CD8+CD20+ tumours. We derived a gene signature associated with tertiary lymphoid structures, which predicted clinical outcomes in cohorts of patients treated with immune checkpoint blockade. Furthermore, B-cell-rich tumours were accompanied by increased levels of TCF7+ naive and/or memory T cells. This was corroborated by digital spatial-profiling data, in which T cells in tumours without tertiary lymphoid structures had a dysfunctional molecular phenotype. Our results indicate that tertiary lymphoid structures have a key role in the immune microenvironment in melanoma, by conferring distinct T cell phenotypes. Therapeutic strategies to induce the formation of tertiary lymphoid structures should be explored to improve responses to cancer immunotherapy.","container-title":"Nature","DOI":"10.1038/s41586-019-1914-8","ISSN":"1476-4687","issue":"7791","language":"en","license":"2020 The Author(s), under exclusive licence to Springer Nature Limited","note":"publisher: Nature Publishing Group","page":"561-565","source":"www.nature.com","title":"Tertiary lymphoid structures improve immunotherapy and survival in melanoma","volume":"577","author":[{"family":"Cabrita","given":"Rita"},{"family":"Lauss","given":"Martin"},{"family":"Sanna","given":"Adriana"},{"family":"Donia","given":"Marco"},{"family":"Skaarup Larsen","given":"Mathilde"},{"family":"Mitra","given":"Shamik"},{"family":"Johansson","given":"Iva"},{"family":"Phung","given":"Bengt"},{"family":"Harbst","given":"Katja"},{"family":"Vallon-Christersson","given":"Johan"},{"family":"Schoiack","given":"Alison","non-dropping-particle":"van"},{"family":"Lövgren","given":"Kristina"},{"family":"Warren","given":"Sarah"},{"family":"Jirström","given":"Karin"},{"family":"Olsson","given":"Håkan"},{"family":"Pietras","given":"Kristian"},{"family":"Ingvar","given":"Christian"},{"family":"Isaksson","given":"Karolin"},{"family":"Schadendorf","given":"Dirk"},{"family":"Schmidt","given":"Henrik"},{"family":"Bastholt","given":"Lars"},{"family":"Carneiro","given":"Ana"},{"family":"Wargo","given":"Jennifer A."},{"family":"Svane","given":"Inge Marie"},{"family":"Jönsson","given":"Göran"}],"issued":{"date-parts":[["2020",1]]}}}],"schema":"https://github.com/citation-style-language/schema/raw/master/csl-citation.json"} </w:instrText>
      </w:r>
      <w:r w:rsidR="00175A03">
        <w:rPr>
          <w:rFonts w:eastAsia="Calibri" w:cs="Calibri"/>
          <w:sz w:val="22"/>
          <w:szCs w:val="22"/>
          <w:lang w:val="en-GB"/>
        </w:rPr>
        <w:fldChar w:fldCharType="separate"/>
      </w:r>
      <w:r w:rsidR="00175A03">
        <w:rPr>
          <w:rFonts w:eastAsia="Calibri" w:cs="Calibri"/>
          <w:noProof/>
          <w:sz w:val="22"/>
          <w:szCs w:val="22"/>
          <w:lang w:val="en-GB"/>
        </w:rPr>
        <w:t>[6]</w:t>
      </w:r>
      <w:r w:rsidR="00175A03">
        <w:rPr>
          <w:rFonts w:eastAsia="Calibri" w:cs="Calibri"/>
          <w:sz w:val="22"/>
          <w:szCs w:val="22"/>
          <w:lang w:val="en-GB"/>
        </w:rPr>
        <w:fldChar w:fldCharType="end"/>
      </w:r>
      <w:r w:rsidRPr="003073E3">
        <w:rPr>
          <w:rFonts w:eastAsia="Calibri" w:cs="Calibri"/>
          <w:sz w:val="22"/>
          <w:szCs w:val="22"/>
          <w:lang w:val="en-GB"/>
        </w:rPr>
        <w:t xml:space="preserve"> and FRC-specific gene signature correlation in skin cutaneous melanoma. ssGSEA run using batch effects normalized mRNA data from the Pan-Cancer Atlas Hub (</w:t>
      </w:r>
      <w:proofErr w:type="spellStart"/>
      <w:r w:rsidRPr="003073E3">
        <w:rPr>
          <w:rFonts w:eastAsia="Calibri" w:cs="Calibri"/>
          <w:sz w:val="22"/>
          <w:szCs w:val="22"/>
          <w:lang w:val="en-GB"/>
        </w:rPr>
        <w:t>UCSCXena</w:t>
      </w:r>
      <w:proofErr w:type="spellEnd"/>
      <w:r w:rsidRPr="003073E3">
        <w:rPr>
          <w:rFonts w:eastAsia="Calibri" w:cs="Calibri"/>
          <w:sz w:val="22"/>
          <w:szCs w:val="22"/>
          <w:lang w:val="en-GB"/>
        </w:rPr>
        <w:t>). Spearman correlation coefficients and p-values displayed.</w:t>
      </w:r>
      <w:r w:rsidRPr="003073E3">
        <w:rPr>
          <w:rFonts w:eastAsia="Calibri" w:cs="Calibri"/>
          <w:sz w:val="28"/>
          <w:szCs w:val="28"/>
          <w:lang w:val="en-GB"/>
        </w:rPr>
        <w:br w:type="page"/>
      </w:r>
    </w:p>
    <w:p w14:paraId="60C8FE9C" w14:textId="6E2D6A5A" w:rsidR="107EE9F2" w:rsidRPr="003073E3" w:rsidRDefault="2FA30487" w:rsidP="003073E3">
      <w:pPr>
        <w:pStyle w:val="Heading1"/>
        <w:spacing w:before="240" w:after="0" w:line="480" w:lineRule="auto"/>
        <w:jc w:val="both"/>
        <w:rPr>
          <w:rFonts w:asciiTheme="minorHAnsi" w:eastAsia="Calibri" w:hAnsiTheme="minorHAnsi" w:cs="Calibri"/>
          <w:b/>
          <w:bCs/>
          <w:color w:val="auto"/>
          <w:sz w:val="28"/>
          <w:szCs w:val="28"/>
          <w:lang w:val="en-GB"/>
        </w:rPr>
      </w:pPr>
      <w:r w:rsidRPr="003073E3">
        <w:rPr>
          <w:rFonts w:asciiTheme="minorHAnsi" w:eastAsia="Calibri" w:hAnsiTheme="minorHAnsi" w:cs="Calibri"/>
          <w:b/>
          <w:bCs/>
          <w:color w:val="auto"/>
          <w:sz w:val="28"/>
          <w:szCs w:val="28"/>
          <w:lang w:val="en-GB"/>
        </w:rPr>
        <w:lastRenderedPageBreak/>
        <w:t xml:space="preserve">2. </w:t>
      </w:r>
      <w:r w:rsidR="107EE9F2" w:rsidRPr="003073E3">
        <w:rPr>
          <w:rFonts w:asciiTheme="minorHAnsi" w:eastAsia="Calibri" w:hAnsiTheme="minorHAnsi" w:cs="Calibri"/>
          <w:b/>
          <w:bCs/>
          <w:color w:val="auto"/>
          <w:sz w:val="28"/>
          <w:szCs w:val="28"/>
          <w:lang w:val="en-GB"/>
        </w:rPr>
        <w:t>MATERIALS AND M</w:t>
      </w:r>
      <w:r w:rsidR="006922ED" w:rsidRPr="003073E3">
        <w:rPr>
          <w:rFonts w:asciiTheme="minorHAnsi" w:eastAsia="Calibri" w:hAnsiTheme="minorHAnsi" w:cs="Calibri"/>
          <w:b/>
          <w:bCs/>
          <w:color w:val="auto"/>
          <w:sz w:val="28"/>
          <w:szCs w:val="28"/>
          <w:lang w:val="en-GB"/>
        </w:rPr>
        <w:t>ETHODS</w:t>
      </w:r>
    </w:p>
    <w:p w14:paraId="00B1CD6E" w14:textId="574D69A7" w:rsidR="016C9697" w:rsidRPr="003073E3" w:rsidRDefault="4848255E" w:rsidP="003073E3">
      <w:pPr>
        <w:pStyle w:val="Heading1"/>
        <w:spacing w:before="240" w:after="0" w:line="480" w:lineRule="auto"/>
        <w:jc w:val="both"/>
        <w:rPr>
          <w:rFonts w:asciiTheme="minorHAnsi" w:eastAsia="Calibri" w:hAnsiTheme="minorHAnsi" w:cs="Calibri"/>
          <w:b/>
          <w:bCs/>
          <w:color w:val="auto"/>
          <w:sz w:val="24"/>
          <w:szCs w:val="24"/>
        </w:rPr>
      </w:pPr>
      <w:r w:rsidRPr="003073E3">
        <w:rPr>
          <w:rFonts w:asciiTheme="minorHAnsi" w:eastAsia="Calibri" w:hAnsiTheme="minorHAnsi" w:cs="Calibri"/>
          <w:b/>
          <w:bCs/>
          <w:color w:val="auto"/>
          <w:sz w:val="24"/>
          <w:szCs w:val="24"/>
          <w:lang w:val="en-GB"/>
        </w:rPr>
        <w:t xml:space="preserve">Primary fibroblast culture and </w:t>
      </w:r>
      <w:r w:rsidRPr="003073E3">
        <w:rPr>
          <w:rFonts w:asciiTheme="minorHAnsi" w:eastAsia="Calibri" w:hAnsiTheme="minorHAnsi" w:cs="Calibri"/>
          <w:b/>
          <w:bCs/>
          <w:i/>
          <w:iCs/>
          <w:color w:val="auto"/>
          <w:sz w:val="24"/>
          <w:szCs w:val="24"/>
          <w:lang w:val="en-GB"/>
        </w:rPr>
        <w:t>in vitro</w:t>
      </w:r>
      <w:r w:rsidRPr="003073E3">
        <w:rPr>
          <w:rFonts w:asciiTheme="minorHAnsi" w:eastAsia="Calibri" w:hAnsiTheme="minorHAnsi" w:cs="Calibri"/>
          <w:b/>
          <w:bCs/>
          <w:color w:val="auto"/>
          <w:sz w:val="24"/>
          <w:szCs w:val="24"/>
          <w:lang w:val="en-GB"/>
        </w:rPr>
        <w:t xml:space="preserve"> experiments</w:t>
      </w:r>
    </w:p>
    <w:p w14:paraId="20415C25" w14:textId="2F6B05AB" w:rsidR="016C9697" w:rsidRPr="003073E3" w:rsidRDefault="4848255E"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Tissue disaggregation for cell culture</w:t>
      </w:r>
    </w:p>
    <w:p w14:paraId="448943F3" w14:textId="7B852B56" w:rsidR="016C9697" w:rsidRPr="003073E3" w:rsidRDefault="4848255E"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Upon receipt samples were washed once in Dulbecco’s modified eagle medium (Sigma #D5671) containing 10% Foetal Calf Serum, 1% Penicillin/streptomycin, 1% L-Glutamine, 1% Amphotericin, 1% Sodium pyruvate, and 12.5mM HEPES. The sample was chopped using a scalpel </w:t>
      </w:r>
      <w:r w:rsidR="734A6F4F" w:rsidRPr="003073E3">
        <w:rPr>
          <w:rFonts w:eastAsia="Calibri" w:cs="Calibri"/>
          <w:color w:val="000000" w:themeColor="text1"/>
          <w:lang w:val="en-GB"/>
        </w:rPr>
        <w:t>into</w:t>
      </w:r>
      <w:r w:rsidRPr="003073E3">
        <w:rPr>
          <w:rFonts w:eastAsia="Calibri" w:cs="Calibri"/>
          <w:color w:val="000000" w:themeColor="text1"/>
          <w:lang w:val="en-GB"/>
        </w:rPr>
        <w:t xml:space="preserve"> 1-2mm size pieces prior to enzymatic digestion. All enzyme concentrations are final concentration. Enzymatic digestion was performed with collagenase-P (3 units.ml</w:t>
      </w:r>
      <w:r w:rsidRPr="003073E3">
        <w:rPr>
          <w:rFonts w:eastAsia="Calibri" w:cs="Calibri"/>
          <w:color w:val="000000" w:themeColor="text1"/>
          <w:vertAlign w:val="superscript"/>
          <w:lang w:val="en-GB"/>
        </w:rPr>
        <w:t>-1</w:t>
      </w:r>
      <w:r w:rsidRPr="003073E3">
        <w:rPr>
          <w:rFonts w:eastAsia="Calibri" w:cs="Calibri"/>
          <w:color w:val="000000" w:themeColor="text1"/>
          <w:lang w:val="en-GB"/>
        </w:rPr>
        <w:t>; Sigma #11213857001) and DNASE-1 (16 units.mL</w:t>
      </w:r>
      <w:r w:rsidRPr="003073E3">
        <w:rPr>
          <w:rFonts w:eastAsia="Calibri" w:cs="Calibri"/>
          <w:color w:val="000000" w:themeColor="text1"/>
          <w:vertAlign w:val="superscript"/>
          <w:lang w:val="en-GB"/>
        </w:rPr>
        <w:t>-1</w:t>
      </w:r>
      <w:r w:rsidRPr="003073E3">
        <w:rPr>
          <w:rFonts w:eastAsia="Calibri" w:cs="Calibri"/>
          <w:color w:val="000000" w:themeColor="text1"/>
          <w:lang w:val="en-GB"/>
        </w:rPr>
        <w:t xml:space="preserve">; Sigma #DN25) in </w:t>
      </w:r>
      <w:proofErr w:type="spellStart"/>
      <w:r w:rsidRPr="003073E3">
        <w:rPr>
          <w:rFonts w:eastAsia="Calibri" w:cs="Calibri"/>
          <w:color w:val="000000" w:themeColor="text1"/>
          <w:lang w:val="en-GB"/>
        </w:rPr>
        <w:t>cDMEM</w:t>
      </w:r>
      <w:proofErr w:type="spellEnd"/>
      <w:r w:rsidRPr="003073E3">
        <w:rPr>
          <w:rFonts w:eastAsia="Calibri" w:cs="Calibri"/>
          <w:color w:val="000000" w:themeColor="text1"/>
          <w:lang w:val="en-GB"/>
        </w:rPr>
        <w:t xml:space="preserve">. The solution was sterile filtered using a 0.22µm syringe filter and the sample material was suspended in up to 5mL of </w:t>
      </w:r>
      <w:proofErr w:type="spellStart"/>
      <w:r w:rsidRPr="003073E3">
        <w:rPr>
          <w:rFonts w:eastAsia="Calibri" w:cs="Calibri"/>
          <w:color w:val="000000" w:themeColor="text1"/>
          <w:lang w:val="en-GB"/>
        </w:rPr>
        <w:t>cDMEM</w:t>
      </w:r>
      <w:proofErr w:type="spellEnd"/>
      <w:r w:rsidRPr="003073E3">
        <w:rPr>
          <w:rFonts w:eastAsia="Calibri" w:cs="Calibri"/>
          <w:color w:val="000000" w:themeColor="text1"/>
          <w:lang w:val="en-GB"/>
        </w:rPr>
        <w:t>/enzyme solution. The sample was then sealed and placed in a benchtop shaker/incubator at 37</w:t>
      </w:r>
      <w:r w:rsidRPr="003073E3">
        <w:rPr>
          <w:rFonts w:eastAsia="Calibri" w:cs="Calibri"/>
          <w:color w:val="000000" w:themeColor="text1"/>
          <w:vertAlign w:val="superscript"/>
          <w:lang w:val="en-GB"/>
        </w:rPr>
        <w:t>O</w:t>
      </w:r>
      <w:r w:rsidRPr="003073E3">
        <w:rPr>
          <w:rFonts w:eastAsia="Calibri" w:cs="Calibri"/>
          <w:color w:val="000000" w:themeColor="text1"/>
          <w:lang w:val="en-GB"/>
        </w:rPr>
        <w:t>C and 150rpm. The samples were returned to the incubator (37</w:t>
      </w:r>
      <w:r w:rsidRPr="003073E3">
        <w:rPr>
          <w:rFonts w:eastAsia="Calibri" w:cs="Calibri"/>
          <w:color w:val="000000" w:themeColor="text1"/>
          <w:vertAlign w:val="superscript"/>
          <w:lang w:val="en-GB"/>
        </w:rPr>
        <w:t>O</w:t>
      </w:r>
      <w:r w:rsidRPr="003073E3">
        <w:rPr>
          <w:rFonts w:eastAsia="Calibri" w:cs="Calibri"/>
          <w:color w:val="000000" w:themeColor="text1"/>
          <w:lang w:val="en-GB"/>
        </w:rPr>
        <w:t>C / 150rpm) for up to a maximum of 45 minutes (or until digestion is complete) with trituration performed using a 5mL graduated pipette every 15 minutes. Any remaining undigested pieces were allowed to settle at the bottom of the tube; the supernatant was then transferred to a fresh sterile tube. Any remaining tissue was set aside. Complete DMEM, up to 10 mL, was added to each fraction and both cell suspensions were pelleted at 350rcf for 5 minutes. Supernatant was removed and RBC lysis buffer (</w:t>
      </w:r>
      <w:proofErr w:type="spellStart"/>
      <w:r w:rsidRPr="003073E3">
        <w:rPr>
          <w:rFonts w:eastAsia="Calibri" w:cs="Calibri"/>
          <w:color w:val="000000" w:themeColor="text1"/>
          <w:lang w:val="en-GB"/>
        </w:rPr>
        <w:t>Biolegend</w:t>
      </w:r>
      <w:proofErr w:type="spellEnd"/>
      <w:r w:rsidRPr="003073E3">
        <w:rPr>
          <w:rFonts w:eastAsia="Calibri" w:cs="Calibri"/>
          <w:color w:val="000000" w:themeColor="text1"/>
          <w:lang w:val="en-GB"/>
        </w:rPr>
        <w:t xml:space="preserve"> #420301) used to remove erythrocytes for 10 minutes at 4</w:t>
      </w:r>
      <w:r w:rsidRPr="003073E3">
        <w:rPr>
          <w:rFonts w:eastAsia="Calibri" w:cs="Calibri"/>
          <w:color w:val="000000" w:themeColor="text1"/>
          <w:vertAlign w:val="superscript"/>
          <w:lang w:val="en-GB"/>
        </w:rPr>
        <w:t>o</w:t>
      </w:r>
      <w:r w:rsidRPr="003073E3">
        <w:rPr>
          <w:rFonts w:eastAsia="Calibri" w:cs="Calibri"/>
          <w:color w:val="000000" w:themeColor="text1"/>
          <w:lang w:val="en-GB"/>
        </w:rPr>
        <w:t xml:space="preserve">C. The samples were then washed in PBS and suspended in residual volume, counted (haemocytometer), and viability assessed by Trypan blue exclusion. Cells were then plated at high density in plastic </w:t>
      </w:r>
      <w:r w:rsidRPr="003073E3">
        <w:rPr>
          <w:rFonts w:eastAsia="Calibri" w:cs="Calibri"/>
          <w:color w:val="000000" w:themeColor="text1"/>
          <w:lang w:val="en-GB"/>
        </w:rPr>
        <w:lastRenderedPageBreak/>
        <w:t xml:space="preserve">tissue culture flasks, with adherent cells then expanded until confluence was reached in T175 flasks. To create frozen stocks, fibroblasts were cryopreserved using standard procedures in FCS + 10% DMSO. </w:t>
      </w:r>
    </w:p>
    <w:p w14:paraId="022B43DA" w14:textId="1F2776AE" w:rsidR="016C9697" w:rsidRPr="003073E3" w:rsidRDefault="4848255E" w:rsidP="003073E3">
      <w:pPr>
        <w:pStyle w:val="Heading1"/>
        <w:spacing w:before="240" w:after="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Primary fibroblast culture</w:t>
      </w:r>
    </w:p>
    <w:p w14:paraId="1A54D2EA" w14:textId="766D2D8D" w:rsidR="016C9697" w:rsidRPr="003073E3" w:rsidRDefault="4848255E" w:rsidP="003073E3">
      <w:pPr>
        <w:spacing w:line="480" w:lineRule="auto"/>
        <w:jc w:val="both"/>
        <w:rPr>
          <w:rFonts w:eastAsia="Calibri" w:cs="Calibri"/>
          <w:color w:val="000000" w:themeColor="text1"/>
        </w:rPr>
      </w:pPr>
      <w:r w:rsidRPr="003073E3">
        <w:rPr>
          <w:rFonts w:eastAsia="Calibri" w:cs="Calibri"/>
          <w:color w:val="000000" w:themeColor="text1"/>
          <w:lang w:val="en-GB"/>
        </w:rPr>
        <w:t>Primary fibroblasts were routinely cultured at 5% CO</w:t>
      </w:r>
      <w:r w:rsidRPr="003073E3">
        <w:rPr>
          <w:rFonts w:eastAsia="Calibri" w:cs="Calibri"/>
          <w:color w:val="000000" w:themeColor="text1"/>
          <w:vertAlign w:val="subscript"/>
          <w:lang w:val="en-GB"/>
        </w:rPr>
        <w:t>2</w:t>
      </w:r>
      <w:r w:rsidRPr="003073E3">
        <w:rPr>
          <w:rFonts w:eastAsia="Calibri" w:cs="Calibri"/>
          <w:color w:val="000000" w:themeColor="text1"/>
          <w:lang w:val="en-GB"/>
        </w:rPr>
        <w:t>/37°C in Dulbecco’s modified Eagle medium (DMEM; Sigma) supplemented with 10% foetal bovine serum (FBS), 1% (2mM) L-Glutamine (Sigma), 1% penicillin/streptomycin (Sigma) and 1% sodium pyruvate (Gibco). When adherent cells reached full confluency, media was removed, monolayer washed with phosphate-buffered saline (PBS), then trypsin-EDTA (Sigma) was added to detach monolayer. Fibroblasts were split 1:4 into new flasks in fresh media. Fibroblasts used in experiments were &lt;12 passage.</w:t>
      </w:r>
    </w:p>
    <w:p w14:paraId="66E3DA94" w14:textId="26306169" w:rsidR="016C9697" w:rsidRPr="003073E3" w:rsidRDefault="4848255E"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i/>
          <w:iCs/>
          <w:color w:val="000000" w:themeColor="text1"/>
          <w:sz w:val="24"/>
          <w:szCs w:val="24"/>
          <w:u w:val="single"/>
          <w:lang w:val="en-GB"/>
        </w:rPr>
        <w:t>In vitro</w:t>
      </w:r>
      <w:r w:rsidRPr="003073E3">
        <w:rPr>
          <w:rFonts w:asciiTheme="minorHAnsi" w:eastAsia="Calibri" w:hAnsiTheme="minorHAnsi" w:cs="Calibri"/>
          <w:color w:val="000000" w:themeColor="text1"/>
          <w:sz w:val="24"/>
          <w:szCs w:val="24"/>
          <w:u w:val="single"/>
          <w:lang w:val="en-GB"/>
        </w:rPr>
        <w:t xml:space="preserve"> cytokine stimulation of fibroblasts</w:t>
      </w:r>
    </w:p>
    <w:p w14:paraId="7F79A366" w14:textId="2534A684" w:rsidR="016C9697" w:rsidRPr="003073E3" w:rsidRDefault="4848255E" w:rsidP="003073E3">
      <w:pPr>
        <w:spacing w:line="480" w:lineRule="auto"/>
        <w:jc w:val="both"/>
        <w:rPr>
          <w:rFonts w:eastAsia="Calibri" w:cs="Calibri"/>
          <w:color w:val="000000" w:themeColor="text1"/>
        </w:rPr>
      </w:pPr>
      <w:r w:rsidRPr="003073E3">
        <w:rPr>
          <w:rFonts w:eastAsia="Calibri" w:cs="Calibri"/>
          <w:color w:val="000000" w:themeColor="text1"/>
          <w:lang w:val="en-GB"/>
        </w:rPr>
        <w:t>Primary NOFs were isolated from the mucosa of Head and Neck patient tissue samples as previously described. NOF were cultured in DMEM (Sigma D7561) supplemented with 10% FBS, 1% Penicillin/Streptomycin (Sigma P4333), 2mM L-Glutamine (Sigma G7513), 1mM sodium pyruvate (Sigma S8636). Fibroblast treatments included: 4ng/ml TGF-β1 (2-3 days; synthesised in-house), 1ng/ml TNF-α (2-3 days; R&amp;D Systems, 210-TA), 1ng/ml IL-1β (2-3 days; R&amp;D Systems, 201-LB), 50-100ng/ml Lymphotoxin-α1β2 (2-7 days; R&amp;D Systems, 8884-LY-025) and 1μM TGF-β RI Kinase Inhibitor IV (2-7 days; Merk, 616454) with reduced serum (1% FBS) media.</w:t>
      </w:r>
    </w:p>
    <w:p w14:paraId="1ED8E390" w14:textId="1D59311A" w:rsidR="016C9697" w:rsidRPr="003073E3" w:rsidRDefault="4848255E"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lastRenderedPageBreak/>
        <w:t>Conditioned-media treatment of fibroblasts</w:t>
      </w:r>
    </w:p>
    <w:p w14:paraId="56D46E51" w14:textId="23A4824E" w:rsidR="016C9697" w:rsidRPr="003073E3" w:rsidRDefault="4848255E"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For monocyte-conditioned media (CM), human peripheral blood mononuclear cells (PBMC’s) were isolated from human leukocyte blood cones using </w:t>
      </w:r>
      <w:proofErr w:type="spellStart"/>
      <w:r w:rsidRPr="003073E3">
        <w:rPr>
          <w:rFonts w:eastAsia="Calibri" w:cs="Calibri"/>
          <w:color w:val="000000" w:themeColor="text1"/>
          <w:lang w:val="en-GB"/>
        </w:rPr>
        <w:t>Ficoll</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Paque</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Cytiva</w:t>
      </w:r>
      <w:proofErr w:type="spellEnd"/>
      <w:r w:rsidRPr="003073E3">
        <w:rPr>
          <w:rFonts w:eastAsia="Calibri" w:cs="Calibri"/>
          <w:color w:val="000000" w:themeColor="text1"/>
          <w:lang w:val="en-GB"/>
        </w:rPr>
        <w:t xml:space="preserve"> 171444003) as per the manufacturer’s guidelines. For monocyte CM, PBMC’s were collected and 21x10</w:t>
      </w:r>
      <w:r w:rsidRPr="003073E3">
        <w:rPr>
          <w:rFonts w:eastAsia="Calibri" w:cs="Calibri"/>
          <w:color w:val="000000" w:themeColor="text1"/>
          <w:vertAlign w:val="superscript"/>
          <w:lang w:val="en-GB"/>
        </w:rPr>
        <w:t>6</w:t>
      </w:r>
      <w:r w:rsidRPr="003073E3">
        <w:rPr>
          <w:rFonts w:eastAsia="Calibri" w:cs="Calibri"/>
          <w:color w:val="000000" w:themeColor="text1"/>
          <w:lang w:val="en-GB"/>
        </w:rPr>
        <w:t xml:space="preserve"> cells seeded in a 100mm petri dish in RPMI-1640 (Sigma R8758) with 10% FBS for 2 hours.  The adherent monocytes were subsequently washed with PBS to remove non adherent cells and incubated +/-1mg/ml LPS (Sigma L5293) in 5% FBS, for 2 hours. Media was removed and the cells were washed with PBS.  RPMI (no FBS) was added for collection of the CM after 24 hours. NOF were cultured with CM for 72 hours, with comparative TNF-</w:t>
      </w:r>
      <w:r w:rsidRPr="003073E3">
        <w:rPr>
          <w:rFonts w:eastAsia="Symbol" w:cs="Symbol"/>
          <w:color w:val="000000" w:themeColor="text1"/>
          <w:lang w:val="en-GB"/>
        </w:rPr>
        <w:t>a</w:t>
      </w:r>
      <w:r w:rsidRPr="003073E3">
        <w:rPr>
          <w:rFonts w:eastAsia="Calibri" w:cs="Calibri"/>
          <w:color w:val="000000" w:themeColor="text1"/>
          <w:lang w:val="en-GB"/>
        </w:rPr>
        <w:t xml:space="preserve">/IL1-β treatment for the same time. </w:t>
      </w:r>
    </w:p>
    <w:p w14:paraId="54176DA1" w14:textId="532595D7" w:rsidR="016C9697" w:rsidRPr="003073E3" w:rsidRDefault="4848255E"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qPCR, RNA extraction and cDNA synthesis</w:t>
      </w:r>
    </w:p>
    <w:p w14:paraId="315F493C" w14:textId="2F39B5E1" w:rsidR="016C9697" w:rsidRPr="003073E3" w:rsidRDefault="4848255E"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Fibroblasts were seeded per 6-well for qPCR analysis.  RNA extraction was performed using a </w:t>
      </w:r>
      <w:proofErr w:type="spellStart"/>
      <w:r w:rsidRPr="003073E3">
        <w:rPr>
          <w:rFonts w:eastAsia="Calibri" w:cs="Calibri"/>
          <w:color w:val="000000" w:themeColor="text1"/>
          <w:lang w:val="en-GB"/>
        </w:rPr>
        <w:t>ReliaPrep</w:t>
      </w:r>
      <w:proofErr w:type="spellEnd"/>
      <w:r w:rsidRPr="003073E3">
        <w:rPr>
          <w:rFonts w:eastAsia="Calibri" w:cs="Calibri"/>
          <w:color w:val="000000" w:themeColor="text1"/>
          <w:lang w:val="en-GB"/>
        </w:rPr>
        <w:t xml:space="preserve"> RNA Miniprep Kit (Promega Z6012) following the standard protocol and quantified by </w:t>
      </w:r>
      <w:proofErr w:type="spellStart"/>
      <w:r w:rsidRPr="003073E3">
        <w:rPr>
          <w:rFonts w:eastAsia="Calibri" w:cs="Calibri"/>
          <w:color w:val="000000" w:themeColor="text1"/>
          <w:lang w:val="en-GB"/>
        </w:rPr>
        <w:t>NanoDrop</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ThermoFisherScientific</w:t>
      </w:r>
      <w:proofErr w:type="spellEnd"/>
      <w:r w:rsidRPr="003073E3">
        <w:rPr>
          <w:rFonts w:eastAsia="Calibri" w:cs="Calibri"/>
          <w:color w:val="000000" w:themeColor="text1"/>
          <w:lang w:val="en-GB"/>
        </w:rPr>
        <w:t xml:space="preserve">). mRNA was retro-transcribed using </w:t>
      </w:r>
      <w:proofErr w:type="spellStart"/>
      <w:r w:rsidRPr="003073E3">
        <w:rPr>
          <w:rFonts w:eastAsia="Calibri" w:cs="Calibri"/>
          <w:color w:val="000000" w:themeColor="text1"/>
          <w:lang w:val="en-GB"/>
        </w:rPr>
        <w:t>RevertAid</w:t>
      </w:r>
      <w:proofErr w:type="spellEnd"/>
      <w:r w:rsidRPr="003073E3">
        <w:rPr>
          <w:rFonts w:eastAsia="Calibri" w:cs="Calibri"/>
          <w:color w:val="000000" w:themeColor="text1"/>
          <w:lang w:val="en-GB"/>
        </w:rPr>
        <w:t xml:space="preserve"> First-Strand cDNA Synthesis Kit (Thermo Scientific K1691) following the manufacturer’s instructions. qPCR was performed with SYBR green reagent (Life Technologies). Analysis of relative gene expression was performed using ΔΔCT by comparison of the gene of interest CT value to housekeeping genes RPL41 CT value. Data were presented using Prism (GraphPad, v10). In conditions in which genes of interest were undetermined, Ct values were set to 40 and this was clearly indicated on the graphs.</w:t>
      </w:r>
    </w:p>
    <w:p w14:paraId="59E130F1" w14:textId="4BF89E4A" w:rsidR="016C9697" w:rsidRPr="003073E3" w:rsidRDefault="4848255E"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lastRenderedPageBreak/>
        <w:t>Primer sequences and concentrations:</w:t>
      </w:r>
    </w:p>
    <w:p w14:paraId="34BABF6E" w14:textId="6A28C542"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ACTA2, 0.4µM, F:GACAATGGCTCTGGGCTCTGTAA/R:ATGCCATGTTCTATCGGGTACTT,</w:t>
      </w:r>
    </w:p>
    <w:p w14:paraId="5AAE2A60" w14:textId="7379B1CB"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COL1A1,0.2µM,F:ACGAAGACATCCCACCAATCACCT/R:AGATCACGTCATCGCACAACACCT,</w:t>
      </w:r>
    </w:p>
    <w:p w14:paraId="12DE6CCF" w14:textId="1760C4D3"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TAGLN,0.4µM,F:GGACCCTGATGGCTTTGGG/R:TATGCTCCTGCGCTTTCTTCATA,</w:t>
      </w:r>
    </w:p>
    <w:p w14:paraId="7CAF8EEC" w14:textId="28BFC19A"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POSTN,0.2µM,F:AAGGCTGCCCAGCAGTTTTG/R:CGATGCCCAGAGTGCCATAA,</w:t>
      </w:r>
    </w:p>
    <w:p w14:paraId="799FDE0D" w14:textId="77170508"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MME,0.8µM,F:AGAAGTCGTTTTGAAAGATGTCCT/R:GCTTTTGCTTTCTGCACTGCT,</w:t>
      </w:r>
    </w:p>
    <w:p w14:paraId="26344FF1" w14:textId="69E6177C"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MMP3,0.4µM,F:TCCCTCAGGAAGCTTGAACCTGAA/R:AAACCTAGGGTGTGGATGCCTCTT,</w:t>
      </w:r>
    </w:p>
    <w:p w14:paraId="4F781A52" w14:textId="10B974A5"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IL6,0.2µM,F:AAATTCGGTACATCCTCGACGGCA/R:AGTGCCTCTTTGCTGCTTTCACAC,</w:t>
      </w:r>
    </w:p>
    <w:p w14:paraId="2DC4D531" w14:textId="4B9A867B"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IL11,0.8µM,F:CAGCACACCTGGGAGCTGTA/R:GACCACAACCTGGATTCCCT,</w:t>
      </w:r>
    </w:p>
    <w:p w14:paraId="6738C686" w14:textId="6D2BAFE3"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RPL41,0.4µM,F: CCATGAGAGCCAAGTGGAGGAA /R:TGGACCTCTGCCTCATCTTTC</w:t>
      </w:r>
    </w:p>
    <w:p w14:paraId="5A9C9D78" w14:textId="5EA6ECE9"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CCL19,0.4µM,F:TGCCTGCTGTAGTGTTCACC/R:GCAGTCTCTGGATGATGCGT</w:t>
      </w:r>
    </w:p>
    <w:p w14:paraId="440734D9" w14:textId="78724959"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 xml:space="preserve">CCL21,0.4µM,F:ATCCCAGCTATCCTGTTCTTGC/R:CAGAGCTCCTTTGGGTCTGC </w:t>
      </w:r>
    </w:p>
    <w:p w14:paraId="2B5CB0F1" w14:textId="0CA4010D"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RBP5,0.4µM,F:CCATAGTAACCTGGGAGGAGGA/R:AAGACCTGCTCGCACACTGCAT</w:t>
      </w:r>
    </w:p>
    <w:p w14:paraId="40D75ACD" w14:textId="787D144A" w:rsidR="016C9697" w:rsidRPr="003073E3" w:rsidRDefault="4848255E" w:rsidP="003073E3">
      <w:pPr>
        <w:spacing w:line="480" w:lineRule="auto"/>
        <w:jc w:val="both"/>
        <w:rPr>
          <w:rFonts w:eastAsia="Calibri" w:cs="Calibri"/>
          <w:color w:val="000000" w:themeColor="text1"/>
          <w:sz w:val="20"/>
          <w:szCs w:val="20"/>
        </w:rPr>
      </w:pPr>
      <w:r w:rsidRPr="003073E3">
        <w:rPr>
          <w:rFonts w:eastAsia="Calibri" w:cs="Calibri"/>
          <w:color w:val="000000" w:themeColor="text1"/>
          <w:sz w:val="20"/>
          <w:szCs w:val="20"/>
          <w:lang w:val="en-GB"/>
        </w:rPr>
        <w:t>SPIB,0.4µM,F:GAGGCTGCACAGCTCGAC/R: CGCCATCTGGGTACAGACAG</w:t>
      </w:r>
    </w:p>
    <w:p w14:paraId="3521094D" w14:textId="4F0A61D2" w:rsidR="1608F3AB" w:rsidRPr="003073E3" w:rsidRDefault="1608F3AB" w:rsidP="003073E3">
      <w:pPr>
        <w:pStyle w:val="Heading1"/>
        <w:spacing w:before="240" w:line="480" w:lineRule="auto"/>
        <w:jc w:val="both"/>
        <w:rPr>
          <w:rFonts w:asciiTheme="minorHAnsi" w:eastAsia="Calibri" w:hAnsiTheme="minorHAnsi" w:cs="Calibri"/>
          <w:b/>
          <w:bCs/>
          <w:color w:val="000000" w:themeColor="text1"/>
          <w:sz w:val="24"/>
          <w:szCs w:val="24"/>
          <w:lang w:val="en-GB"/>
        </w:rPr>
      </w:pPr>
    </w:p>
    <w:p w14:paraId="716357F0" w14:textId="76540B37" w:rsidR="016C9697" w:rsidRPr="003073E3" w:rsidRDefault="1F7EDBFB" w:rsidP="003073E3">
      <w:pPr>
        <w:pStyle w:val="Heading1"/>
        <w:spacing w:before="240" w:line="480" w:lineRule="auto"/>
        <w:jc w:val="both"/>
        <w:rPr>
          <w:rFonts w:asciiTheme="minorHAnsi" w:eastAsia="Calibri" w:hAnsiTheme="minorHAnsi" w:cs="Calibri"/>
          <w:b/>
          <w:bCs/>
          <w:color w:val="000000" w:themeColor="text1"/>
          <w:sz w:val="24"/>
          <w:szCs w:val="24"/>
        </w:rPr>
      </w:pPr>
      <w:r w:rsidRPr="003073E3">
        <w:rPr>
          <w:rFonts w:asciiTheme="minorHAnsi" w:eastAsia="Calibri" w:hAnsiTheme="minorHAnsi" w:cs="Calibri"/>
          <w:b/>
          <w:bCs/>
          <w:color w:val="000000" w:themeColor="text1"/>
          <w:sz w:val="24"/>
          <w:szCs w:val="24"/>
          <w:lang w:val="en-GB"/>
        </w:rPr>
        <w:t xml:space="preserve">scRNA-Seq </w:t>
      </w:r>
    </w:p>
    <w:p w14:paraId="430B04A2" w14:textId="60915EB9" w:rsidR="48A77B55" w:rsidRPr="003073E3" w:rsidRDefault="48A77B55"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scRNA-Seq sample processing</w:t>
      </w:r>
    </w:p>
    <w:p w14:paraId="4AF94D1D" w14:textId="1FC5EACC" w:rsidR="48A77B55" w:rsidRPr="003073E3" w:rsidRDefault="48A77B55"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The finalised methodology for preparing HNSCC samples for the 10X Chromium pipeline was a two-stage digestion protocol designed to improve capture rates of stromal cells relative to immune cell subsets. The first stage of the enzymatic digestion was performed </w:t>
      </w:r>
      <w:r w:rsidRPr="003073E3">
        <w:rPr>
          <w:rFonts w:eastAsia="Calibri" w:cs="Calibri"/>
          <w:color w:val="000000" w:themeColor="text1"/>
          <w:lang w:val="en-GB"/>
        </w:rPr>
        <w:lastRenderedPageBreak/>
        <w:t xml:space="preserve">using </w:t>
      </w:r>
      <w:proofErr w:type="spellStart"/>
      <w:r w:rsidRPr="003073E3">
        <w:rPr>
          <w:rFonts w:eastAsia="Calibri" w:cs="Calibri"/>
          <w:color w:val="000000" w:themeColor="text1"/>
          <w:lang w:val="en-GB"/>
        </w:rPr>
        <w:t>Liberase</w:t>
      </w:r>
      <w:r w:rsidRPr="003073E3">
        <w:rPr>
          <w:rFonts w:eastAsia="Calibri" w:cs="Calibri"/>
          <w:color w:val="000000" w:themeColor="text1"/>
          <w:vertAlign w:val="superscript"/>
          <w:lang w:val="en-GB"/>
        </w:rPr>
        <w:t>TM</w:t>
      </w:r>
      <w:proofErr w:type="spellEnd"/>
      <w:r w:rsidRPr="003073E3">
        <w:rPr>
          <w:rFonts w:eastAsia="Calibri" w:cs="Calibri"/>
          <w:color w:val="000000" w:themeColor="text1"/>
          <w:vertAlign w:val="superscript"/>
          <w:lang w:val="en-GB"/>
        </w:rPr>
        <w:t xml:space="preserve"> </w:t>
      </w:r>
      <w:r w:rsidRPr="003073E3">
        <w:rPr>
          <w:rFonts w:eastAsia="Calibri" w:cs="Calibri"/>
          <w:color w:val="000000" w:themeColor="text1"/>
          <w:lang w:val="en-GB"/>
        </w:rPr>
        <w:t>(Sigma #5401020001)</w:t>
      </w:r>
      <w:r w:rsidRPr="003073E3">
        <w:rPr>
          <w:rFonts w:eastAsia="Calibri" w:cs="Calibri"/>
          <w:color w:val="000000" w:themeColor="text1"/>
          <w:vertAlign w:val="superscript"/>
          <w:lang w:val="en-GB"/>
        </w:rPr>
        <w:t xml:space="preserve"> </w:t>
      </w:r>
      <w:r w:rsidRPr="003073E3">
        <w:rPr>
          <w:rFonts w:eastAsia="Calibri" w:cs="Calibri"/>
          <w:color w:val="000000" w:themeColor="text1"/>
          <w:lang w:val="en-GB"/>
        </w:rPr>
        <w:t>at 100µg.mL</w:t>
      </w:r>
      <w:r w:rsidRPr="003073E3">
        <w:rPr>
          <w:rFonts w:eastAsia="Calibri" w:cs="Calibri"/>
          <w:color w:val="000000" w:themeColor="text1"/>
          <w:vertAlign w:val="superscript"/>
          <w:lang w:val="en-GB"/>
        </w:rPr>
        <w:t>-1</w:t>
      </w:r>
      <w:r w:rsidRPr="003073E3">
        <w:rPr>
          <w:rFonts w:eastAsia="Calibri" w:cs="Calibri"/>
          <w:color w:val="000000" w:themeColor="text1"/>
          <w:lang w:val="en-GB"/>
        </w:rPr>
        <w:t xml:space="preserve"> and DNASE-1 (Sigma #DN25) at 16 units.mL</w:t>
      </w:r>
      <w:r w:rsidRPr="003073E3">
        <w:rPr>
          <w:rFonts w:eastAsia="Calibri" w:cs="Calibri"/>
          <w:color w:val="000000" w:themeColor="text1"/>
          <w:vertAlign w:val="superscript"/>
          <w:lang w:val="en-GB"/>
        </w:rPr>
        <w:t>-1</w:t>
      </w:r>
      <w:r w:rsidRPr="003073E3">
        <w:rPr>
          <w:rFonts w:eastAsia="Calibri" w:cs="Calibri"/>
          <w:color w:val="000000" w:themeColor="text1"/>
          <w:lang w:val="en-GB"/>
        </w:rPr>
        <w:t xml:space="preserve"> in </w:t>
      </w:r>
      <w:proofErr w:type="spellStart"/>
      <w:r w:rsidRPr="003073E3">
        <w:rPr>
          <w:rFonts w:eastAsia="Calibri" w:cs="Calibri"/>
          <w:color w:val="000000" w:themeColor="text1"/>
          <w:lang w:val="en-GB"/>
        </w:rPr>
        <w:t>cDMEM</w:t>
      </w:r>
      <w:proofErr w:type="spellEnd"/>
      <w:r w:rsidRPr="003073E3">
        <w:rPr>
          <w:rFonts w:eastAsia="Calibri" w:cs="Calibri"/>
          <w:color w:val="000000" w:themeColor="text1"/>
          <w:lang w:val="en-GB"/>
        </w:rPr>
        <w:t xml:space="preserve">. The solution was sterile filtered using a 0.22µm syringe filter and the sample material was suspended in up to 5mL of </w:t>
      </w:r>
      <w:proofErr w:type="spellStart"/>
      <w:r w:rsidRPr="003073E3">
        <w:rPr>
          <w:rFonts w:eastAsia="Calibri" w:cs="Calibri"/>
          <w:color w:val="000000" w:themeColor="text1"/>
          <w:lang w:val="en-GB"/>
        </w:rPr>
        <w:t>cDMEM</w:t>
      </w:r>
      <w:proofErr w:type="spellEnd"/>
      <w:r w:rsidRPr="003073E3">
        <w:rPr>
          <w:rFonts w:eastAsia="Calibri" w:cs="Calibri"/>
          <w:color w:val="000000" w:themeColor="text1"/>
          <w:lang w:val="en-GB"/>
        </w:rPr>
        <w:t>/Liberase solution. This was allowed to digest for fifteen minutes (37</w:t>
      </w:r>
      <w:r w:rsidRPr="003073E3">
        <w:rPr>
          <w:rFonts w:eastAsia="Calibri" w:cs="Calibri"/>
          <w:color w:val="000000" w:themeColor="text1"/>
          <w:sz w:val="20"/>
          <w:szCs w:val="20"/>
          <w:vertAlign w:val="superscript"/>
          <w:lang w:val="en-GB"/>
        </w:rPr>
        <w:t>o</w:t>
      </w:r>
      <w:r w:rsidRPr="003073E3">
        <w:rPr>
          <w:rFonts w:eastAsia="Calibri" w:cs="Calibri"/>
          <w:color w:val="000000" w:themeColor="text1"/>
          <w:lang w:val="en-GB"/>
        </w:rPr>
        <w:t xml:space="preserve">C/150rpm) and then supernatant removed (liberase fraction). For the second stage </w:t>
      </w:r>
      <w:proofErr w:type="spellStart"/>
      <w:r w:rsidRPr="003073E3">
        <w:rPr>
          <w:rFonts w:eastAsia="Calibri" w:cs="Calibri"/>
          <w:color w:val="000000" w:themeColor="text1"/>
          <w:lang w:val="en-GB"/>
        </w:rPr>
        <w:t>cDMEM</w:t>
      </w:r>
      <w:proofErr w:type="spellEnd"/>
      <w:r w:rsidRPr="003073E3">
        <w:rPr>
          <w:rFonts w:eastAsia="Calibri" w:cs="Calibri"/>
          <w:color w:val="000000" w:themeColor="text1"/>
          <w:lang w:val="en-GB"/>
        </w:rPr>
        <w:t xml:space="preserve"> containing collagenase-P (Sigma #11213857001) at 3 units.ml</w:t>
      </w:r>
      <w:r w:rsidRPr="003073E3">
        <w:rPr>
          <w:rFonts w:eastAsia="Calibri" w:cs="Calibri"/>
          <w:color w:val="000000" w:themeColor="text1"/>
          <w:vertAlign w:val="superscript"/>
          <w:lang w:val="en-GB"/>
        </w:rPr>
        <w:t>-1</w:t>
      </w:r>
      <w:r w:rsidRPr="003073E3">
        <w:rPr>
          <w:rFonts w:eastAsia="Calibri" w:cs="Calibri"/>
          <w:color w:val="000000" w:themeColor="text1"/>
          <w:lang w:val="en-GB"/>
        </w:rPr>
        <w:t>, liberase at 100µg.mL</w:t>
      </w:r>
      <w:r w:rsidRPr="003073E3">
        <w:rPr>
          <w:rFonts w:eastAsia="Calibri" w:cs="Calibri"/>
          <w:color w:val="000000" w:themeColor="text1"/>
          <w:vertAlign w:val="superscript"/>
          <w:lang w:val="en-GB"/>
        </w:rPr>
        <w:t>-1</w:t>
      </w:r>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dispase</w:t>
      </w:r>
      <w:proofErr w:type="spellEnd"/>
      <w:r w:rsidRPr="003073E3">
        <w:rPr>
          <w:rFonts w:eastAsia="Calibri" w:cs="Calibri"/>
          <w:color w:val="000000" w:themeColor="text1"/>
          <w:lang w:val="en-GB"/>
        </w:rPr>
        <w:t xml:space="preserve"> (Sigma #D4693) at 0.5 units.mL</w:t>
      </w:r>
      <w:r w:rsidRPr="003073E3">
        <w:rPr>
          <w:rFonts w:eastAsia="Calibri" w:cs="Calibri"/>
          <w:color w:val="000000" w:themeColor="text1"/>
          <w:vertAlign w:val="superscript"/>
          <w:lang w:val="en-GB"/>
        </w:rPr>
        <w:t>-1</w:t>
      </w:r>
      <w:r w:rsidRPr="003073E3">
        <w:rPr>
          <w:rFonts w:eastAsia="Calibri" w:cs="Calibri"/>
          <w:color w:val="000000" w:themeColor="text1"/>
          <w:lang w:val="en-GB"/>
        </w:rPr>
        <w:t>, elastase (Sigma #E1250) at 400µg.mL</w:t>
      </w:r>
      <w:r w:rsidRPr="003073E3">
        <w:rPr>
          <w:rFonts w:eastAsia="Calibri" w:cs="Calibri"/>
          <w:color w:val="000000" w:themeColor="text1"/>
          <w:vertAlign w:val="superscript"/>
          <w:lang w:val="en-GB"/>
        </w:rPr>
        <w:t>-1</w:t>
      </w:r>
      <w:r w:rsidRPr="003073E3">
        <w:rPr>
          <w:rFonts w:eastAsia="Calibri" w:cs="Calibri"/>
          <w:color w:val="000000" w:themeColor="text1"/>
          <w:lang w:val="en-GB"/>
        </w:rPr>
        <w:t>, trypsin (Sigma #T4799) at a final concentration of 0.25%, and DNASE-1 (16 units.mL</w:t>
      </w:r>
      <w:r w:rsidRPr="003073E3">
        <w:rPr>
          <w:rFonts w:eastAsia="Calibri" w:cs="Calibri"/>
          <w:color w:val="000000" w:themeColor="text1"/>
          <w:vertAlign w:val="superscript"/>
          <w:lang w:val="en-GB"/>
        </w:rPr>
        <w:t>-1</w:t>
      </w:r>
      <w:r w:rsidRPr="003073E3">
        <w:rPr>
          <w:rFonts w:eastAsia="Calibri" w:cs="Calibri"/>
          <w:color w:val="000000" w:themeColor="text1"/>
          <w:lang w:val="en-GB"/>
        </w:rPr>
        <w:t>) was added to the remaining material through a 0.22µm sterile syringe filter. This second digest will be referred to as Col+ going forward. The Col+ digest was returned to the incubator (37</w:t>
      </w:r>
      <w:r w:rsidRPr="003073E3">
        <w:rPr>
          <w:rFonts w:eastAsia="Calibri" w:cs="Calibri"/>
          <w:color w:val="000000" w:themeColor="text1"/>
          <w:sz w:val="20"/>
          <w:szCs w:val="20"/>
          <w:vertAlign w:val="superscript"/>
          <w:lang w:val="en-GB"/>
        </w:rPr>
        <w:t>o</w:t>
      </w:r>
      <w:r w:rsidRPr="003073E3">
        <w:rPr>
          <w:rFonts w:eastAsia="Calibri" w:cs="Calibri"/>
          <w:color w:val="000000" w:themeColor="text1"/>
          <w:lang w:val="en-GB"/>
        </w:rPr>
        <w:t>C/150rpm) for up to a maximum of 45 minutes (or until digestion is complete), the supernatant was then transferred to a fresh sterile tube. Complete DMEM, up to 10 mL, was added to each fraction and both cell suspensions were pelleted at 350rcf for 5 minutes. Supernatant was removed and RBC lysis buffer (</w:t>
      </w:r>
      <w:proofErr w:type="spellStart"/>
      <w:r w:rsidRPr="003073E3">
        <w:rPr>
          <w:rFonts w:eastAsia="Calibri" w:cs="Calibri"/>
          <w:color w:val="000000" w:themeColor="text1"/>
          <w:lang w:val="en-GB"/>
        </w:rPr>
        <w:t>Biolegend</w:t>
      </w:r>
      <w:proofErr w:type="spellEnd"/>
      <w:r w:rsidRPr="003073E3">
        <w:rPr>
          <w:rFonts w:eastAsia="Calibri" w:cs="Calibri"/>
          <w:color w:val="000000" w:themeColor="text1"/>
          <w:lang w:val="en-GB"/>
        </w:rPr>
        <w:t xml:space="preserve"> #420301) used to remove erythrocytes for 10 minutes at 4</w:t>
      </w:r>
      <w:r w:rsidRPr="003073E3">
        <w:rPr>
          <w:rFonts w:eastAsia="Calibri" w:cs="Calibri"/>
          <w:color w:val="000000" w:themeColor="text1"/>
          <w:vertAlign w:val="superscript"/>
          <w:lang w:val="en-GB"/>
        </w:rPr>
        <w:t>o</w:t>
      </w:r>
      <w:r w:rsidRPr="003073E3">
        <w:rPr>
          <w:rFonts w:eastAsia="Calibri" w:cs="Calibri"/>
          <w:color w:val="000000" w:themeColor="text1"/>
          <w:lang w:val="en-GB"/>
        </w:rPr>
        <w:t>C. Each cell pellet was suspended in PBS containing 2% BSA-Fraction V (Scientific Lab Supplies #10735108001) and passed through a pre-wetted 40µm filter. Both samples were then counted, and viability assessed by Trypan blue exclusion. A final visual check of sample quality was also performed to ensure there were no large clumps of cells nor debris from the digestion. Finally, the two fractions were used to make a 100µL suspension of 100,000 cells of which 10,000 were from the liberase fraction and 90,000 from the Col+ fraction (1:9), and 2% BSA in PBS was used as the diluent. This cell suspension was then run immediately on the Chromium Controller.</w:t>
      </w:r>
    </w:p>
    <w:p w14:paraId="3568BB0F" w14:textId="39BC0737" w:rsidR="160FA244" w:rsidRPr="003073E3" w:rsidRDefault="160FA244" w:rsidP="003073E3">
      <w:pPr>
        <w:spacing w:line="480" w:lineRule="auto"/>
      </w:pPr>
    </w:p>
    <w:p w14:paraId="6A86BA62" w14:textId="06DB13B8" w:rsidR="47585EB5" w:rsidRPr="003073E3" w:rsidRDefault="47585EB5"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Sequence alignment and annotation</w:t>
      </w:r>
    </w:p>
    <w:p w14:paraId="42B5FEA6" w14:textId="3A8967FF" w:rsidR="4E2E865E" w:rsidRPr="003073E3" w:rsidRDefault="4E2E865E" w:rsidP="003073E3">
      <w:pPr>
        <w:spacing w:line="480" w:lineRule="auto"/>
        <w:rPr>
          <w:rFonts w:eastAsia="Calibri" w:cs="Calibri"/>
          <w:color w:val="000000" w:themeColor="text1"/>
          <w:lang w:val="en-GB"/>
        </w:rPr>
      </w:pPr>
      <w:r w:rsidRPr="003073E3">
        <w:rPr>
          <w:rFonts w:eastAsia="Calibri" w:cs="Calibri"/>
          <w:color w:val="000000" w:themeColor="text1"/>
          <w:lang w:val="en-GB"/>
        </w:rPr>
        <w:t xml:space="preserve">HPV reference sequences were downloaded from </w:t>
      </w:r>
      <w:proofErr w:type="spellStart"/>
      <w:r w:rsidRPr="003073E3">
        <w:rPr>
          <w:rFonts w:eastAsia="Calibri" w:cs="Calibri"/>
          <w:color w:val="000000" w:themeColor="text1"/>
          <w:lang w:val="en-GB"/>
        </w:rPr>
        <w:t>PaVE</w:t>
      </w:r>
      <w:proofErr w:type="spellEnd"/>
      <w:r w:rsidRPr="003073E3">
        <w:rPr>
          <w:rFonts w:eastAsia="Calibri" w:cs="Calibri"/>
          <w:color w:val="000000" w:themeColor="text1"/>
          <w:lang w:val="en-GB"/>
        </w:rPr>
        <w:t>: The Papillomavirus Episteme (https://pave.niaid.nih.gov). The HPV-16 reference sequence (NC_001526) was used in the first instance and in cases requiring further identification of the HPV subtype references including HPV-33 (OQ_672679) and HPV-18 (NC_001357) were also created. In all cases the individual exons of HPV were identified in the FASTA and .GTF files to allow identification during alignment.</w:t>
      </w:r>
    </w:p>
    <w:p w14:paraId="7243240B" w14:textId="697DDCCC" w:rsidR="47585EB5" w:rsidRPr="003073E3" w:rsidRDefault="47585EB5"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Normalisation and integration of scRNA-Seq data</w:t>
      </w:r>
    </w:p>
    <w:p w14:paraId="04DA6897" w14:textId="5EACCC3F" w:rsidR="47585EB5" w:rsidRPr="003073E3" w:rsidRDefault="47585EB5" w:rsidP="003073E3">
      <w:pPr>
        <w:spacing w:line="480" w:lineRule="auto"/>
        <w:rPr>
          <w:rFonts w:eastAsia="Calibri" w:cs="Calibri"/>
          <w:color w:val="000000" w:themeColor="text1"/>
          <w:lang w:val="en-GB"/>
        </w:rPr>
      </w:pPr>
      <w:proofErr w:type="spellStart"/>
      <w:r w:rsidRPr="003073E3">
        <w:rPr>
          <w:rFonts w:eastAsia="Calibri" w:cs="Calibri"/>
          <w:color w:val="000000" w:themeColor="text1"/>
          <w:lang w:val="en-GB"/>
        </w:rPr>
        <w:t>SCTransform</w:t>
      </w:r>
      <w:proofErr w:type="spellEnd"/>
      <w:r w:rsidRPr="003073E3">
        <w:rPr>
          <w:rFonts w:eastAsia="Calibri" w:cs="Calibri"/>
          <w:color w:val="000000" w:themeColor="text1"/>
          <w:lang w:val="en-GB"/>
        </w:rPr>
        <w:t xml:space="preserve"> (using variance-stabilizing transformation) was used to normalise each patient sample separately, before then integrating the dataset using Seurat’s reciprocal PCA (RPCA) integration workflow – selected due to the more conservative integrative approach and large cell number. scRNA-Seq integration was performed using IRIDIS High Performance Computing Facility (University of Southampton). </w:t>
      </w:r>
      <w:proofErr w:type="spellStart"/>
      <w:r w:rsidRPr="003073E3">
        <w:rPr>
          <w:rFonts w:eastAsia="Calibri" w:cs="Calibri"/>
          <w:color w:val="000000" w:themeColor="text1"/>
          <w:lang w:val="en-GB"/>
        </w:rPr>
        <w:t>SelectIntegration</w:t>
      </w:r>
      <w:proofErr w:type="spellEnd"/>
      <w:r w:rsidRPr="003073E3">
        <w:rPr>
          <w:rFonts w:eastAsia="Calibri" w:cs="Calibri"/>
          <w:color w:val="000000" w:themeColor="text1"/>
          <w:lang w:val="en-GB"/>
        </w:rPr>
        <w:t xml:space="preserve"> features, </w:t>
      </w:r>
      <w:proofErr w:type="spellStart"/>
      <w:r w:rsidRPr="003073E3">
        <w:rPr>
          <w:rFonts w:eastAsia="Calibri" w:cs="Calibri"/>
          <w:color w:val="000000" w:themeColor="text1"/>
          <w:lang w:val="en-GB"/>
        </w:rPr>
        <w:t>PrepSCTIntegration</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FindIntegrationAnchors</w:t>
      </w:r>
      <w:proofErr w:type="spellEnd"/>
      <w:r w:rsidRPr="003073E3">
        <w:rPr>
          <w:rFonts w:eastAsia="Calibri" w:cs="Calibri"/>
          <w:color w:val="000000" w:themeColor="text1"/>
          <w:lang w:val="en-GB"/>
        </w:rPr>
        <w:t xml:space="preserve"> and </w:t>
      </w:r>
      <w:proofErr w:type="spellStart"/>
      <w:r w:rsidRPr="003073E3">
        <w:rPr>
          <w:rFonts w:eastAsia="Calibri" w:cs="Calibri"/>
          <w:color w:val="000000" w:themeColor="text1"/>
          <w:lang w:val="en-GB"/>
        </w:rPr>
        <w:t>IntegrateData</w:t>
      </w:r>
      <w:proofErr w:type="spellEnd"/>
      <w:r w:rsidRPr="003073E3">
        <w:rPr>
          <w:rFonts w:eastAsia="Calibri" w:cs="Calibri"/>
          <w:color w:val="000000" w:themeColor="text1"/>
          <w:lang w:val="en-GB"/>
        </w:rPr>
        <w:t xml:space="preserve"> were run specifying “SCT” normalisation method and using default parameters as outlined (</w:t>
      </w:r>
      <w:hyperlink r:id="rId23">
        <w:r w:rsidRPr="003073E3">
          <w:rPr>
            <w:rStyle w:val="Hyperlink"/>
            <w:rFonts w:eastAsia="Calibri" w:cs="Calibri"/>
            <w:lang w:val="en-GB"/>
          </w:rPr>
          <w:t>https://satijalab.org/seurat/articles/integration_rpca.html</w:t>
        </w:r>
      </w:hyperlink>
      <w:r w:rsidRPr="003073E3">
        <w:rPr>
          <w:rFonts w:eastAsia="Calibri" w:cs="Calibri"/>
          <w:color w:val="000000" w:themeColor="text1"/>
          <w:lang w:val="en-GB"/>
        </w:rPr>
        <w:t>).</w:t>
      </w:r>
    </w:p>
    <w:p w14:paraId="66876338" w14:textId="282FAB37" w:rsidR="160FA244" w:rsidRPr="003073E3" w:rsidRDefault="160FA244" w:rsidP="003073E3">
      <w:pPr>
        <w:pStyle w:val="Heading1"/>
        <w:spacing w:before="240" w:line="480" w:lineRule="auto"/>
        <w:jc w:val="both"/>
        <w:rPr>
          <w:rFonts w:asciiTheme="minorHAnsi" w:eastAsia="Calibri" w:hAnsiTheme="minorHAnsi" w:cs="Calibri"/>
          <w:color w:val="000000" w:themeColor="text1"/>
          <w:sz w:val="24"/>
          <w:szCs w:val="24"/>
          <w:u w:val="single"/>
          <w:lang w:val="en-GB"/>
        </w:rPr>
      </w:pPr>
    </w:p>
    <w:p w14:paraId="629D63AD" w14:textId="5F6FC89F" w:rsidR="5D9FCD40" w:rsidRPr="003073E3" w:rsidRDefault="5D9FCD40" w:rsidP="003073E3">
      <w:pPr>
        <w:pStyle w:val="Heading1"/>
        <w:spacing w:before="240" w:line="480" w:lineRule="auto"/>
        <w:jc w:val="both"/>
        <w:rPr>
          <w:rFonts w:asciiTheme="minorHAnsi" w:eastAsia="Calibri" w:hAnsiTheme="minorHAnsi" w:cs="Calibri"/>
          <w:color w:val="000000" w:themeColor="text1"/>
          <w:sz w:val="24"/>
          <w:szCs w:val="24"/>
          <w:u w:val="single"/>
          <w:lang w:val="en-GB"/>
        </w:rPr>
      </w:pPr>
      <w:r w:rsidRPr="003073E3">
        <w:rPr>
          <w:rFonts w:asciiTheme="minorHAnsi" w:eastAsia="Calibri" w:hAnsiTheme="minorHAnsi" w:cs="Calibri"/>
          <w:color w:val="000000" w:themeColor="text1"/>
          <w:sz w:val="24"/>
          <w:szCs w:val="24"/>
          <w:u w:val="single"/>
          <w:lang w:val="en-GB"/>
        </w:rPr>
        <w:t>Doublet detection</w:t>
      </w:r>
    </w:p>
    <w:p w14:paraId="6B8E34A9" w14:textId="13752856" w:rsidR="5D9FCD40" w:rsidRPr="003073E3" w:rsidRDefault="5D9FCD40" w:rsidP="003073E3">
      <w:pPr>
        <w:spacing w:line="480" w:lineRule="auto"/>
        <w:jc w:val="both"/>
        <w:rPr>
          <w:rFonts w:eastAsia="Calibri" w:cs="Calibri"/>
          <w:color w:val="000000" w:themeColor="text1"/>
          <w:lang w:val="en-GB"/>
        </w:rPr>
      </w:pPr>
      <w:r w:rsidRPr="003073E3">
        <w:rPr>
          <w:rFonts w:eastAsia="Calibri" w:cs="Calibri"/>
          <w:color w:val="000000" w:themeColor="text1"/>
          <w:lang w:val="en-GB"/>
        </w:rPr>
        <w:t xml:space="preserve">We manually detected and subsequently removed doublets, carried out by incrementally increasing clustering resolutions and identifying DEGs (via </w:t>
      </w:r>
      <w:proofErr w:type="spellStart"/>
      <w:r w:rsidRPr="003073E3">
        <w:rPr>
          <w:rFonts w:eastAsia="Calibri" w:cs="Calibri"/>
          <w:color w:val="000000" w:themeColor="text1"/>
          <w:lang w:val="en-GB"/>
        </w:rPr>
        <w:t>FindMarkers</w:t>
      </w:r>
      <w:proofErr w:type="spellEnd"/>
      <w:r w:rsidRPr="003073E3">
        <w:rPr>
          <w:rFonts w:eastAsia="Calibri" w:cs="Calibri"/>
          <w:color w:val="000000" w:themeColor="text1"/>
          <w:lang w:val="en-GB"/>
        </w:rPr>
        <w:t>). In addition to this, for fibroblast analysis, the assay was changed to “RNA” in the integrated cells, new variable features were found, followed by PCA and clustering in which distinct cell clusters expressing contaminating cell type markers were removed. Fibroblasts were then re-clustered using the original “integrated” assay (recalculating PCA, UMAP and clustering).</w:t>
      </w:r>
    </w:p>
    <w:p w14:paraId="59D8EF81" w14:textId="1020D78A" w:rsidR="160FA244" w:rsidRPr="003073E3" w:rsidRDefault="160FA244" w:rsidP="003073E3">
      <w:pPr>
        <w:spacing w:line="480" w:lineRule="auto"/>
        <w:rPr>
          <w:rFonts w:eastAsia="Calibri" w:cs="Calibri"/>
          <w:color w:val="000000" w:themeColor="text1"/>
          <w:lang w:val="en-GB"/>
        </w:rPr>
      </w:pPr>
    </w:p>
    <w:p w14:paraId="0B93DF7E" w14:textId="46A9B94C" w:rsidR="66D6910A" w:rsidRPr="003073E3" w:rsidRDefault="66D6910A" w:rsidP="003073E3">
      <w:pPr>
        <w:pStyle w:val="Heading1"/>
        <w:spacing w:line="480" w:lineRule="auto"/>
        <w:rPr>
          <w:rFonts w:asciiTheme="minorHAnsi" w:eastAsia="Calibri" w:hAnsiTheme="minorHAnsi" w:cs="Calibri"/>
          <w:color w:val="000000" w:themeColor="text1"/>
          <w:sz w:val="24"/>
          <w:szCs w:val="24"/>
          <w:u w:val="single"/>
          <w:lang w:val="en-GB"/>
        </w:rPr>
      </w:pPr>
      <w:r w:rsidRPr="003073E3">
        <w:rPr>
          <w:rFonts w:asciiTheme="minorHAnsi" w:eastAsia="Calibri" w:hAnsiTheme="minorHAnsi" w:cs="Calibri"/>
          <w:color w:val="000000" w:themeColor="text1"/>
          <w:sz w:val="24"/>
          <w:szCs w:val="24"/>
          <w:u w:val="single"/>
          <w:lang w:val="en-GB"/>
        </w:rPr>
        <w:t>HNSCC inter-dataset integration</w:t>
      </w:r>
    </w:p>
    <w:p w14:paraId="35B10024" w14:textId="35629330" w:rsidR="66D6910A" w:rsidRPr="003073E3" w:rsidRDefault="66D6910A" w:rsidP="003073E3">
      <w:pPr>
        <w:spacing w:line="480" w:lineRule="auto"/>
        <w:jc w:val="both"/>
        <w:rPr>
          <w:rFonts w:eastAsia="Calibri" w:cs="Calibri"/>
          <w:color w:val="000000" w:themeColor="text1"/>
          <w:lang w:val="en-GB"/>
        </w:rPr>
      </w:pPr>
      <w:r w:rsidRPr="003073E3">
        <w:rPr>
          <w:rFonts w:eastAsia="Calibri" w:cs="Calibri"/>
          <w:color w:val="000000" w:themeColor="text1"/>
          <w:lang w:val="en-GB"/>
        </w:rPr>
        <w:t xml:space="preserve">We obtained scRNA-Seq data from GSE164690 </w:t>
      </w:r>
      <w:r w:rsidR="00F00A0C">
        <w:rPr>
          <w:rFonts w:eastAsia="Calibri" w:cs="Calibri"/>
          <w:color w:val="000000" w:themeColor="text1"/>
          <w:lang w:val="en-GB"/>
        </w:rPr>
        <w:fldChar w:fldCharType="begin"/>
      </w:r>
      <w:r w:rsidR="00F00A0C">
        <w:rPr>
          <w:rFonts w:eastAsia="Calibri" w:cs="Calibri"/>
          <w:color w:val="000000" w:themeColor="text1"/>
          <w:lang w:val="en-GB"/>
        </w:rPr>
        <w:instrText xml:space="preserve"> ADDIN ZOTERO_ITEM CSL_CITATION {"citationID":"w6cEnCQl","properties":{"formattedCitation":"[7]","plainCitation":"[7]","noteIndex":0},"citationItems":[{"id":2156,"uris":["http://zotero.org/users/8473258/items/H3X7ZDHK"],"itemData":{"id":2156,"type":"article-journal","abstract":"Head and neck squamous cell carcinoma (HNSCC) is characterized by complex relations between stromal, epithelial, and immune cells within the tumor microenvironment (TME). To enable the development of more efficacious therapies, we aim to study the heterogeneity, signatures of unique cell populations, and cell-cell interactions of non-immune and immune cell populations in 6 human papillomavirus (HPV)+ and 12 HPV– HNSCC patient tumor and matched peripheral blood specimens using single-cell RNA sequencing. Using this dataset of 134,606 cells, we show cell type-specific signatures associated with inflammation and HPV status, describe the negative prognostic value of fibroblasts with elastic differentiation specifically in the HPV+ TME, predict therapeutically targetable checkpoint receptor-ligand interactions, and show that tumor-associated macrophages are dominant contributors of PD-L1 and other immune checkpoint ligands in the TME. We present a comprehensive single-cell view of cell-intrinsic mechanisms and cell-cell communication shaping the HNSCC microenvironment., The tumor microenvironment (TME) has an important role in Head and Neck Squamous Cell Carcinoma (HNSCC) progression. Here, using single-cell RNA sequencing and multiplexed imaging, the authors report the cellular complexity of the TME in patients with HNSCC, exploring inflammatory status, stromal heterogeneity and immune checkpoint receptor-ligand interactions.","container-title":"Nature Communications","DOI":"10.1038/s41467-021-27619-4","ISSN":"2041-1723","journalAbbreviation":"Nat Commun","note":"PMID: 34921143\nPMCID: PMC8683505","page":"7338","source":"PubMed Central","title":"Investigating immune and non-immune cell interactions in head and neck tumors by single-cell RNA sequencing","volume":"12","author":[{"family":"Kürten","given":"Cornelius H. L."},{"family":"Kulkarni","given":"Aditi"},{"family":"Cillo","given":"Anthony R."},{"family":"Santos","given":"Patricia M."},{"family":"Roble","given":"Anna K."},{"family":"Onkar","given":"Sayali"},{"family":"Reeder","given":"Carly"},{"family":"Lang","given":"Stephan"},{"family":"Chen","given":"Xueer"},{"family":"Duvvuri","given":"Umamaheswar"},{"family":"Kim","given":"Seungwon"},{"family":"Liu","given":"Angen"},{"family":"Tabib","given":"Tracy"},{"family":"Lafyatis","given":"Robert"},{"family":"Feng","given":"Jian"},{"family":"Gao","given":"Shou-Jiang"},{"family":"Bruno","given":"Tullia C."},{"family":"Vignali","given":"Dario A. A."},{"family":"Lu","given":"Xinghua"},{"family":"Bao","given":"Riyue"},{"family":"Vujanovic","given":"Lazar"},{"family":"Ferris","given":"Robert L."}],"issued":{"date-parts":[["2021",12,17]]}}}],"schema":"https://github.com/citation-style-language/schema/raw/master/csl-citation.json"} </w:instrText>
      </w:r>
      <w:r w:rsidR="00F00A0C">
        <w:rPr>
          <w:rFonts w:eastAsia="Calibri" w:cs="Calibri"/>
          <w:color w:val="000000" w:themeColor="text1"/>
          <w:lang w:val="en-GB"/>
        </w:rPr>
        <w:fldChar w:fldCharType="separate"/>
      </w:r>
      <w:r w:rsidR="00F00A0C">
        <w:rPr>
          <w:rFonts w:eastAsia="Calibri" w:cs="Calibri"/>
          <w:noProof/>
          <w:color w:val="000000" w:themeColor="text1"/>
          <w:lang w:val="en-GB"/>
        </w:rPr>
        <w:t>[7]</w:t>
      </w:r>
      <w:r w:rsidR="00F00A0C">
        <w:rPr>
          <w:rFonts w:eastAsia="Calibri" w:cs="Calibri"/>
          <w:color w:val="000000" w:themeColor="text1"/>
          <w:lang w:val="en-GB"/>
        </w:rPr>
        <w:fldChar w:fldCharType="end"/>
      </w:r>
      <w:r w:rsidRPr="003073E3">
        <w:rPr>
          <w:rFonts w:eastAsia="Calibri" w:cs="Calibri"/>
          <w:color w:val="000000" w:themeColor="text1"/>
          <w:lang w:val="en-GB"/>
        </w:rPr>
        <w:t>. The data was processed as outlined above, with 10% used as the mitochondrial gene percentage threshold. We omitted peripheral blood specimens and 1 HNSCC sample from the larynx to leave CD45/</w:t>
      </w:r>
      <w:r w:rsidRPr="003073E3">
        <w:rPr>
          <w:rFonts w:eastAsia="Calibri" w:cs="Calibri"/>
          <w:i/>
          <w:iCs/>
          <w:color w:val="000000" w:themeColor="text1"/>
          <w:lang w:val="en-GB"/>
        </w:rPr>
        <w:t>PTPRC</w:t>
      </w:r>
      <w:r w:rsidRPr="003073E3">
        <w:rPr>
          <w:rFonts w:eastAsia="Calibri" w:cs="Calibri"/>
          <w:color w:val="000000" w:themeColor="text1"/>
          <w:lang w:val="en-GB"/>
        </w:rPr>
        <w:t>+ and CD45/</w:t>
      </w:r>
      <w:r w:rsidRPr="003073E3">
        <w:rPr>
          <w:rFonts w:eastAsia="Calibri" w:cs="Calibri"/>
          <w:i/>
          <w:iCs/>
          <w:color w:val="000000" w:themeColor="text1"/>
          <w:lang w:val="en-GB"/>
        </w:rPr>
        <w:t>PTPRC</w:t>
      </w:r>
      <w:r w:rsidRPr="003073E3">
        <w:rPr>
          <w:rFonts w:eastAsia="Calibri" w:cs="Calibri"/>
          <w:color w:val="000000" w:themeColor="text1"/>
          <w:lang w:val="en-GB"/>
        </w:rPr>
        <w:t xml:space="preserve">- samples from oropharynx and oral cavity </w:t>
      </w:r>
      <w:r w:rsidR="00F00A0C" w:rsidRPr="003073E3">
        <w:rPr>
          <w:rFonts w:eastAsia="Calibri" w:cs="Calibri"/>
          <w:color w:val="000000" w:themeColor="text1"/>
          <w:lang w:val="en-GB"/>
        </w:rPr>
        <w:t>tumours</w:t>
      </w:r>
      <w:r w:rsidRPr="003073E3">
        <w:rPr>
          <w:rFonts w:eastAsia="Calibri" w:cs="Calibri"/>
          <w:color w:val="000000" w:themeColor="text1"/>
          <w:lang w:val="en-GB"/>
        </w:rPr>
        <w:t xml:space="preserve">. We initially integrated the datasets via splitting per patient sample for </w:t>
      </w:r>
      <w:proofErr w:type="spellStart"/>
      <w:r w:rsidRPr="003073E3">
        <w:rPr>
          <w:rFonts w:eastAsia="Calibri" w:cs="Calibri"/>
          <w:color w:val="000000" w:themeColor="text1"/>
          <w:lang w:val="en-GB"/>
        </w:rPr>
        <w:t>SCTransform</w:t>
      </w:r>
      <w:proofErr w:type="spellEnd"/>
      <w:r w:rsidRPr="003073E3">
        <w:rPr>
          <w:rFonts w:eastAsia="Calibri" w:cs="Calibri"/>
          <w:color w:val="000000" w:themeColor="text1"/>
          <w:lang w:val="en-GB"/>
        </w:rPr>
        <w:t xml:space="preserve"> and using Seurat’s RPCA integration again – generating an integrated HNSCC dataset of all cells (159,826 cells). However, for finer analysis of individual cell types we altered the method. Due to GSE164690 dataset consisting of CD45-/+ fractions sorted via fluorescence-activated cell sorting prior to scRNA-Seq, we separated our in-house dataset into CD45+ and CD45- objects based on the annotated integrated UMAP. Seurat’s RPCA integration was carried out separately (as outlined previously) to generate two integrated HNSCC objects, one containing immune </w:t>
      </w:r>
      <w:r w:rsidRPr="003073E3">
        <w:rPr>
          <w:rFonts w:eastAsia="Calibri" w:cs="Calibri"/>
          <w:color w:val="000000" w:themeColor="text1"/>
          <w:lang w:val="en-GB"/>
        </w:rPr>
        <w:lastRenderedPageBreak/>
        <w:t>cells only (CD45+) and another for non-immune cells (CD45-). Subsetting of clusters of interest was performed in which PCA was recalculated in subset of cells followed by UMAP, clustering and manual annotation; with contaminating clusters removed.</w:t>
      </w:r>
    </w:p>
    <w:p w14:paraId="183C1E8C" w14:textId="2DCC5B1E" w:rsidR="160FA244" w:rsidRPr="003073E3" w:rsidRDefault="160FA244" w:rsidP="003073E3">
      <w:pPr>
        <w:spacing w:line="480" w:lineRule="auto"/>
        <w:rPr>
          <w:rFonts w:eastAsia="Calibri" w:cs="Calibri"/>
          <w:color w:val="000000" w:themeColor="text1"/>
          <w:lang w:val="en-GB"/>
        </w:rPr>
      </w:pPr>
    </w:p>
    <w:p w14:paraId="485C6897" w14:textId="433B1F08" w:rsidR="410C53C1" w:rsidRPr="003073E3" w:rsidRDefault="410C53C1" w:rsidP="003073E3">
      <w:pPr>
        <w:pStyle w:val="Heading1"/>
        <w:spacing w:before="240" w:line="480" w:lineRule="auto"/>
        <w:jc w:val="both"/>
        <w:rPr>
          <w:rFonts w:asciiTheme="minorHAnsi" w:eastAsia="Calibri" w:hAnsiTheme="minorHAnsi" w:cs="Calibri"/>
          <w:b/>
          <w:bCs/>
          <w:color w:val="000000" w:themeColor="text1"/>
          <w:sz w:val="24"/>
          <w:szCs w:val="24"/>
        </w:rPr>
      </w:pPr>
      <w:r w:rsidRPr="003073E3">
        <w:rPr>
          <w:rFonts w:asciiTheme="minorHAnsi" w:eastAsia="Calibri" w:hAnsiTheme="minorHAnsi" w:cs="Calibri"/>
          <w:b/>
          <w:bCs/>
          <w:color w:val="000000" w:themeColor="text1"/>
          <w:sz w:val="24"/>
          <w:szCs w:val="24"/>
          <w:lang w:val="en-GB"/>
        </w:rPr>
        <w:t>Pan-Cancer Fibroblast Atlas (PCFA)</w:t>
      </w:r>
    </w:p>
    <w:p w14:paraId="3276B2CC" w14:textId="25910006" w:rsidR="410C53C1" w:rsidRPr="003073E3" w:rsidRDefault="410C53C1"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Datasets</w:t>
      </w:r>
    </w:p>
    <w:p w14:paraId="04FF1ABD" w14:textId="04374FF6" w:rsidR="410C53C1" w:rsidRPr="003073E3" w:rsidRDefault="410C53C1"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We selected datasets for the PCFA that contained both normal and (primary) </w:t>
      </w:r>
      <w:r w:rsidR="00F00A0C" w:rsidRPr="003073E3">
        <w:rPr>
          <w:rFonts w:eastAsia="Calibri" w:cs="Calibri"/>
          <w:color w:val="000000" w:themeColor="text1"/>
          <w:lang w:val="en-GB"/>
        </w:rPr>
        <w:t>tumour</w:t>
      </w:r>
      <w:r w:rsidRPr="003073E3">
        <w:rPr>
          <w:rFonts w:eastAsia="Calibri" w:cs="Calibri"/>
          <w:color w:val="000000" w:themeColor="text1"/>
          <w:lang w:val="en-GB"/>
        </w:rPr>
        <w:t xml:space="preserve"> samples and were generated using the 10x Chromium platform. The datasets are as follows. Lung datasets (Kim_Lee_2020, He_Fan_2021, Lambrechts_Thienpont_2018_6149v2) were retrieved from the integrated NSCLC transcriptome atlas (</w:t>
      </w:r>
      <w:hyperlink r:id="rId24">
        <w:r w:rsidRPr="003073E3">
          <w:rPr>
            <w:rStyle w:val="Hyperlink"/>
            <w:rFonts w:eastAsia="Calibri" w:cs="Calibri"/>
            <w:lang w:val="en-GB"/>
          </w:rPr>
          <w:t>https://cellxgene.cziscience.com/collections/edb893ee-4066-4128-9aec-5eb2b03f8287</w:t>
        </w:r>
      </w:hyperlink>
      <w:r w:rsidRPr="003073E3">
        <w:rPr>
          <w:rFonts w:eastAsia="Calibri" w:cs="Calibri"/>
          <w:color w:val="000000" w:themeColor="text1"/>
          <w:lang w:val="en-GB"/>
        </w:rPr>
        <w:t xml:space="preserve">) </w:t>
      </w:r>
      <w:r w:rsidR="00F00A0C">
        <w:rPr>
          <w:rFonts w:eastAsia="Calibri" w:cs="Calibri"/>
          <w:color w:val="000000" w:themeColor="text1"/>
          <w:lang w:val="en-GB"/>
        </w:rPr>
        <w:fldChar w:fldCharType="begin"/>
      </w:r>
      <w:r w:rsidR="00F00A0C">
        <w:rPr>
          <w:rFonts w:eastAsia="Calibri" w:cs="Calibri"/>
          <w:color w:val="000000" w:themeColor="text1"/>
          <w:lang w:val="en-GB"/>
        </w:rPr>
        <w:instrText xml:space="preserve"> ADDIN ZOTERO_ITEM CSL_CITATION {"citationID":"jht5eMnR","properties":{"formattedCitation":"[8]","plainCitation":"[8]","noteIndex":0},"citationItems":[{"id":2502,"uris":["http://zotero.org/users/8473258/items/CXYH5XX2"],"itemData":{"id":2502,"type":"article-journal","abstract":"Non-small cell lung cancer (NSCLC) is characterized by molecular heterogeneity with diverse immune cell infiltration patterns, which has been linked to therapy sensitivity and resistance. However, full understanding of how immune cell phenotypes vary across different patient subgroups is lacking. Here, we dissect the NSCLC tumor microenvironment at high resolution by integrating 1,283,972 single cells from 556 samples and 318 patients across 29 datasets, including our dataset capturing cells with low mRNA content. We stratify patients into immune-deserted, B cell, T cell, and myeloid cell subtypes. Using bulk samples with genomic and clinical information, we identify cellular components associated with tumor histology and genotypes. We then focus on the analysis of tissue-resident neutrophils (TRNs) and uncover distinct subpopulations that acquire new functional properties in the tissue microenvironment, providing evidence for the plasticity of TRNs. Finally, we show that a TRN-derived gene signature is associated with anti-programmed cell death ligand 1 (PD-L1) treatment failure.","container-title":"Cancer Cell","DOI":"10.1016/j.ccell.2022.10.008","ISSN":"1535-6108","issue":"12","journalAbbreviation":"Cancer Cell","page":"1503-1520.e8","source":"ScienceDirect","title":"High-resolution single-cell atlas reveals diversity and plasticity of tissue-resident neutrophils in non-small cell lung cancer","volume":"40","author":[{"family":"Salcher","given":"Stefan"},{"family":"Sturm","given":"Gregor"},{"family":"Horvath","given":"Lena"},{"family":"Untergasser","given":"Gerold"},{"family":"Kuempers","given":"Christiane"},{"family":"Fotakis","given":"Georgios"},{"family":"Panizzolo","given":"Elisa"},{"family":"Martowicz","given":"Agnieszka"},{"family":"Trebo","given":"Manuel"},{"family":"Pall","given":"Georg"},{"family":"Gamerith","given":"Gabriele"},{"family":"Sykora","given":"Martina"},{"family":"Augustin","given":"Florian"},{"family":"Schmitz","given":"Katja"},{"family":"Finotello","given":"Francesca"},{"family":"Rieder","given":"Dietmar"},{"family":"Perner","given":"Sven"},{"family":"Sopper","given":"Sieghart"},{"family":"Wolf","given":"Dominik"},{"family":"Pircher","given":"Andreas"},{"family":"Trajanoski","given":"Zlatko"}],"issued":{"date-parts":[["2022",12,12]]}}}],"schema":"https://github.com/citation-style-language/schema/raw/master/csl-citation.json"} </w:instrText>
      </w:r>
      <w:r w:rsidR="00F00A0C">
        <w:rPr>
          <w:rFonts w:eastAsia="Calibri" w:cs="Calibri"/>
          <w:color w:val="000000" w:themeColor="text1"/>
          <w:lang w:val="en-GB"/>
        </w:rPr>
        <w:fldChar w:fldCharType="separate"/>
      </w:r>
      <w:r w:rsidR="00F00A0C">
        <w:rPr>
          <w:rFonts w:eastAsia="Calibri" w:cs="Calibri"/>
          <w:noProof/>
          <w:color w:val="000000" w:themeColor="text1"/>
          <w:lang w:val="en-GB"/>
        </w:rPr>
        <w:t>[8]</w:t>
      </w:r>
      <w:r w:rsidR="00F00A0C">
        <w:rPr>
          <w:rFonts w:eastAsia="Calibri" w:cs="Calibri"/>
          <w:color w:val="000000" w:themeColor="text1"/>
          <w:lang w:val="en-GB"/>
        </w:rPr>
        <w:fldChar w:fldCharType="end"/>
      </w:r>
      <w:r w:rsidRPr="003073E3">
        <w:rPr>
          <w:rFonts w:eastAsia="Calibri" w:cs="Calibri"/>
          <w:color w:val="000000" w:themeColor="text1"/>
          <w:lang w:val="en-GB"/>
        </w:rPr>
        <w:t xml:space="preserve">. The following datasets were downloaded from the Gene Expression Omnibus: Breast (GSE161529), Gastric (GSE150290), Oesophageal (GSE160269) and Colorectal (GSE178341). The pancreatic cancer dataset was retrieved from the Genome Sequence Archive under project PRJCA001063. </w:t>
      </w:r>
    </w:p>
    <w:p w14:paraId="70E60ED8" w14:textId="2D01CA90" w:rsidR="410C53C1" w:rsidRPr="003073E3" w:rsidRDefault="410C53C1"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Workflow</w:t>
      </w:r>
    </w:p>
    <w:p w14:paraId="1F7ECE0D" w14:textId="39F9FE7B" w:rsidR="410C53C1" w:rsidRPr="003073E3" w:rsidRDefault="410C53C1" w:rsidP="003073E3">
      <w:pPr>
        <w:spacing w:line="480" w:lineRule="auto"/>
        <w:jc w:val="both"/>
        <w:rPr>
          <w:rFonts w:eastAsia="Calibri" w:cs="Calibri"/>
          <w:color w:val="000000" w:themeColor="text1"/>
        </w:rPr>
      </w:pPr>
      <w:r w:rsidRPr="003073E3">
        <w:rPr>
          <w:rFonts w:eastAsia="Calibri" w:cs="Calibri"/>
          <w:color w:val="000000" w:themeColor="text1"/>
          <w:lang w:val="en-GB"/>
        </w:rPr>
        <w:t>Each dataset was initially processed separately, in which the 10</w:t>
      </w:r>
      <w:r w:rsidR="00F00A0C">
        <w:rPr>
          <w:rFonts w:eastAsia="Calibri" w:cs="Calibri"/>
          <w:color w:val="000000" w:themeColor="text1"/>
          <w:lang w:val="en-GB"/>
        </w:rPr>
        <w:t>x</w:t>
      </w:r>
      <w:r w:rsidRPr="003073E3">
        <w:rPr>
          <w:rFonts w:eastAsia="Calibri" w:cs="Calibri"/>
          <w:color w:val="000000" w:themeColor="text1"/>
          <w:lang w:val="en-GB"/>
        </w:rPr>
        <w:t xml:space="preserve"> feature matrices were read in along with patient metadata and Seurat objects were object generated (</w:t>
      </w:r>
      <w:proofErr w:type="spellStart"/>
      <w:r w:rsidRPr="003073E3">
        <w:rPr>
          <w:rFonts w:eastAsia="Calibri" w:cs="Calibri"/>
          <w:color w:val="000000" w:themeColor="text1"/>
          <w:lang w:val="en-GB"/>
        </w:rPr>
        <w:t>min.cells</w:t>
      </w:r>
      <w:proofErr w:type="spellEnd"/>
      <w:r w:rsidRPr="003073E3">
        <w:rPr>
          <w:rFonts w:eastAsia="Calibri" w:cs="Calibri"/>
          <w:color w:val="000000" w:themeColor="text1"/>
          <w:lang w:val="en-GB"/>
        </w:rPr>
        <w:t xml:space="preserve"> = 3, </w:t>
      </w:r>
      <w:proofErr w:type="spellStart"/>
      <w:r w:rsidRPr="003073E3">
        <w:rPr>
          <w:rFonts w:eastAsia="Calibri" w:cs="Calibri"/>
          <w:color w:val="000000" w:themeColor="text1"/>
          <w:lang w:val="en-GB"/>
        </w:rPr>
        <w:t>min.features</w:t>
      </w:r>
      <w:proofErr w:type="spellEnd"/>
      <w:r w:rsidRPr="003073E3">
        <w:rPr>
          <w:rFonts w:eastAsia="Calibri" w:cs="Calibri"/>
          <w:color w:val="000000" w:themeColor="text1"/>
          <w:lang w:val="en-GB"/>
        </w:rPr>
        <w:t xml:space="preserve"> =200). QC involved </w:t>
      </w:r>
      <w:proofErr w:type="spellStart"/>
      <w:r w:rsidRPr="003073E3">
        <w:rPr>
          <w:rFonts w:eastAsia="Calibri" w:cs="Calibri"/>
          <w:color w:val="000000" w:themeColor="text1"/>
          <w:lang w:val="en-GB"/>
        </w:rPr>
        <w:t>nfeatures</w:t>
      </w:r>
      <w:proofErr w:type="spellEnd"/>
      <w:r w:rsidRPr="003073E3">
        <w:rPr>
          <w:rFonts w:eastAsia="Calibri" w:cs="Calibri"/>
          <w:color w:val="000000" w:themeColor="text1"/>
          <w:lang w:val="en-GB"/>
        </w:rPr>
        <w:t xml:space="preserve"> ≤ 6000 and mitochondrial gene percentage ≤ 20%. Genes were converted to official gene symbols if required. </w:t>
      </w:r>
      <w:proofErr w:type="spellStart"/>
      <w:r w:rsidRPr="003073E3">
        <w:rPr>
          <w:rFonts w:eastAsia="Calibri" w:cs="Calibri"/>
          <w:color w:val="000000" w:themeColor="text1"/>
          <w:lang w:val="en-GB"/>
        </w:rPr>
        <w:t>NormalizeData</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lastRenderedPageBreak/>
        <w:t>FindVariableFeatures</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ScaleData</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RunPCA</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FindNeighbors</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FindClusters</w:t>
      </w:r>
      <w:proofErr w:type="spellEnd"/>
      <w:r w:rsidRPr="003073E3">
        <w:rPr>
          <w:rFonts w:eastAsia="Calibri" w:cs="Calibri"/>
          <w:color w:val="000000" w:themeColor="text1"/>
          <w:lang w:val="en-GB"/>
        </w:rPr>
        <w:t xml:space="preserve">, </w:t>
      </w:r>
      <w:proofErr w:type="spellStart"/>
      <w:r w:rsidRPr="003073E3">
        <w:rPr>
          <w:rFonts w:eastAsia="Calibri" w:cs="Calibri"/>
          <w:color w:val="000000" w:themeColor="text1"/>
          <w:lang w:val="en-GB"/>
        </w:rPr>
        <w:t>RunUMAP</w:t>
      </w:r>
      <w:proofErr w:type="spellEnd"/>
      <w:r w:rsidRPr="003073E3">
        <w:rPr>
          <w:rFonts w:eastAsia="Calibri" w:cs="Calibri"/>
          <w:color w:val="000000" w:themeColor="text1"/>
          <w:lang w:val="en-GB"/>
        </w:rPr>
        <w:t xml:space="preserve"> were then applied to cluster cells. Immune cells (e.g., PTPRC) and epithelial cells (e.g., </w:t>
      </w:r>
      <w:r w:rsidRPr="003073E3">
        <w:rPr>
          <w:rFonts w:eastAsia="Calibri" w:cs="Calibri"/>
          <w:i/>
          <w:iCs/>
          <w:color w:val="000000" w:themeColor="text1"/>
          <w:lang w:val="en-GB"/>
        </w:rPr>
        <w:t>EPCAM</w:t>
      </w:r>
      <w:r w:rsidRPr="003073E3">
        <w:rPr>
          <w:rFonts w:eastAsia="Calibri" w:cs="Calibri"/>
          <w:color w:val="000000" w:themeColor="text1"/>
          <w:lang w:val="en-GB"/>
        </w:rPr>
        <w:t>) were initially removed based on marker gene expression – leaving mesenchymal cells (fibroblasts, endothelial cells, mural cells, Schwann cells, mesothelial cells). Mesenchymal cell objects were created for all datasets then loaded into the same environment. Datasets were merged and a common gene space was determined (13,734 genes). We then leveraged Seurat v5 (v5.0.1) sketch-based integration (</w:t>
      </w:r>
      <w:hyperlink r:id="rId25">
        <w:r w:rsidRPr="003073E3">
          <w:rPr>
            <w:rStyle w:val="Hyperlink"/>
            <w:rFonts w:eastAsia="Calibri" w:cs="Calibri"/>
            <w:lang w:val="en-GB"/>
          </w:rPr>
          <w:t>https://satijalab.org/seurat/articles/parsebio_sketch_integration</w:t>
        </w:r>
      </w:hyperlink>
      <w:r w:rsidRPr="003073E3">
        <w:rPr>
          <w:rFonts w:eastAsia="Calibri" w:cs="Calibri"/>
          <w:color w:val="000000" w:themeColor="text1"/>
          <w:lang w:val="en-GB"/>
        </w:rPr>
        <w:t xml:space="preserve">) to perform integration using 2500 cells per dataset. </w:t>
      </w:r>
      <w:proofErr w:type="spellStart"/>
      <w:r w:rsidRPr="003073E3">
        <w:rPr>
          <w:rFonts w:eastAsia="Calibri" w:cs="Calibri"/>
          <w:color w:val="000000" w:themeColor="text1"/>
          <w:lang w:val="en-GB"/>
        </w:rPr>
        <w:t>HarmonyIntegration</w:t>
      </w:r>
      <w:proofErr w:type="spellEnd"/>
      <w:r w:rsidRPr="003073E3">
        <w:rPr>
          <w:rFonts w:eastAsia="Calibri" w:cs="Calibri"/>
          <w:color w:val="000000" w:themeColor="text1"/>
          <w:lang w:val="en-GB"/>
        </w:rPr>
        <w:t xml:space="preserve"> method</w:t>
      </w:r>
      <w:r w:rsidR="00F00A0C">
        <w:rPr>
          <w:rFonts w:eastAsia="Calibri" w:cs="Calibri"/>
          <w:color w:val="000000" w:themeColor="text1"/>
          <w:lang w:val="en-GB"/>
        </w:rPr>
        <w:t xml:space="preserve"> </w:t>
      </w:r>
      <w:r w:rsidR="00F00A0C">
        <w:rPr>
          <w:rFonts w:eastAsia="Calibri" w:cs="Calibri"/>
          <w:color w:val="000000" w:themeColor="text1"/>
          <w:lang w:val="en-GB"/>
        </w:rPr>
        <w:fldChar w:fldCharType="begin"/>
      </w:r>
      <w:r w:rsidR="00F00A0C">
        <w:rPr>
          <w:rFonts w:eastAsia="Calibri" w:cs="Calibri"/>
          <w:color w:val="000000" w:themeColor="text1"/>
          <w:lang w:val="en-GB"/>
        </w:rPr>
        <w:instrText xml:space="preserve"> ADDIN ZOTERO_ITEM CSL_CITATION {"citationID":"EusGdBYJ","properties":{"formattedCitation":"[9]","plainCitation":"[9]","noteIndex":0},"citationItems":[{"id":2900,"uris":["http://zotero.org/users/8473258/items/XILS5Y9T"],"itemData":{"id":2900,"type":"article-journal","abstract":"The emerging diversity of single-cell RNA-seq datasets allows for the full transcriptional characterization of cell types across a wide variety of biological and clinical conditions. However, it is challenging to analyze them together, particularly when datasets are assayed with different technologies, because biological and technical differences are interspersed. We present Harmony (https://github.com/immunogenomics/harmony), an algorithm that projects cells into a shared embedding in which cells group by cell type rather than dataset-specific conditions. Harmony simultaneously accounts for multiple experimental and biological factors. In six analyses, we demonstrate the superior performance of Harmony to previously published algorithms while requiring fewer computational resources. Harmony enables the integration of ~106 cells on a personal computer. We apply Harmony to peripheral blood mononuclear cells from datasets with large experimental differences, five studies of pancreatic islet cells, mouse embryogenesis datasets and the integration of scRNA-seq with spatial transcriptomics data.","container-title":"Nature Methods","DOI":"10.1038/s41592-019-0619-0","ISSN":"1548-7105","issue":"12","journalAbbreviation":"Nat Methods","language":"en","license":"2019 The Author(s), under exclusive licence to Springer Nature America, Inc.","note":"publisher: Nature Publishing Group","page":"1289-1296","source":"www.nature.com","title":"Fast, sensitive and accurate integration of single-cell data with Harmony","volume":"16","author":[{"family":"Korsunsky","given":"Ilya"},{"family":"Millard","given":"Nghia"},{"family":"Fan","given":"Jean"},{"family":"Slowikowski","given":"Kamil"},{"family":"Zhang","given":"Fan"},{"family":"Wei","given":"Kevin"},{"family":"Baglaenko","given":"Yuriy"},{"family":"Brenner","given":"Michael"},{"family":"Loh","given":"Po-ru"},{"family":"Raychaudhuri","given":"Soumya"}],"issued":{"date-parts":[["2019",12]]}}}],"schema":"https://github.com/citation-style-language/schema/raw/master/csl-citation.json"} </w:instrText>
      </w:r>
      <w:r w:rsidR="00F00A0C">
        <w:rPr>
          <w:rFonts w:eastAsia="Calibri" w:cs="Calibri"/>
          <w:color w:val="000000" w:themeColor="text1"/>
          <w:lang w:val="en-GB"/>
        </w:rPr>
        <w:fldChar w:fldCharType="separate"/>
      </w:r>
      <w:r w:rsidR="00F00A0C">
        <w:rPr>
          <w:rFonts w:eastAsia="Calibri" w:cs="Calibri"/>
          <w:noProof/>
          <w:color w:val="000000" w:themeColor="text1"/>
          <w:lang w:val="en-GB"/>
        </w:rPr>
        <w:t>[9]</w:t>
      </w:r>
      <w:r w:rsidR="00F00A0C">
        <w:rPr>
          <w:rFonts w:eastAsia="Calibri" w:cs="Calibri"/>
          <w:color w:val="000000" w:themeColor="text1"/>
          <w:lang w:val="en-GB"/>
        </w:rPr>
        <w:fldChar w:fldCharType="end"/>
      </w:r>
      <w:r w:rsidRPr="003073E3">
        <w:rPr>
          <w:rFonts w:eastAsia="Calibri" w:cs="Calibri"/>
          <w:color w:val="000000" w:themeColor="text1"/>
          <w:lang w:val="en-GB"/>
        </w:rPr>
        <w:t xml:space="preserve"> was chosen in which the dataset and Chromium kit version were harmonised (theta = 1). </w:t>
      </w:r>
      <w:proofErr w:type="spellStart"/>
      <w:r w:rsidRPr="003073E3">
        <w:rPr>
          <w:rFonts w:eastAsia="Calibri" w:cs="Calibri"/>
          <w:color w:val="000000" w:themeColor="text1"/>
          <w:lang w:val="en-GB"/>
        </w:rPr>
        <w:t>ProjectIntegration</w:t>
      </w:r>
      <w:proofErr w:type="spellEnd"/>
      <w:r w:rsidRPr="003073E3">
        <w:rPr>
          <w:rFonts w:eastAsia="Calibri" w:cs="Calibri"/>
          <w:color w:val="000000" w:themeColor="text1"/>
          <w:lang w:val="en-GB"/>
        </w:rPr>
        <w:t xml:space="preserve"> and </w:t>
      </w:r>
      <w:proofErr w:type="spellStart"/>
      <w:r w:rsidRPr="003073E3">
        <w:rPr>
          <w:rFonts w:eastAsia="Calibri" w:cs="Calibri"/>
          <w:color w:val="000000" w:themeColor="text1"/>
          <w:lang w:val="en-GB"/>
        </w:rPr>
        <w:t>ProjectData</w:t>
      </w:r>
      <w:proofErr w:type="spellEnd"/>
      <w:r w:rsidRPr="003073E3">
        <w:rPr>
          <w:rFonts w:eastAsia="Calibri" w:cs="Calibri"/>
          <w:color w:val="000000" w:themeColor="text1"/>
          <w:lang w:val="en-GB"/>
        </w:rPr>
        <w:t xml:space="preserve"> (1:40 dims) were then used to integrate the full datasets. Clusters expressing </w:t>
      </w:r>
      <w:r w:rsidRPr="003073E3">
        <w:rPr>
          <w:rFonts w:eastAsia="Calibri" w:cs="Calibri"/>
          <w:i/>
          <w:iCs/>
          <w:color w:val="000000" w:themeColor="text1"/>
          <w:lang w:val="en-GB"/>
        </w:rPr>
        <w:t>LUM</w:t>
      </w:r>
      <w:r w:rsidRPr="003073E3">
        <w:rPr>
          <w:rFonts w:eastAsia="Calibri" w:cs="Calibri"/>
          <w:color w:val="000000" w:themeColor="text1"/>
          <w:lang w:val="en-GB"/>
        </w:rPr>
        <w:t xml:space="preserve"> and negative for other cell type markers (</w:t>
      </w:r>
      <w:r w:rsidRPr="003073E3">
        <w:rPr>
          <w:rFonts w:eastAsia="Calibri" w:cs="Calibri"/>
          <w:i/>
          <w:iCs/>
          <w:color w:val="000000" w:themeColor="text1"/>
          <w:lang w:val="en-GB"/>
        </w:rPr>
        <w:t>PTPRC, EPCAM, RGS5, VWF, S100B, MSLN</w:t>
      </w:r>
      <w:r w:rsidRPr="003073E3">
        <w:rPr>
          <w:rFonts w:eastAsia="Calibri" w:cs="Calibri"/>
          <w:color w:val="000000" w:themeColor="text1"/>
          <w:lang w:val="en-GB"/>
        </w:rPr>
        <w:t xml:space="preserve">) were subset and the process outlined above was repeated on the LUM+ cells to generate the PCFA.  </w:t>
      </w:r>
    </w:p>
    <w:p w14:paraId="3843C5CE" w14:textId="31E4518C" w:rsidR="410C53C1" w:rsidRPr="003073E3" w:rsidRDefault="410C53C1"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Pseudobulk</w:t>
      </w:r>
    </w:p>
    <w:p w14:paraId="64142EFE" w14:textId="539BC1DC" w:rsidR="410C53C1" w:rsidRPr="003073E3" w:rsidRDefault="410C53C1"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Marker genes between PCFA were found using </w:t>
      </w:r>
      <w:proofErr w:type="spellStart"/>
      <w:r w:rsidRPr="003073E3">
        <w:rPr>
          <w:rFonts w:eastAsia="Calibri" w:cs="Calibri"/>
          <w:color w:val="000000" w:themeColor="text1"/>
          <w:lang w:val="en-GB"/>
        </w:rPr>
        <w:t>FindAllMarkers</w:t>
      </w:r>
      <w:proofErr w:type="spellEnd"/>
      <w:r w:rsidRPr="003073E3">
        <w:rPr>
          <w:rFonts w:eastAsia="Calibri" w:cs="Calibri"/>
          <w:color w:val="000000" w:themeColor="text1"/>
          <w:lang w:val="en-GB"/>
        </w:rPr>
        <w:t xml:space="preserve"> as outlined previously. Pseudobulk  differential expression analysis was carried out using </w:t>
      </w:r>
      <w:proofErr w:type="spellStart"/>
      <w:r w:rsidRPr="003073E3">
        <w:rPr>
          <w:rFonts w:eastAsia="Calibri" w:cs="Calibri"/>
          <w:color w:val="000000" w:themeColor="text1"/>
          <w:lang w:val="en-GB"/>
        </w:rPr>
        <w:t>AggregateExpression</w:t>
      </w:r>
      <w:proofErr w:type="spellEnd"/>
      <w:r w:rsidRPr="003073E3">
        <w:rPr>
          <w:rFonts w:eastAsia="Calibri" w:cs="Calibri"/>
          <w:color w:val="000000" w:themeColor="text1"/>
          <w:lang w:val="en-GB"/>
        </w:rPr>
        <w:t xml:space="preserve"> to generate pseudobulk samples grouped by cluster, dataset, and patient sample. </w:t>
      </w:r>
      <w:proofErr w:type="spellStart"/>
      <w:r w:rsidRPr="003073E3">
        <w:rPr>
          <w:rFonts w:eastAsia="Calibri" w:cs="Calibri"/>
          <w:color w:val="000000" w:themeColor="text1"/>
          <w:lang w:val="en-GB"/>
        </w:rPr>
        <w:t>FindMarkers</w:t>
      </w:r>
      <w:proofErr w:type="spellEnd"/>
      <w:r w:rsidRPr="003073E3">
        <w:rPr>
          <w:rFonts w:eastAsia="Calibri" w:cs="Calibri"/>
          <w:color w:val="000000" w:themeColor="text1"/>
          <w:lang w:val="en-GB"/>
        </w:rPr>
        <w:t xml:space="preserve"> was used with ‘DESeq2’ method. </w:t>
      </w:r>
    </w:p>
    <w:p w14:paraId="16B662FD" w14:textId="0AA40D86" w:rsidR="410C53C1" w:rsidRPr="003073E3" w:rsidRDefault="410C53C1"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lastRenderedPageBreak/>
        <w:t xml:space="preserve">Label Transfer </w:t>
      </w:r>
    </w:p>
    <w:p w14:paraId="6EAFA078" w14:textId="0E5A8084" w:rsidR="410C53C1" w:rsidRPr="003073E3" w:rsidRDefault="410C53C1"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We used a Label transfer approach to identify myeloid cell phenotypes in CRC and Oesophageal scRNA-Seq datasets. The integrated HNSCC myeloid cells were used as the reference dataset. CRC and Oesophageal datasets were first normalised with </w:t>
      </w:r>
      <w:proofErr w:type="spellStart"/>
      <w:r w:rsidRPr="003073E3">
        <w:rPr>
          <w:rFonts w:eastAsia="Calibri" w:cs="Calibri"/>
          <w:color w:val="000000" w:themeColor="text1"/>
          <w:lang w:val="en-GB"/>
        </w:rPr>
        <w:t>SCTransform</w:t>
      </w:r>
      <w:proofErr w:type="spellEnd"/>
      <w:r w:rsidRPr="003073E3">
        <w:rPr>
          <w:rFonts w:eastAsia="Calibri" w:cs="Calibri"/>
          <w:color w:val="000000" w:themeColor="text1"/>
          <w:lang w:val="en-GB"/>
        </w:rPr>
        <w:t xml:space="preserve">, anchors were identified using </w:t>
      </w:r>
      <w:proofErr w:type="spellStart"/>
      <w:r w:rsidRPr="003073E3">
        <w:rPr>
          <w:rFonts w:eastAsia="Calibri" w:cs="Calibri"/>
          <w:color w:val="000000" w:themeColor="text1"/>
          <w:lang w:val="en-GB"/>
        </w:rPr>
        <w:t>FindTransferAnchors</w:t>
      </w:r>
      <w:proofErr w:type="spellEnd"/>
      <w:r w:rsidRPr="003073E3">
        <w:rPr>
          <w:rFonts w:eastAsia="Calibri" w:cs="Calibri"/>
          <w:color w:val="000000" w:themeColor="text1"/>
          <w:lang w:val="en-GB"/>
        </w:rPr>
        <w:t xml:space="preserve"> (reduction = </w:t>
      </w:r>
      <w:proofErr w:type="spellStart"/>
      <w:r w:rsidRPr="003073E3">
        <w:rPr>
          <w:rFonts w:eastAsia="Calibri" w:cs="Calibri"/>
          <w:color w:val="000000" w:themeColor="text1"/>
          <w:lang w:val="en-GB"/>
        </w:rPr>
        <w:t>pcaproject</w:t>
      </w:r>
      <w:proofErr w:type="spellEnd"/>
      <w:r w:rsidRPr="003073E3">
        <w:rPr>
          <w:rFonts w:eastAsia="Calibri" w:cs="Calibri"/>
          <w:color w:val="000000" w:themeColor="text1"/>
          <w:lang w:val="en-GB"/>
        </w:rPr>
        <w:t xml:space="preserve">, projecting the PCA from the reference onto the query) and phenotype predictions made using </w:t>
      </w:r>
      <w:proofErr w:type="spellStart"/>
      <w:r w:rsidRPr="003073E3">
        <w:rPr>
          <w:rFonts w:eastAsia="Calibri" w:cs="Calibri"/>
          <w:color w:val="000000" w:themeColor="text1"/>
          <w:lang w:val="en-GB"/>
        </w:rPr>
        <w:t>TransferData</w:t>
      </w:r>
      <w:proofErr w:type="spellEnd"/>
      <w:r w:rsidRPr="003073E3">
        <w:rPr>
          <w:rFonts w:eastAsia="Calibri" w:cs="Calibri"/>
          <w:color w:val="000000" w:themeColor="text1"/>
          <w:lang w:val="en-GB"/>
        </w:rPr>
        <w:t xml:space="preserve"> (1:30 dims). Predicted cell type labels with </w:t>
      </w:r>
      <w:proofErr w:type="spellStart"/>
      <w:r w:rsidRPr="003073E3">
        <w:rPr>
          <w:rFonts w:eastAsia="Calibri" w:cs="Calibri"/>
          <w:color w:val="000000" w:themeColor="text1"/>
          <w:lang w:val="en-GB"/>
        </w:rPr>
        <w:t>prediction.score.max</w:t>
      </w:r>
      <w:proofErr w:type="spellEnd"/>
      <w:r w:rsidRPr="003073E3">
        <w:rPr>
          <w:rFonts w:eastAsia="Calibri" w:cs="Calibri"/>
          <w:color w:val="000000" w:themeColor="text1"/>
          <w:lang w:val="en-GB"/>
        </w:rPr>
        <w:t xml:space="preserve"> ≥ 0.5 were annotated. The relative immune cell abundance of each myeloid cell phenotype was then calculated per </w:t>
      </w:r>
      <w:proofErr w:type="spellStart"/>
      <w:r w:rsidRPr="003073E3">
        <w:rPr>
          <w:rFonts w:eastAsia="Calibri" w:cs="Calibri"/>
          <w:color w:val="000000" w:themeColor="text1"/>
          <w:lang w:val="en-GB"/>
        </w:rPr>
        <w:t>tumor</w:t>
      </w:r>
      <w:proofErr w:type="spellEnd"/>
      <w:r w:rsidRPr="003073E3">
        <w:rPr>
          <w:rFonts w:eastAsia="Calibri" w:cs="Calibri"/>
          <w:color w:val="000000" w:themeColor="text1"/>
          <w:lang w:val="en-GB"/>
        </w:rPr>
        <w:t xml:space="preserve"> sample and correlated with relative fibroblast abundance (using the PCFA) to verify myeloid and fibroblast associations.</w:t>
      </w:r>
    </w:p>
    <w:p w14:paraId="01153827" w14:textId="7722B069" w:rsidR="160FA244" w:rsidRPr="003073E3" w:rsidRDefault="160FA244" w:rsidP="003073E3">
      <w:pPr>
        <w:spacing w:line="480" w:lineRule="auto"/>
        <w:jc w:val="both"/>
        <w:rPr>
          <w:rFonts w:eastAsia="Calibri" w:cs="Calibri"/>
          <w:color w:val="000000" w:themeColor="text1"/>
        </w:rPr>
      </w:pPr>
    </w:p>
    <w:p w14:paraId="2CEDB3C9" w14:textId="0BF23FF3" w:rsidR="410C53C1" w:rsidRPr="003073E3" w:rsidRDefault="410C53C1" w:rsidP="003073E3">
      <w:pPr>
        <w:spacing w:line="480" w:lineRule="auto"/>
        <w:jc w:val="both"/>
        <w:rPr>
          <w:rFonts w:eastAsia="Calibri" w:cs="Calibri"/>
          <w:color w:val="000000" w:themeColor="text1"/>
          <w:lang w:val="en-GB"/>
        </w:rPr>
      </w:pPr>
      <w:r w:rsidRPr="003073E3">
        <w:rPr>
          <w:rFonts w:eastAsia="Calibri" w:cs="Calibri"/>
          <w:color w:val="000000" w:themeColor="text1"/>
          <w:lang w:val="en-GB"/>
        </w:rPr>
        <w:t xml:space="preserve">We also used this technique on the murine Elyada dataset </w:t>
      </w:r>
      <w:r w:rsidR="00F00A0C">
        <w:rPr>
          <w:rFonts w:eastAsia="Calibri" w:cs="Calibri"/>
          <w:color w:val="000000" w:themeColor="text1"/>
          <w:lang w:val="en-GB"/>
        </w:rPr>
        <w:fldChar w:fldCharType="begin"/>
      </w:r>
      <w:r w:rsidR="00F00A0C">
        <w:rPr>
          <w:rFonts w:eastAsia="Calibri" w:cs="Calibri"/>
          <w:color w:val="000000" w:themeColor="text1"/>
          <w:lang w:val="en-GB"/>
        </w:rPr>
        <w:instrText xml:space="preserve"> ADDIN ZOTERO_ITEM CSL_CITATION {"citationID":"niitb3mX","properties":{"formattedCitation":"[5]","plainCitation":"[5]","noteIndex":0},"citationItems":[{"id":1090,"uris":["http://zotero.org/users/8473258/items/JC6A5SAN"],"itemData":{"id":1090,"type":"article-journal","abstract":"Cancer-associated fibroblasts (CAF) are major players in the progression and drug resistance of pancreatic ductal adenocarcinoma (PDAC). CAFs constitute a diverse cell population consisting of several recently described subtypes, although the extent of CAF heterogeneity has remained undefined. Here we use single-cell RNA sequencing to thoroughly characterize the neoplastic and tumor microenvironment content of human and mouse PDAC tumors. We corroborate the presence of myofibroblastic CAFs and inflammatory CAFs and define their unique gene signatures in vivo. Moreover, we describe a new population of CAFs that express MHC class II and CD74, but do not express classic costimulatory molecules. We term this cell population “antigenpresenting CAFs” and find that they activate CD4+ T cells in an antigen-specific fashion in a model system, confirming their putative immune-modulatory capacity. Our cross-species analysis paves the way for investigating distinct functions of CAF subtypes in PDAC immunity and progression.","container-title":"Cancer Discovery","DOI":"10.1158/2159-8290.CD-19-0094","ISSN":"2159-8274, 2159-8290","issue":"8","journalAbbreviation":"Cancer Discov","language":"en","page":"1102-1123","source":"DOI.org (Crossref)","title":"Cross-Species Single-Cell Analysis of Pancreatic Ductal Adenocarcinoma Reveals Antigen-Presenting Cancer-Associated Fibroblasts","volume":"9","author":[{"family":"Elyada","given":"Ela"},{"family":"Bolisetty","given":"Mohan"},{"family":"Laise","given":"Pasquale"},{"family":"Flynn","given":"William F."},{"family":"Courtois","given":"Elise T."},{"family":"Burkhart","given":"Richard A."},{"family":"Teinor","given":"Jonathan A."},{"family":"Belleau","given":"Pascal"},{"family":"Biffi","given":"Giulia"},{"family":"Lucito","given":"Matthew S."},{"family":"Sivajothi","given":"Santhosh"},{"family":"Armstrong","given":"Todd D."},{"family":"Engle","given":"Dannielle D."},{"family":"Yu","given":"Kenneth H."},{"family":"Hao","given":"Yuan"},{"family":"Wolfgang","given":"Christopher L."},{"family":"Park","given":"Youngkyu"},{"family":"Preall","given":"Jonathan"},{"family":"Jaffee","given":"Elizabeth M."},{"family":"Califano","given":"Andrea"},{"family":"Robson","given":"Paul"},{"family":"Tuveson","given":"David A."}],"issued":{"date-parts":[["2019",8]]}}}],"schema":"https://github.com/citation-style-language/schema/raw/master/csl-citation.json"} </w:instrText>
      </w:r>
      <w:r w:rsidR="00F00A0C">
        <w:rPr>
          <w:rFonts w:eastAsia="Calibri" w:cs="Calibri"/>
          <w:color w:val="000000" w:themeColor="text1"/>
          <w:lang w:val="en-GB"/>
        </w:rPr>
        <w:fldChar w:fldCharType="separate"/>
      </w:r>
      <w:r w:rsidR="00F00A0C">
        <w:rPr>
          <w:rFonts w:eastAsia="Calibri" w:cs="Calibri"/>
          <w:noProof/>
          <w:color w:val="000000" w:themeColor="text1"/>
          <w:lang w:val="en-GB"/>
        </w:rPr>
        <w:t>[5]</w:t>
      </w:r>
      <w:r w:rsidR="00F00A0C">
        <w:rPr>
          <w:rFonts w:eastAsia="Calibri" w:cs="Calibri"/>
          <w:color w:val="000000" w:themeColor="text1"/>
          <w:lang w:val="en-GB"/>
        </w:rPr>
        <w:fldChar w:fldCharType="end"/>
      </w:r>
      <w:r w:rsidRPr="003073E3">
        <w:rPr>
          <w:rFonts w:eastAsia="Calibri" w:cs="Calibri"/>
          <w:color w:val="000000" w:themeColor="text1"/>
          <w:lang w:val="en-GB"/>
        </w:rPr>
        <w:t xml:space="preserve">. We accessed fibroblast-enriched counts (GSE129455), generating a Seurat object in which the previously outlined workflow of normalisation, dimensionality reduction and clustering was carried out. Fibroblasts were subset based on expression of </w:t>
      </w:r>
      <w:proofErr w:type="spellStart"/>
      <w:r w:rsidRPr="003073E3">
        <w:rPr>
          <w:rFonts w:eastAsia="Calibri" w:cs="Calibri"/>
          <w:i/>
          <w:iCs/>
          <w:color w:val="000000" w:themeColor="text1"/>
          <w:lang w:val="en-GB"/>
        </w:rPr>
        <w:t>Dcn</w:t>
      </w:r>
      <w:proofErr w:type="spellEnd"/>
      <w:r w:rsidRPr="003073E3">
        <w:rPr>
          <w:rFonts w:eastAsia="Calibri" w:cs="Calibri"/>
          <w:color w:val="000000" w:themeColor="text1"/>
          <w:lang w:val="en-GB"/>
        </w:rPr>
        <w:t xml:space="preserve"> and </w:t>
      </w:r>
      <w:r w:rsidRPr="003073E3">
        <w:rPr>
          <w:rFonts w:eastAsia="Calibri" w:cs="Calibri"/>
          <w:i/>
          <w:iCs/>
          <w:color w:val="000000" w:themeColor="text1"/>
          <w:lang w:val="en-GB"/>
        </w:rPr>
        <w:t>Col1a1</w:t>
      </w:r>
      <w:r w:rsidRPr="003073E3">
        <w:rPr>
          <w:rFonts w:eastAsia="Calibri" w:cs="Calibri"/>
          <w:color w:val="000000" w:themeColor="text1"/>
          <w:lang w:val="en-GB"/>
        </w:rPr>
        <w:t xml:space="preserve"> and the workflow repeated on the subset object. Cell cycle scores (</w:t>
      </w:r>
      <w:proofErr w:type="spellStart"/>
      <w:r w:rsidRPr="003073E3">
        <w:rPr>
          <w:rFonts w:eastAsia="Calibri" w:cs="Calibri"/>
          <w:color w:val="000000" w:themeColor="text1"/>
          <w:lang w:val="en-GB"/>
        </w:rPr>
        <w:t>S.Score</w:t>
      </w:r>
      <w:proofErr w:type="spellEnd"/>
      <w:r w:rsidRPr="003073E3">
        <w:rPr>
          <w:rFonts w:eastAsia="Calibri" w:cs="Calibri"/>
          <w:color w:val="000000" w:themeColor="text1"/>
          <w:lang w:val="en-GB"/>
        </w:rPr>
        <w:t xml:space="preserve">, G2M.Score) were regressed out using </w:t>
      </w:r>
      <w:proofErr w:type="spellStart"/>
      <w:r w:rsidRPr="003073E3">
        <w:rPr>
          <w:rFonts w:eastAsia="Calibri" w:cs="Calibri"/>
          <w:color w:val="000000" w:themeColor="text1"/>
          <w:lang w:val="en-GB"/>
        </w:rPr>
        <w:t>ScaleData</w:t>
      </w:r>
      <w:proofErr w:type="spellEnd"/>
      <w:r w:rsidRPr="003073E3">
        <w:rPr>
          <w:rFonts w:eastAsia="Calibri" w:cs="Calibri"/>
          <w:color w:val="000000" w:themeColor="text1"/>
          <w:lang w:val="en-GB"/>
        </w:rPr>
        <w:t xml:space="preserve">. Clustering using a </w:t>
      </w:r>
      <w:proofErr w:type="spellStart"/>
      <w:r w:rsidRPr="003073E3">
        <w:rPr>
          <w:rFonts w:eastAsia="Calibri" w:cs="Calibri"/>
          <w:color w:val="000000" w:themeColor="text1"/>
          <w:lang w:val="en-GB"/>
        </w:rPr>
        <w:t>FindClusters</w:t>
      </w:r>
      <w:proofErr w:type="spellEnd"/>
      <w:r w:rsidRPr="003073E3">
        <w:rPr>
          <w:rFonts w:eastAsia="Calibri" w:cs="Calibri"/>
          <w:color w:val="000000" w:themeColor="text1"/>
          <w:lang w:val="en-GB"/>
        </w:rPr>
        <w:t xml:space="preserve"> resolution of 0.1 revealed 3 clusters which showed enrichment for iCAF, apCAF and myCAF genes described by the author. Before label transfer, murine genes were converted and subset to human orthologues. The Elyada fibroblasts were selected as the query dataset and PCFA fibroblasts as the reference; label </w:t>
      </w:r>
      <w:r w:rsidRPr="003073E3">
        <w:rPr>
          <w:rFonts w:eastAsia="Calibri" w:cs="Calibri"/>
          <w:color w:val="000000" w:themeColor="text1"/>
          <w:lang w:val="en-GB"/>
        </w:rPr>
        <w:lastRenderedPageBreak/>
        <w:t>transfer was carried out as above but on the RNA assay (rather than SCT). We selected a stringent prediction score threshold of 0.75 to filter confidentially assigned labels.</w:t>
      </w:r>
    </w:p>
    <w:p w14:paraId="1F667BD0" w14:textId="6AD8E8BA" w:rsidR="160FA244" w:rsidRPr="003073E3" w:rsidRDefault="160FA244" w:rsidP="003073E3">
      <w:pPr>
        <w:spacing w:line="480" w:lineRule="auto"/>
      </w:pPr>
    </w:p>
    <w:p w14:paraId="07AB296A" w14:textId="58701FD0" w:rsidR="7B949BAD" w:rsidRPr="003073E3" w:rsidRDefault="7B949BAD" w:rsidP="003073E3">
      <w:pPr>
        <w:pStyle w:val="Heading1"/>
        <w:spacing w:before="240" w:line="480" w:lineRule="auto"/>
        <w:jc w:val="both"/>
        <w:rPr>
          <w:rFonts w:asciiTheme="minorHAnsi" w:eastAsia="Calibri" w:hAnsiTheme="minorHAnsi" w:cs="Calibri"/>
          <w:b/>
          <w:bCs/>
          <w:color w:val="000000" w:themeColor="text1"/>
          <w:sz w:val="24"/>
          <w:szCs w:val="24"/>
          <w:lang w:val="en-GB"/>
        </w:rPr>
      </w:pPr>
      <w:r w:rsidRPr="003073E3">
        <w:rPr>
          <w:rFonts w:asciiTheme="minorHAnsi" w:eastAsia="Calibri" w:hAnsiTheme="minorHAnsi" w:cs="Calibri"/>
          <w:b/>
          <w:bCs/>
          <w:color w:val="000000" w:themeColor="text1"/>
          <w:sz w:val="24"/>
          <w:szCs w:val="24"/>
          <w:lang w:val="en-GB"/>
        </w:rPr>
        <w:t>Spatial transcriptomics</w:t>
      </w:r>
    </w:p>
    <w:p w14:paraId="2651C213" w14:textId="5ACB76FF" w:rsidR="7B949BAD" w:rsidRPr="003073E3" w:rsidRDefault="7B949BAD"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Count matrices for each of 10 samples were imported into Seurat and normalized using the </w:t>
      </w:r>
      <w:proofErr w:type="spellStart"/>
      <w:r w:rsidRPr="003073E3">
        <w:rPr>
          <w:rFonts w:eastAsia="Calibri" w:cs="Calibri"/>
          <w:color w:val="000000" w:themeColor="text1"/>
          <w:lang w:val="en-GB"/>
        </w:rPr>
        <w:t>SCTransform</w:t>
      </w:r>
      <w:proofErr w:type="spellEnd"/>
      <w:r w:rsidRPr="003073E3">
        <w:rPr>
          <w:rFonts w:eastAsia="Calibri" w:cs="Calibri"/>
          <w:color w:val="000000" w:themeColor="text1"/>
          <w:lang w:val="en-GB"/>
        </w:rPr>
        <w:t>. The samples were integrated using Seurat v3's CCA anchor finding method (</w:t>
      </w:r>
      <w:proofErr w:type="spellStart"/>
      <w:r w:rsidRPr="003073E3">
        <w:rPr>
          <w:rFonts w:eastAsia="Calibri" w:cs="Calibri"/>
          <w:color w:val="000000" w:themeColor="text1"/>
          <w:lang w:val="en-GB"/>
        </w:rPr>
        <w:t>FindIntegrationAnchors</w:t>
      </w:r>
      <w:proofErr w:type="spellEnd"/>
      <w:r w:rsidRPr="003073E3">
        <w:rPr>
          <w:rFonts w:eastAsia="Calibri" w:cs="Calibri"/>
          <w:color w:val="000000" w:themeColor="text1"/>
          <w:lang w:val="en-GB"/>
        </w:rPr>
        <w:t xml:space="preserve"> and </w:t>
      </w:r>
      <w:proofErr w:type="spellStart"/>
      <w:r w:rsidRPr="003073E3">
        <w:rPr>
          <w:rFonts w:eastAsia="Calibri" w:cs="Calibri"/>
          <w:color w:val="000000" w:themeColor="text1"/>
          <w:lang w:val="en-GB"/>
        </w:rPr>
        <w:t>IntegrateData</w:t>
      </w:r>
      <w:proofErr w:type="spellEnd"/>
      <w:r w:rsidRPr="003073E3">
        <w:rPr>
          <w:rFonts w:eastAsia="Calibri" w:cs="Calibri"/>
          <w:color w:val="000000" w:themeColor="text1"/>
          <w:lang w:val="en-GB"/>
        </w:rPr>
        <w:t xml:space="preserve">). The 3000 variable features selected for integration were then used for principal component analysis (PCA), followed by the </w:t>
      </w:r>
      <w:proofErr w:type="spellStart"/>
      <w:r w:rsidRPr="003073E3">
        <w:rPr>
          <w:rFonts w:eastAsia="Calibri" w:cs="Calibri"/>
          <w:color w:val="000000" w:themeColor="text1"/>
          <w:lang w:val="en-GB"/>
        </w:rPr>
        <w:t>FindNeighbors</w:t>
      </w:r>
      <w:proofErr w:type="spellEnd"/>
      <w:r w:rsidRPr="003073E3">
        <w:rPr>
          <w:rFonts w:eastAsia="Calibri" w:cs="Calibri"/>
          <w:color w:val="000000" w:themeColor="text1"/>
          <w:lang w:val="en-GB"/>
        </w:rPr>
        <w:t xml:space="preserve"> and </w:t>
      </w:r>
      <w:proofErr w:type="spellStart"/>
      <w:r w:rsidRPr="003073E3">
        <w:rPr>
          <w:rFonts w:eastAsia="Calibri" w:cs="Calibri"/>
          <w:color w:val="000000" w:themeColor="text1"/>
          <w:lang w:val="en-GB"/>
        </w:rPr>
        <w:t>FindClusters</w:t>
      </w:r>
      <w:proofErr w:type="spellEnd"/>
      <w:r w:rsidRPr="003073E3">
        <w:rPr>
          <w:rFonts w:eastAsia="Calibri" w:cs="Calibri"/>
          <w:color w:val="000000" w:themeColor="text1"/>
          <w:lang w:val="en-GB"/>
        </w:rPr>
        <w:t xml:space="preserve"> functions for (shared) nearest-</w:t>
      </w:r>
      <w:proofErr w:type="spellStart"/>
      <w:r w:rsidRPr="003073E3">
        <w:rPr>
          <w:rFonts w:eastAsia="Calibri" w:cs="Calibri"/>
          <w:color w:val="000000" w:themeColor="text1"/>
          <w:lang w:val="en-GB"/>
        </w:rPr>
        <w:t>neighbor</w:t>
      </w:r>
      <w:proofErr w:type="spellEnd"/>
      <w:r w:rsidRPr="003073E3">
        <w:rPr>
          <w:rFonts w:eastAsia="Calibri" w:cs="Calibri"/>
          <w:color w:val="000000" w:themeColor="text1"/>
          <w:lang w:val="en-GB"/>
        </w:rPr>
        <w:t xml:space="preserve"> graph construction and cluster determination, respectively. Resulting clusters were examined, with poor-quality clusters being removed. Spatial feature expression plots were created using the </w:t>
      </w:r>
      <w:proofErr w:type="spellStart"/>
      <w:r w:rsidRPr="003073E3">
        <w:rPr>
          <w:rFonts w:eastAsia="Calibri" w:cs="Calibri"/>
          <w:color w:val="000000" w:themeColor="text1"/>
          <w:lang w:val="en-GB"/>
        </w:rPr>
        <w:t>SpatialFeaturePlot</w:t>
      </w:r>
      <w:proofErr w:type="spellEnd"/>
      <w:r w:rsidRPr="003073E3">
        <w:rPr>
          <w:rFonts w:eastAsia="Calibri" w:cs="Calibri"/>
          <w:color w:val="000000" w:themeColor="text1"/>
          <w:lang w:val="en-GB"/>
        </w:rPr>
        <w:t xml:space="preserve"> function in Seurat.</w:t>
      </w:r>
    </w:p>
    <w:p w14:paraId="4D97CCEE" w14:textId="248E3518" w:rsidR="160FA244" w:rsidRPr="003073E3" w:rsidRDefault="160FA244" w:rsidP="003073E3">
      <w:pPr>
        <w:spacing w:line="480" w:lineRule="auto"/>
        <w:jc w:val="both"/>
        <w:rPr>
          <w:rFonts w:eastAsia="Calibri" w:cs="Calibri"/>
          <w:color w:val="000000" w:themeColor="text1"/>
        </w:rPr>
      </w:pPr>
    </w:p>
    <w:p w14:paraId="7C589D63" w14:textId="10E6AB6D" w:rsidR="7B949BAD" w:rsidRPr="003073E3" w:rsidRDefault="7B949BAD" w:rsidP="003073E3">
      <w:pPr>
        <w:spacing w:line="480" w:lineRule="auto"/>
        <w:jc w:val="both"/>
        <w:rPr>
          <w:rFonts w:eastAsia="Calibri" w:cs="Calibri"/>
          <w:color w:val="000000" w:themeColor="text1"/>
          <w:u w:val="single"/>
        </w:rPr>
      </w:pPr>
      <w:r w:rsidRPr="003073E3">
        <w:rPr>
          <w:rFonts w:eastAsia="Calibri" w:cs="Calibri"/>
          <w:color w:val="000000" w:themeColor="text1"/>
          <w:u w:val="single"/>
        </w:rPr>
        <w:t xml:space="preserve">Spot Deconvolution </w:t>
      </w:r>
    </w:p>
    <w:p w14:paraId="10E8D245" w14:textId="213688FF" w:rsidR="7B949BAD" w:rsidRPr="003073E3" w:rsidRDefault="7B949BAD" w:rsidP="003073E3">
      <w:pPr>
        <w:spacing w:line="480" w:lineRule="auto"/>
        <w:jc w:val="both"/>
        <w:rPr>
          <w:rFonts w:eastAsia="Calibri" w:cs="Calibri"/>
          <w:color w:val="000000" w:themeColor="text1"/>
          <w:lang w:val="en-GB"/>
        </w:rPr>
      </w:pPr>
      <w:r w:rsidRPr="003073E3">
        <w:rPr>
          <w:rFonts w:eastAsia="Calibri" w:cs="Calibri"/>
          <w:color w:val="000000" w:themeColor="text1"/>
          <w:lang w:val="en-GB"/>
        </w:rPr>
        <w:t xml:space="preserve">To deconvolve Visium spots into encompassing cell types, Robust Cell Type Decomposition (RCTD) was utilized with </w:t>
      </w:r>
      <w:proofErr w:type="spellStart"/>
      <w:r w:rsidRPr="003073E3">
        <w:rPr>
          <w:rFonts w:eastAsia="Calibri" w:cs="Calibri"/>
          <w:color w:val="000000" w:themeColor="text1"/>
          <w:lang w:val="en-GB"/>
        </w:rPr>
        <w:t>spacexr</w:t>
      </w:r>
      <w:proofErr w:type="spellEnd"/>
      <w:r w:rsidRPr="003073E3">
        <w:rPr>
          <w:rFonts w:eastAsia="Calibri" w:cs="Calibri"/>
          <w:color w:val="000000" w:themeColor="text1"/>
          <w:lang w:val="en-GB"/>
        </w:rPr>
        <w:t xml:space="preserve"> 2.2.1 </w:t>
      </w:r>
      <w:r w:rsidR="00F00A0C">
        <w:rPr>
          <w:rFonts w:eastAsia="Calibri" w:cs="Calibri"/>
          <w:color w:val="000000" w:themeColor="text1"/>
          <w:lang w:val="en-GB"/>
        </w:rPr>
        <w:fldChar w:fldCharType="begin"/>
      </w:r>
      <w:r w:rsidR="00F00A0C">
        <w:rPr>
          <w:rFonts w:eastAsia="Calibri" w:cs="Calibri"/>
          <w:color w:val="000000" w:themeColor="text1"/>
          <w:lang w:val="en-GB"/>
        </w:rPr>
        <w:instrText xml:space="preserve"> ADDIN ZOTERO_ITEM CSL_CITATION {"citationID":"GQxdKmXu","properties":{"formattedCitation":"[10]","plainCitation":"[10]","noteIndex":0},"citationItems":[{"id":2389,"uris":["http://zotero.org/users/8473258/items/R85A3HX2"],"itemData":{"id":2389,"type":"article-journal","abstract":"A limitation of spatial transcriptomics technologies is that individual measurements may contain contributions from multiple cells, hindering the discovery of cell-type-specific spatial patterns of localization and expression. Here, we develop robust cell type decomposition (RCTD), a computational method that leverages cell type profiles learned from single-cell RNA-seq to decompose cell type mixtures while correcting for differences across sequencing technologies. We demonstrate the ability of RCTD to detect mixtures and identify cell types on simulated datasets. Furthermore, RCTD accurately reproduces known cell type and subtype localization patterns in Slide-seq and Visium datasets of the mouse brain. Finally, we show how RCTD's recovery of cell type localization enables the discovery of genes within a cell type whose expression depends on spatial environment. Spatial mapping of cell types with RCTD enables the spatial components of cellular identity to be defined, uncovering new principles of cellular organization in biological tissue. RCTD is publicly available as an open-source R package at https://github.com/dmcable/RCTD .","container-title":"Nature Biotechnology","DOI":"10.1038/s41587-021-00830-w","ISSN":"1546-1696","issue":"4","journalAbbreviation":"Nat Biotechnol","language":"eng","note":"PMID: 33603203\nPMCID: PMC8606190","page":"517-526","source":"PubMed","title":"Robust decomposition of cell type mixtures in spatial transcriptomics","volume":"40","author":[{"family":"Cable","given":"Dylan M."},{"family":"Murray","given":"Evan"},{"family":"Zou","given":"Luli S."},{"family":"Goeva","given":"Aleksandrina"},{"family":"Macosko","given":"Evan Z."},{"family":"Chen","given":"Fei"},{"family":"Irizarry","given":"Rafael A."}],"issued":{"date-parts":[["2022",4]]}}}],"schema":"https://github.com/citation-style-language/schema/raw/master/csl-citation.json"} </w:instrText>
      </w:r>
      <w:r w:rsidR="00F00A0C">
        <w:rPr>
          <w:rFonts w:eastAsia="Calibri" w:cs="Calibri"/>
          <w:color w:val="000000" w:themeColor="text1"/>
          <w:lang w:val="en-GB"/>
        </w:rPr>
        <w:fldChar w:fldCharType="separate"/>
      </w:r>
      <w:r w:rsidR="00F00A0C">
        <w:rPr>
          <w:rFonts w:eastAsia="Calibri" w:cs="Calibri"/>
          <w:noProof/>
          <w:color w:val="000000" w:themeColor="text1"/>
          <w:lang w:val="en-GB"/>
        </w:rPr>
        <w:t>[10]</w:t>
      </w:r>
      <w:r w:rsidR="00F00A0C">
        <w:rPr>
          <w:rFonts w:eastAsia="Calibri" w:cs="Calibri"/>
          <w:color w:val="000000" w:themeColor="text1"/>
          <w:lang w:val="en-GB"/>
        </w:rPr>
        <w:fldChar w:fldCharType="end"/>
      </w:r>
      <w:r w:rsidRPr="003073E3">
        <w:rPr>
          <w:rFonts w:eastAsia="Calibri" w:cs="Calibri"/>
          <w:color w:val="000000" w:themeColor="text1"/>
          <w:lang w:val="en-GB"/>
        </w:rPr>
        <w:t xml:space="preserve"> in R. This analysis used the annotated scRNA-Seq HNSCC reference dataset. RCTD was executed on each individual patient sample with default parameters, and the doublet mode set to ‘full’. The resulting normalized weights for each cell type were then obtained. For subsequent correlation analysis we implemented a minimum abundance (normalized weight) threshold of 0.05 (assuming each spot could </w:t>
      </w:r>
      <w:r w:rsidRPr="003073E3">
        <w:rPr>
          <w:rFonts w:eastAsia="Calibri" w:cs="Calibri"/>
          <w:color w:val="000000" w:themeColor="text1"/>
          <w:lang w:val="en-GB"/>
        </w:rPr>
        <w:lastRenderedPageBreak/>
        <w:t>contain a maximum of 20 cells). In addition, SpatialDWLS</w:t>
      </w:r>
      <w:r w:rsidR="00F00A0C">
        <w:rPr>
          <w:rFonts w:eastAsia="Calibri" w:cs="Calibri"/>
          <w:color w:val="000000" w:themeColor="text1"/>
          <w:lang w:val="en-GB"/>
        </w:rPr>
        <w:t xml:space="preserve"> </w:t>
      </w:r>
      <w:r w:rsidR="00F00A0C">
        <w:rPr>
          <w:rFonts w:eastAsia="Calibri" w:cs="Calibri"/>
          <w:color w:val="000000" w:themeColor="text1"/>
          <w:lang w:val="en-GB"/>
        </w:rPr>
        <w:fldChar w:fldCharType="begin"/>
      </w:r>
      <w:r w:rsidR="00F00A0C">
        <w:rPr>
          <w:rFonts w:eastAsia="Calibri" w:cs="Calibri"/>
          <w:color w:val="000000" w:themeColor="text1"/>
          <w:lang w:val="en-GB"/>
        </w:rPr>
        <w:instrText xml:space="preserve"> ADDIN ZOTERO_ITEM CSL_CITATION {"citationID":"dGfktLuU","properties":{"formattedCitation":"[11]","plainCitation":"[11]","noteIndex":0},"citationItems":[{"id":2386,"uris":["http://zotero.org/users/8473258/items/54RZPXTE"],"itemData":{"id":2386,"type":"article-journal","abstract":"Recent development of spatial transcriptomic technologies has made it possible to characterize cellular heterogeneity with spatial information. However, the technology often does not have sufficient resolution to distinguish neighboring cell types. Here, we present spatialDWLS, to quantitatively estimate the cell-type composition at each spatial location. We benchmark the performance of spatialDWLS by comparing it with a number of existing deconvolution methods and find that spatialDWLS outperforms the other methods in terms of accuracy and speed. By applying spatialDWLS to a human developmental heart dataset, we observe striking spatial temporal changes of cell-type composition during development.","container-title":"Genome Biology","DOI":"10.1186/s13059-021-02362-7","ISSN":"1474-760X","issue":"1","journalAbbreviation":"Genome Biol","language":"eng","note":"PMID: 33971932\nPMCID: PMC8108367","page":"145","source":"PubMed","title":"SpatialDWLS: accurate deconvolution of spatial transcriptomic data","title-short":"SpatialDWLS","volume":"22","author":[{"family":"Dong","given":"Rui"},{"family":"Yuan","given":"Guo-Cheng"}],"issued":{"date-parts":[["2021",5,10]]}}}],"schema":"https://github.com/citation-style-language/schema/raw/master/csl-citation.json"} </w:instrText>
      </w:r>
      <w:r w:rsidR="00F00A0C">
        <w:rPr>
          <w:rFonts w:eastAsia="Calibri" w:cs="Calibri"/>
          <w:color w:val="000000" w:themeColor="text1"/>
          <w:lang w:val="en-GB"/>
        </w:rPr>
        <w:fldChar w:fldCharType="separate"/>
      </w:r>
      <w:r w:rsidR="00F00A0C">
        <w:rPr>
          <w:rFonts w:eastAsia="Calibri" w:cs="Calibri"/>
          <w:noProof/>
          <w:color w:val="000000" w:themeColor="text1"/>
          <w:lang w:val="en-GB"/>
        </w:rPr>
        <w:t>[11]</w:t>
      </w:r>
      <w:r w:rsidR="00F00A0C">
        <w:rPr>
          <w:rFonts w:eastAsia="Calibri" w:cs="Calibri"/>
          <w:color w:val="000000" w:themeColor="text1"/>
          <w:lang w:val="en-GB"/>
        </w:rPr>
        <w:fldChar w:fldCharType="end"/>
      </w:r>
      <w:r w:rsidRPr="003073E3">
        <w:rPr>
          <w:rFonts w:eastAsia="Calibri" w:cs="Calibri"/>
          <w:color w:val="000000" w:themeColor="text1"/>
          <w:lang w:val="en-GB"/>
        </w:rPr>
        <w:t xml:space="preserve"> was also used to validate spot deconvolution using the Giotto package (v3.3.1). Briefly, Seurat objects were converted to Giotto objects using </w:t>
      </w:r>
      <w:proofErr w:type="spellStart"/>
      <w:r w:rsidRPr="003073E3">
        <w:rPr>
          <w:rFonts w:eastAsia="Calibri" w:cs="Calibri"/>
          <w:color w:val="000000" w:themeColor="text1"/>
          <w:lang w:val="en-GB"/>
        </w:rPr>
        <w:t>seuratToGiotto</w:t>
      </w:r>
      <w:proofErr w:type="spellEnd"/>
      <w:r w:rsidRPr="003073E3">
        <w:rPr>
          <w:rFonts w:eastAsia="Calibri" w:cs="Calibri"/>
          <w:color w:val="000000" w:themeColor="text1"/>
          <w:lang w:val="en-GB"/>
        </w:rPr>
        <w:t xml:space="preserve"> function, then guidelines were followed from the Giotto website. The annotated scRNASeq HNSCC dataset was used to create a reference expression matrix (with mitochondrial and ribosomal genes removed), which was normalised and the top 100 genes (using </w:t>
      </w:r>
      <w:proofErr w:type="spellStart"/>
      <w:r w:rsidRPr="003073E3">
        <w:rPr>
          <w:rFonts w:eastAsia="Calibri" w:cs="Calibri"/>
          <w:color w:val="000000" w:themeColor="text1"/>
          <w:lang w:val="en-GB"/>
        </w:rPr>
        <w:t>findMarkers_one_vs_all</w:t>
      </w:r>
      <w:proofErr w:type="spellEnd"/>
      <w:r w:rsidRPr="003073E3">
        <w:rPr>
          <w:rFonts w:eastAsia="Calibri" w:cs="Calibri"/>
          <w:color w:val="000000" w:themeColor="text1"/>
          <w:lang w:val="en-GB"/>
        </w:rPr>
        <w:t xml:space="preserve">, method = ‘scran’) for each cell type were selected for DWLS matrix construction. </w:t>
      </w:r>
      <w:proofErr w:type="spellStart"/>
      <w:r w:rsidRPr="003073E3">
        <w:rPr>
          <w:rFonts w:eastAsia="Calibri" w:cs="Calibri"/>
          <w:color w:val="000000" w:themeColor="text1"/>
          <w:lang w:val="en-GB"/>
        </w:rPr>
        <w:t>runDWLSDeconv</w:t>
      </w:r>
      <w:proofErr w:type="spellEnd"/>
      <w:r w:rsidRPr="003073E3">
        <w:rPr>
          <w:rFonts w:eastAsia="Calibri" w:cs="Calibri"/>
          <w:color w:val="000000" w:themeColor="text1"/>
          <w:lang w:val="en-GB"/>
        </w:rPr>
        <w:t xml:space="preserve"> was then ran on each </w:t>
      </w:r>
      <w:proofErr w:type="spellStart"/>
      <w:r w:rsidRPr="003073E3">
        <w:rPr>
          <w:rFonts w:eastAsia="Calibri" w:cs="Calibri"/>
          <w:color w:val="000000" w:themeColor="text1"/>
          <w:lang w:val="en-GB"/>
        </w:rPr>
        <w:t>giotto</w:t>
      </w:r>
      <w:proofErr w:type="spellEnd"/>
      <w:r w:rsidRPr="003073E3">
        <w:rPr>
          <w:rFonts w:eastAsia="Calibri" w:cs="Calibri"/>
          <w:color w:val="000000" w:themeColor="text1"/>
          <w:lang w:val="en-GB"/>
        </w:rPr>
        <w:t xml:space="preserve"> object separately with </w:t>
      </w:r>
      <w:proofErr w:type="spellStart"/>
      <w:r w:rsidRPr="003073E3">
        <w:rPr>
          <w:rFonts w:eastAsia="Calibri" w:cs="Calibri"/>
          <w:color w:val="000000" w:themeColor="text1"/>
          <w:lang w:val="en-GB"/>
        </w:rPr>
        <w:t>n_cell</w:t>
      </w:r>
      <w:proofErr w:type="spellEnd"/>
      <w:r w:rsidRPr="003073E3">
        <w:rPr>
          <w:rFonts w:eastAsia="Calibri" w:cs="Calibri"/>
          <w:color w:val="000000" w:themeColor="text1"/>
          <w:lang w:val="en-GB"/>
        </w:rPr>
        <w:t xml:space="preserve"> parameter set to 20. When cell type correlations were performed separately for each patient, the weighted Fisher’s method was used to combine p values to find significant associations.</w:t>
      </w:r>
    </w:p>
    <w:p w14:paraId="4C7BAE31" w14:textId="5697B737" w:rsidR="160FA244" w:rsidRPr="003073E3" w:rsidRDefault="160FA244" w:rsidP="003073E3">
      <w:pPr>
        <w:spacing w:line="480" w:lineRule="auto"/>
        <w:jc w:val="both"/>
        <w:rPr>
          <w:rFonts w:eastAsia="Calibri" w:cs="Calibri"/>
          <w:color w:val="000000" w:themeColor="text1"/>
          <w:lang w:val="en-GB"/>
        </w:rPr>
      </w:pPr>
    </w:p>
    <w:p w14:paraId="0D5DD9B5" w14:textId="707CE136" w:rsidR="7B949BAD" w:rsidRPr="003073E3" w:rsidRDefault="7B949BAD" w:rsidP="003073E3">
      <w:pPr>
        <w:pStyle w:val="Heading1"/>
        <w:spacing w:before="240" w:line="480" w:lineRule="auto"/>
        <w:jc w:val="both"/>
        <w:rPr>
          <w:rFonts w:asciiTheme="minorHAnsi" w:eastAsia="Calibri" w:hAnsiTheme="minorHAnsi" w:cs="Calibri"/>
          <w:color w:val="000000" w:themeColor="text1"/>
          <w:sz w:val="24"/>
          <w:szCs w:val="24"/>
          <w:u w:val="single"/>
        </w:rPr>
      </w:pPr>
      <w:r w:rsidRPr="003073E3">
        <w:rPr>
          <w:rFonts w:asciiTheme="minorHAnsi" w:eastAsia="Calibri" w:hAnsiTheme="minorHAnsi" w:cs="Calibri"/>
          <w:color w:val="000000" w:themeColor="text1"/>
          <w:sz w:val="24"/>
          <w:szCs w:val="24"/>
          <w:u w:val="single"/>
          <w:lang w:val="en-GB"/>
        </w:rPr>
        <w:t xml:space="preserve">Ligand Receptor and NicheNet analysis: </w:t>
      </w:r>
    </w:p>
    <w:p w14:paraId="74780056" w14:textId="191C62CB" w:rsidR="7B949BAD" w:rsidRPr="003073E3" w:rsidRDefault="7B949BAD" w:rsidP="003073E3">
      <w:pPr>
        <w:spacing w:line="480" w:lineRule="auto"/>
        <w:jc w:val="both"/>
        <w:rPr>
          <w:rFonts w:eastAsia="Calibri" w:cs="Calibri"/>
          <w:color w:val="000000" w:themeColor="text1"/>
        </w:rPr>
      </w:pPr>
      <w:r w:rsidRPr="003073E3">
        <w:rPr>
          <w:rFonts w:eastAsia="Calibri" w:cs="Calibri"/>
          <w:color w:val="000000" w:themeColor="text1"/>
          <w:lang w:val="en-GB"/>
        </w:rPr>
        <w:t>We first obtained the curated ligand-receptor interaction network from NicheNet [lr_network_human_21122021 (</w:t>
      </w:r>
      <w:proofErr w:type="spellStart"/>
      <w:r w:rsidRPr="003073E3">
        <w:rPr>
          <w:rFonts w:eastAsia="Calibri" w:cs="Calibri"/>
          <w:color w:val="000000" w:themeColor="text1"/>
          <w:lang w:val="en-GB"/>
        </w:rPr>
        <w:t>lr_network</w:t>
      </w:r>
      <w:proofErr w:type="spellEnd"/>
      <w:r w:rsidRPr="003073E3">
        <w:rPr>
          <w:rFonts w:eastAsia="Calibri" w:cs="Calibri"/>
          <w:color w:val="000000" w:themeColor="text1"/>
          <w:lang w:val="en-GB"/>
        </w:rPr>
        <w:t xml:space="preserve">)] </w:t>
      </w:r>
      <w:r w:rsidR="00F00A0C">
        <w:rPr>
          <w:rFonts w:eastAsia="Calibri" w:cs="Calibri"/>
          <w:color w:val="000000" w:themeColor="text1"/>
          <w:lang w:val="en-GB"/>
        </w:rPr>
        <w:fldChar w:fldCharType="begin"/>
      </w:r>
      <w:r w:rsidR="00F00A0C">
        <w:rPr>
          <w:rFonts w:eastAsia="Calibri" w:cs="Calibri"/>
          <w:color w:val="000000" w:themeColor="text1"/>
          <w:lang w:val="en-GB"/>
        </w:rPr>
        <w:instrText xml:space="preserve"> ADDIN ZOTERO_ITEM CSL_CITATION {"citationID":"KjyLTrhr","properties":{"formattedCitation":"[12]","plainCitation":"[12]","noteIndex":0},"citationItems":[{"id":2434,"uris":["http://zotero.org/users/8473258/items/66NCIHIL"],"itemData":{"id":2434,"type":"article-journal","abstract":"Computational methods that model how gene expression of a cell is influenced by interacting cells are lacking. We present NicheNet (https://github.com/saeyslab/nichenetr), a method that predicts ligand–target links between interacting cells by combining their expression data with prior knowledge on signaling and gene regulatory networks. We applied NicheNet to tumor and immune cell microenvironment data and demonstrate that NicheNet can infer active ligands and their gene regulatory effects on interacting cells.","container-title":"Nature Methods","DOI":"10.1038/s41592-019-0667-5","ISSN":"1548-7105","issue":"2","journalAbbreviation":"Nat Methods","language":"en","license":"2019 The Author(s), under exclusive licence to Springer Nature America, Inc.","note":"publisher: Nature Publishing Group","page":"159-162","source":"www.nature.com","title":"NicheNet: modeling intercellular communication by linking ligands to target genes","title-short":"NicheNet","volume":"17","author":[{"family":"Browaeys","given":"Robin"},{"family":"Saelens","given":"Wouter"},{"family":"Saeys","given":"Yvan"}],"issued":{"date-parts":[["2020",2]]}}}],"schema":"https://github.com/citation-style-language/schema/raw/master/csl-citation.json"} </w:instrText>
      </w:r>
      <w:r w:rsidR="00F00A0C">
        <w:rPr>
          <w:rFonts w:eastAsia="Calibri" w:cs="Calibri"/>
          <w:color w:val="000000" w:themeColor="text1"/>
          <w:lang w:val="en-GB"/>
        </w:rPr>
        <w:fldChar w:fldCharType="separate"/>
      </w:r>
      <w:r w:rsidR="00F00A0C">
        <w:rPr>
          <w:rFonts w:eastAsia="Calibri" w:cs="Calibri"/>
          <w:noProof/>
          <w:color w:val="000000" w:themeColor="text1"/>
          <w:lang w:val="en-GB"/>
        </w:rPr>
        <w:t>[12]</w:t>
      </w:r>
      <w:r w:rsidR="00F00A0C">
        <w:rPr>
          <w:rFonts w:eastAsia="Calibri" w:cs="Calibri"/>
          <w:color w:val="000000" w:themeColor="text1"/>
          <w:lang w:val="en-GB"/>
        </w:rPr>
        <w:fldChar w:fldCharType="end"/>
      </w:r>
      <w:r w:rsidRPr="003073E3">
        <w:rPr>
          <w:rFonts w:eastAsia="Calibri" w:cs="Calibri"/>
          <w:color w:val="000000" w:themeColor="text1"/>
          <w:lang w:val="en-GB"/>
        </w:rPr>
        <w:t>. We identified spatially differentially expressed (DE) ligands and receptors by findings DEGs between fibroblast-containing spots (RCTD normalised weight ≥ 0.05) compared to all other spots across all patient samples. DEGs (</w:t>
      </w:r>
      <w:proofErr w:type="spellStart"/>
      <w:r w:rsidRPr="003073E3">
        <w:rPr>
          <w:rFonts w:eastAsia="Calibri" w:cs="Calibri"/>
          <w:color w:val="000000" w:themeColor="text1"/>
          <w:lang w:val="en-GB"/>
        </w:rPr>
        <w:t>logfc.threshold</w:t>
      </w:r>
      <w:proofErr w:type="spellEnd"/>
      <w:r w:rsidRPr="003073E3">
        <w:rPr>
          <w:rFonts w:eastAsia="Calibri" w:cs="Calibri"/>
          <w:color w:val="000000" w:themeColor="text1"/>
          <w:lang w:val="en-GB"/>
        </w:rPr>
        <w:t xml:space="preserve"> = 1 and minimum expression in 25% of spots) were then filtered using the </w:t>
      </w:r>
      <w:proofErr w:type="spellStart"/>
      <w:r w:rsidRPr="003073E3">
        <w:rPr>
          <w:rFonts w:eastAsia="Calibri" w:cs="Calibri"/>
          <w:color w:val="000000" w:themeColor="text1"/>
          <w:lang w:val="en-GB"/>
        </w:rPr>
        <w:t>lr_network</w:t>
      </w:r>
      <w:proofErr w:type="spellEnd"/>
      <w:r w:rsidRPr="003073E3">
        <w:rPr>
          <w:rFonts w:eastAsia="Calibri" w:cs="Calibri"/>
          <w:color w:val="000000" w:themeColor="text1"/>
          <w:lang w:val="en-GB"/>
        </w:rPr>
        <w:t xml:space="preserve"> ligands and receptors. For each fibroblast subset, expressed receptors were identified using </w:t>
      </w:r>
      <w:proofErr w:type="spellStart"/>
      <w:r w:rsidRPr="003073E3">
        <w:rPr>
          <w:rFonts w:eastAsia="Calibri" w:cs="Calibri"/>
          <w:color w:val="000000" w:themeColor="text1"/>
          <w:lang w:val="en-GB"/>
        </w:rPr>
        <w:t>get_expressed_genes</w:t>
      </w:r>
      <w:proofErr w:type="spellEnd"/>
      <w:r w:rsidRPr="003073E3">
        <w:rPr>
          <w:rFonts w:eastAsia="Calibri" w:cs="Calibri"/>
          <w:color w:val="000000" w:themeColor="text1"/>
          <w:lang w:val="en-GB"/>
        </w:rPr>
        <w:t xml:space="preserve"> (minimum expression detected in ≥25% cells) and filtering for receptors in the </w:t>
      </w:r>
      <w:proofErr w:type="spellStart"/>
      <w:r w:rsidRPr="003073E3">
        <w:rPr>
          <w:rFonts w:eastAsia="Calibri" w:cs="Calibri"/>
          <w:color w:val="000000" w:themeColor="text1"/>
          <w:lang w:val="en-GB"/>
        </w:rPr>
        <w:t>lr_network</w:t>
      </w:r>
      <w:proofErr w:type="spellEnd"/>
      <w:r w:rsidRPr="003073E3">
        <w:rPr>
          <w:rFonts w:eastAsia="Calibri" w:cs="Calibri"/>
          <w:color w:val="000000" w:themeColor="text1"/>
          <w:lang w:val="en-GB"/>
        </w:rPr>
        <w:t xml:space="preserve">. We then filtered the </w:t>
      </w:r>
      <w:proofErr w:type="spellStart"/>
      <w:r w:rsidRPr="003073E3">
        <w:rPr>
          <w:rFonts w:eastAsia="Calibri" w:cs="Calibri"/>
          <w:color w:val="000000" w:themeColor="text1"/>
          <w:lang w:val="en-GB"/>
        </w:rPr>
        <w:t>lr_network</w:t>
      </w:r>
      <w:proofErr w:type="spellEnd"/>
      <w:r w:rsidRPr="003073E3">
        <w:rPr>
          <w:rFonts w:eastAsia="Calibri" w:cs="Calibri"/>
          <w:color w:val="000000" w:themeColor="text1"/>
          <w:lang w:val="en-GB"/>
        </w:rPr>
        <w:t xml:space="preserve"> to retain spatially DE ligands (niche ligands) that fibroblasts expressed the corresponding receptor to. Finally, we </w:t>
      </w:r>
      <w:r w:rsidRPr="003073E3">
        <w:rPr>
          <w:rFonts w:eastAsia="Calibri" w:cs="Calibri"/>
          <w:color w:val="000000" w:themeColor="text1"/>
          <w:lang w:val="en-GB"/>
        </w:rPr>
        <w:lastRenderedPageBreak/>
        <w:t xml:space="preserve">identified unique niche ligands (not spatially DE in other fibroblast niches). Sender cells were identified by scRNA-Seq and spatial transcriptomic cell type correlations. Within each ‘Sender’ cell type: ligands expressed by ≥ 10% of cells with mean normalised expression ≥0.1 were selected. This formulated niche-specific ligand-receptor pairs. </w:t>
      </w:r>
    </w:p>
    <w:p w14:paraId="273274F5" w14:textId="41E39B60" w:rsidR="160FA244" w:rsidRPr="003073E3" w:rsidRDefault="160FA244" w:rsidP="003073E3">
      <w:pPr>
        <w:spacing w:line="480" w:lineRule="auto"/>
        <w:jc w:val="both"/>
        <w:rPr>
          <w:rFonts w:eastAsia="Calibri" w:cs="Calibri"/>
          <w:color w:val="000000" w:themeColor="text1"/>
        </w:rPr>
      </w:pPr>
    </w:p>
    <w:p w14:paraId="558CF58A" w14:textId="5EBEF963" w:rsidR="7B949BAD" w:rsidRPr="003073E3" w:rsidRDefault="7B949BAD"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NicheNet was used to perform ligand activity analysis – identifying ligands ranked based on the area under the precision-recall curve (AUPR) – as outlined in the vignette. Sender cell types were selected based on prior spatial analysis and included the fibroblast subset of interest. DEGs between fibroblasts were determined (min.pct = 0.25,  </w:t>
      </w:r>
      <w:proofErr w:type="spellStart"/>
      <w:r w:rsidRPr="003073E3">
        <w:rPr>
          <w:rFonts w:eastAsia="Calibri" w:cs="Calibri"/>
          <w:color w:val="000000" w:themeColor="text1"/>
          <w:lang w:val="en-GB"/>
        </w:rPr>
        <w:t>logfc.threshold</w:t>
      </w:r>
      <w:proofErr w:type="spellEnd"/>
      <w:r w:rsidRPr="003073E3">
        <w:rPr>
          <w:rFonts w:eastAsia="Calibri" w:cs="Calibri"/>
          <w:color w:val="000000" w:themeColor="text1"/>
          <w:lang w:val="en-GB"/>
        </w:rPr>
        <w:t xml:space="preserve"> = 1) and the top 100 genes (avg_log2FC ≥1.5; ordered by descending avg_log2FC) were selected as the gene sets of interest. </w:t>
      </w:r>
      <w:proofErr w:type="spellStart"/>
      <w:r w:rsidRPr="003073E3">
        <w:rPr>
          <w:rFonts w:eastAsia="Calibri" w:cs="Calibri"/>
          <w:color w:val="000000" w:themeColor="text1"/>
          <w:lang w:val="en-GB"/>
        </w:rPr>
        <w:t>predict_ligand_activities</w:t>
      </w:r>
      <w:proofErr w:type="spellEnd"/>
      <w:r w:rsidRPr="003073E3">
        <w:rPr>
          <w:rFonts w:eastAsia="Calibri" w:cs="Calibri"/>
          <w:color w:val="000000" w:themeColor="text1"/>
          <w:lang w:val="en-GB"/>
        </w:rPr>
        <w:t xml:space="preserve"> was then used to determine ligand activities of niche-specific ligand-receptor pairs which were then sorted by descending </w:t>
      </w:r>
      <w:proofErr w:type="spellStart"/>
      <w:r w:rsidRPr="003073E3">
        <w:rPr>
          <w:rFonts w:eastAsia="Calibri" w:cs="Calibri"/>
          <w:color w:val="000000" w:themeColor="text1"/>
          <w:lang w:val="en-GB"/>
        </w:rPr>
        <w:t>aupr_corrected</w:t>
      </w:r>
      <w:proofErr w:type="spellEnd"/>
      <w:r w:rsidRPr="003073E3">
        <w:rPr>
          <w:rFonts w:eastAsia="Calibri" w:cs="Calibri"/>
          <w:color w:val="000000" w:themeColor="text1"/>
          <w:lang w:val="en-GB"/>
        </w:rPr>
        <w:t xml:space="preserve"> values.</w:t>
      </w:r>
    </w:p>
    <w:p w14:paraId="5BD90BFF" w14:textId="7289B5FA" w:rsidR="160FA244" w:rsidRPr="003073E3" w:rsidRDefault="160FA244" w:rsidP="003073E3">
      <w:pPr>
        <w:spacing w:line="480" w:lineRule="auto"/>
      </w:pPr>
    </w:p>
    <w:p w14:paraId="0C4AE329" w14:textId="508D6D59" w:rsidR="48CB0E49" w:rsidRPr="003073E3" w:rsidRDefault="48CB0E49" w:rsidP="003073E3">
      <w:pPr>
        <w:pStyle w:val="Heading1"/>
        <w:spacing w:before="240" w:line="480" w:lineRule="auto"/>
        <w:jc w:val="both"/>
        <w:rPr>
          <w:rFonts w:asciiTheme="minorHAnsi" w:eastAsia="Calibri" w:hAnsiTheme="minorHAnsi" w:cs="Calibri"/>
          <w:b/>
          <w:bCs/>
          <w:color w:val="000000" w:themeColor="text1"/>
          <w:sz w:val="24"/>
          <w:szCs w:val="24"/>
        </w:rPr>
      </w:pPr>
      <w:r w:rsidRPr="003073E3">
        <w:rPr>
          <w:rFonts w:asciiTheme="minorHAnsi" w:eastAsia="Calibri" w:hAnsiTheme="minorHAnsi" w:cs="Calibri"/>
          <w:b/>
          <w:bCs/>
          <w:color w:val="000000" w:themeColor="text1"/>
          <w:sz w:val="24"/>
          <w:szCs w:val="24"/>
          <w:lang w:val="en-GB"/>
        </w:rPr>
        <w:t>Generation of gene signatures for fibroblasts</w:t>
      </w:r>
    </w:p>
    <w:p w14:paraId="5A6C98AB" w14:textId="5B0F05DE" w:rsidR="48CB0E49" w:rsidRPr="003073E3" w:rsidRDefault="48CB0E49"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Fibroblast-specific gene signatures were generated as follows. 1) Identification of DEGs between HNSCC fibroblast clusters. 2) Identification of DEGs between fibroblast cluster and all other HNSCC cell types (removing genes expressed in &gt;10% of other cell types). 3) Filter step 1 DEGs by step 2 DEGs. 4) Filter to retain genes expressed by ≥ 50% of cells within cluster. The top 20 genes were then selected, and co-expression (spearman’s rho) was </w:t>
      </w:r>
      <w:r w:rsidRPr="003073E3">
        <w:rPr>
          <w:rFonts w:eastAsia="Calibri" w:cs="Calibri"/>
          <w:color w:val="000000" w:themeColor="text1"/>
          <w:lang w:val="en-GB"/>
        </w:rPr>
        <w:lastRenderedPageBreak/>
        <w:t>assessed using the TCGA HNSC bulk RNA-Seq data. Only genes that significantly positively correlated were retained to formulate the signature (</w:t>
      </w:r>
      <w:r w:rsidRPr="003073E3">
        <w:rPr>
          <w:rFonts w:eastAsia="Calibri" w:cs="Calibri"/>
          <w:color w:val="FF0000"/>
          <w:lang w:val="en-GB"/>
        </w:rPr>
        <w:t>Supplementary Table 8</w:t>
      </w:r>
      <w:r w:rsidRPr="003073E3">
        <w:rPr>
          <w:rFonts w:eastAsia="Calibri" w:cs="Calibri"/>
          <w:color w:val="000000" w:themeColor="text1"/>
          <w:lang w:val="en-GB"/>
        </w:rPr>
        <w:t>).</w:t>
      </w:r>
    </w:p>
    <w:p w14:paraId="138F3990" w14:textId="7BFBCBE0" w:rsidR="160FA244" w:rsidRPr="003073E3" w:rsidRDefault="160FA244" w:rsidP="003073E3">
      <w:pPr>
        <w:spacing w:line="480" w:lineRule="auto"/>
      </w:pPr>
    </w:p>
    <w:p w14:paraId="766E5A71" w14:textId="00B0302D" w:rsidR="79A97F0C" w:rsidRPr="003073E3" w:rsidRDefault="79A97F0C" w:rsidP="003073E3">
      <w:pPr>
        <w:pStyle w:val="Heading1"/>
        <w:spacing w:before="240" w:line="480" w:lineRule="auto"/>
        <w:jc w:val="both"/>
        <w:rPr>
          <w:rFonts w:asciiTheme="minorHAnsi" w:eastAsia="Calibri" w:hAnsiTheme="minorHAnsi" w:cs="Calibri"/>
          <w:b/>
          <w:bCs/>
          <w:color w:val="000000" w:themeColor="text1"/>
          <w:sz w:val="24"/>
          <w:szCs w:val="24"/>
        </w:rPr>
      </w:pPr>
      <w:r w:rsidRPr="003073E3">
        <w:rPr>
          <w:rFonts w:asciiTheme="minorHAnsi" w:eastAsia="Calibri" w:hAnsiTheme="minorHAnsi" w:cs="Calibri"/>
          <w:b/>
          <w:bCs/>
          <w:color w:val="000000" w:themeColor="text1"/>
          <w:sz w:val="24"/>
          <w:szCs w:val="24"/>
          <w:lang w:val="en-GB"/>
        </w:rPr>
        <w:t>Multiplex immunofluorescence using PhenoCycler-Fusion</w:t>
      </w:r>
    </w:p>
    <w:p w14:paraId="4EF7209E" w14:textId="0FC9E8FD" w:rsidR="79A97F0C" w:rsidRPr="003073E3" w:rsidRDefault="79A97F0C"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5 µm FFPE tissue sections were used to perform PhenoCycler-Fusion (CODEX) high order </w:t>
      </w:r>
      <w:proofErr w:type="spellStart"/>
      <w:r w:rsidRPr="003073E3">
        <w:rPr>
          <w:rFonts w:eastAsia="Calibri" w:cs="Calibri"/>
          <w:color w:val="000000" w:themeColor="text1"/>
          <w:lang w:val="en-GB"/>
        </w:rPr>
        <w:t>mIF</w:t>
      </w:r>
      <w:proofErr w:type="spellEnd"/>
      <w:r w:rsidRPr="003073E3">
        <w:rPr>
          <w:rFonts w:eastAsia="Calibri" w:cs="Calibri"/>
          <w:color w:val="000000" w:themeColor="text1"/>
          <w:lang w:val="en-GB"/>
        </w:rPr>
        <w:t xml:space="preserve"> assays according to manufacturers’ recommendation (Akoya Biosciences, MA, USA). Briefly, slides were baked at 60°C for 1 h, followed by a series of deparaffinization and rehydration steps. Target retrieval was done in a pressure cooker for 20</w:t>
      </w:r>
      <w:r w:rsidRPr="003073E3">
        <w:rPr>
          <w:rFonts w:ascii="Arial" w:eastAsia="Calibri" w:hAnsi="Arial" w:cs="Arial"/>
          <w:color w:val="000000" w:themeColor="text1"/>
          <w:lang w:val="en-GB"/>
        </w:rPr>
        <w:t> </w:t>
      </w:r>
      <w:r w:rsidRPr="003073E3">
        <w:rPr>
          <w:rFonts w:eastAsia="Calibri" w:cs="Calibri"/>
          <w:color w:val="000000" w:themeColor="text1"/>
          <w:lang w:val="en-GB"/>
        </w:rPr>
        <w:t>min with Tris/EDTA buffer, pH 9 (</w:t>
      </w:r>
      <w:proofErr w:type="spellStart"/>
      <w:r w:rsidRPr="003073E3">
        <w:rPr>
          <w:rFonts w:eastAsia="Calibri" w:cs="Calibri"/>
          <w:color w:val="000000" w:themeColor="text1"/>
          <w:lang w:val="en-GB"/>
        </w:rPr>
        <w:t>Dako</w:t>
      </w:r>
      <w:proofErr w:type="spellEnd"/>
      <w:r w:rsidRPr="003073E3">
        <w:rPr>
          <w:rFonts w:eastAsia="Calibri" w:cs="Calibri"/>
          <w:color w:val="000000" w:themeColor="text1"/>
          <w:lang w:val="en-GB"/>
        </w:rPr>
        <w:t>). Slides were cooled at room temperature, rinsed, and stored in Hydration Buffer at 4°C until staining. For the staining, an antibody cocktail was applied with preoptimized dilutions of each antibody and incubated at room temperature for 3</w:t>
      </w:r>
      <w:r w:rsidRPr="003073E3">
        <w:rPr>
          <w:rFonts w:ascii="Arial" w:eastAsia="Calibri" w:hAnsi="Arial" w:cs="Arial"/>
          <w:color w:val="000000" w:themeColor="text1"/>
          <w:lang w:val="en-GB"/>
        </w:rPr>
        <w:t> </w:t>
      </w:r>
      <w:r w:rsidRPr="003073E3">
        <w:rPr>
          <w:rFonts w:eastAsia="Calibri" w:cs="Calibri"/>
          <w:color w:val="000000" w:themeColor="text1"/>
          <w:lang w:val="en-GB"/>
        </w:rPr>
        <w:t xml:space="preserve">h. Slides were washed with staining buffer, followed by three-step fixation with 1.6% PFA, methanol, and fixative reagent. For the imaging, a flow cell (Akoya Biosciences) was assembled and two blank cycles without reporters were used as the first and last cycles for the subtraction of autofluorescence background on the PhenoCycler-Fusion imaging system (Akoya Biosciences). The Imager acquires DAPI and three channels (Cy3, Cy5, Cy7) at a time and generates a final QPTIFF file containing a composite image of all markers.  </w:t>
      </w:r>
    </w:p>
    <w:p w14:paraId="1D2BB682" w14:textId="70EF11A4" w:rsidR="160FA244" w:rsidRPr="003073E3" w:rsidRDefault="160FA244" w:rsidP="003073E3">
      <w:pPr>
        <w:spacing w:line="480" w:lineRule="auto"/>
        <w:jc w:val="both"/>
        <w:rPr>
          <w:rFonts w:eastAsia="Calibri" w:cs="Calibri"/>
          <w:color w:val="000000" w:themeColor="text1"/>
        </w:rPr>
      </w:pPr>
    </w:p>
    <w:p w14:paraId="0951AA8E" w14:textId="76EC2FBB" w:rsidR="79A97F0C" w:rsidRPr="003073E3" w:rsidRDefault="79A97F0C" w:rsidP="003073E3">
      <w:pPr>
        <w:spacing w:line="480" w:lineRule="auto"/>
        <w:jc w:val="both"/>
        <w:rPr>
          <w:rFonts w:eastAsia="Calibri" w:cs="Calibri"/>
          <w:color w:val="000000" w:themeColor="text1"/>
        </w:rPr>
      </w:pPr>
      <w:r w:rsidRPr="003073E3">
        <w:rPr>
          <w:rFonts w:eastAsia="Calibri" w:cs="Calibri"/>
          <w:color w:val="000000" w:themeColor="text1"/>
          <w:lang w:val="en-GB"/>
        </w:rPr>
        <w:t xml:space="preserve">Antibodies and reporters used in PhenoCycler-Fusion assays were purchased from Akoya Biosciences. C1Qa, CD163, CD19, PAX5, and CD57 carrier-free antibodies were custom conjugated to PhenoCycler barcodes using the antibody conjugation kit (Akoya Biosciences). </w:t>
      </w:r>
    </w:p>
    <w:p w14:paraId="253A5912" w14:textId="67AB26B3" w:rsidR="160FA244" w:rsidRPr="003073E3" w:rsidRDefault="160FA244" w:rsidP="003073E3">
      <w:pPr>
        <w:spacing w:line="480" w:lineRule="auto"/>
        <w:jc w:val="both"/>
        <w:rPr>
          <w:rFonts w:eastAsia="Calibri" w:cs="Calibri"/>
          <w:color w:val="000000" w:themeColor="text1"/>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997"/>
        <w:gridCol w:w="1312"/>
        <w:gridCol w:w="1647"/>
        <w:gridCol w:w="1647"/>
        <w:gridCol w:w="2756"/>
      </w:tblGrid>
      <w:tr w:rsidR="160FA244" w:rsidRPr="003073E3" w14:paraId="333295AD"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DEAB4C" w14:textId="097D92F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b/>
                <w:bCs/>
                <w:color w:val="000000" w:themeColor="text1"/>
                <w:sz w:val="14"/>
                <w:szCs w:val="14"/>
                <w:lang w:val="en-GB"/>
              </w:rPr>
              <w:t>Antibody</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82A930A" w14:textId="42FE65B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b/>
                <w:bCs/>
                <w:color w:val="000000" w:themeColor="text1"/>
                <w:sz w:val="14"/>
                <w:szCs w:val="14"/>
                <w:lang w:val="en-GB"/>
              </w:rPr>
              <w:t>Dilution</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F0D777" w14:textId="5331FF1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b/>
                <w:bCs/>
                <w:color w:val="000000" w:themeColor="text1"/>
                <w:sz w:val="14"/>
                <w:szCs w:val="14"/>
                <w:lang w:val="en-GB"/>
              </w:rPr>
              <w:t>Clone</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6ECFEB1" w14:textId="7C35F7C4" w:rsidR="160FA244" w:rsidRPr="003073E3" w:rsidRDefault="160FA244" w:rsidP="003073E3">
            <w:pPr>
              <w:spacing w:line="480" w:lineRule="auto"/>
              <w:jc w:val="both"/>
              <w:rPr>
                <w:rFonts w:eastAsia="Calibri" w:cs="Calibri"/>
                <w:color w:val="000000" w:themeColor="text1"/>
                <w:sz w:val="14"/>
                <w:szCs w:val="14"/>
              </w:rPr>
            </w:pPr>
            <w:proofErr w:type="spellStart"/>
            <w:r w:rsidRPr="003073E3">
              <w:rPr>
                <w:rFonts w:eastAsia="Calibri" w:cs="Calibri"/>
                <w:b/>
                <w:bCs/>
                <w:color w:val="000000" w:themeColor="text1"/>
                <w:sz w:val="14"/>
                <w:szCs w:val="14"/>
                <w:lang w:val="en-GB"/>
              </w:rPr>
              <w:t>Catalog</w:t>
            </w:r>
            <w:proofErr w:type="spellEnd"/>
            <w:r w:rsidRPr="003073E3">
              <w:rPr>
                <w:rFonts w:eastAsia="Calibri" w:cs="Calibri"/>
                <w:b/>
                <w:bCs/>
                <w:color w:val="000000" w:themeColor="text1"/>
                <w:sz w:val="14"/>
                <w:szCs w:val="14"/>
                <w:lang w:val="en-GB"/>
              </w:rPr>
              <w:t xml:space="preserve"> # </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4DF1B6D" w14:textId="0A10C97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b/>
                <w:bCs/>
                <w:color w:val="000000" w:themeColor="text1"/>
                <w:sz w:val="14"/>
                <w:szCs w:val="14"/>
                <w:lang w:val="en-GB"/>
              </w:rPr>
              <w:t>Barcode/Reporter</w:t>
            </w:r>
          </w:p>
        </w:tc>
      </w:tr>
      <w:tr w:rsidR="160FA244" w:rsidRPr="003073E3" w14:paraId="7A922496"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137EBC" w14:textId="577611C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HLA-A</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CD8C192" w14:textId="2F782CE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2DAA624" w14:textId="22D03B5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EP1395Y</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3FED988" w14:textId="6B37410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4450046</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9CF3F2A" w14:textId="08C9073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BX004/RX004-AF750</w:t>
            </w:r>
          </w:p>
        </w:tc>
      </w:tr>
      <w:tr w:rsidR="160FA244" w:rsidRPr="003073E3" w14:paraId="5BDDA425"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C0F97BC" w14:textId="772B8F2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CD34</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2B73000" w14:textId="3DAF4EC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D96CAB2" w14:textId="1E145CF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QBEND/10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43A4C7E" w14:textId="7473EB2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4250057</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D96CF32" w14:textId="6A64FF0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BX025/RX025-ATTO550</w:t>
            </w:r>
          </w:p>
        </w:tc>
      </w:tr>
      <w:tr w:rsidR="160FA244" w:rsidRPr="003073E3" w14:paraId="10AB3D64"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09C3F36" w14:textId="7295C18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CD4</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0458974" w14:textId="52F5D6E0"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A9DEAE" w14:textId="3E52A10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EPR6855</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33D49BE" w14:textId="751D794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4550112</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46F4A76" w14:textId="70401A2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BX003/RX003-Cy5</w:t>
            </w:r>
          </w:p>
        </w:tc>
      </w:tr>
      <w:tr w:rsidR="160FA244" w:rsidRPr="003073E3" w14:paraId="31E7D9F5"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CB3B69" w14:textId="72458B2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CD20</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C82E72C" w14:textId="70CC4C10"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70ADA9E" w14:textId="4C1CA0D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L26</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C56F7C" w14:textId="31BB909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4450018</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4EEFACA" w14:textId="1208BD6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BX007/RX007-AF750</w:t>
            </w:r>
          </w:p>
        </w:tc>
      </w:tr>
      <w:tr w:rsidR="160FA244" w:rsidRPr="003073E3" w14:paraId="0B9B0856"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946DF88" w14:textId="3C657A1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CD14</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3E440F7" w14:textId="49A5C23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1:500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8999B23" w14:textId="63980C1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EPR3653</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57DE6AA" w14:textId="51AD2E7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4450047</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DA4C557" w14:textId="3AD48A1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BX037/RX037-ATTO550</w:t>
            </w:r>
          </w:p>
        </w:tc>
      </w:tr>
      <w:tr w:rsidR="160FA244" w:rsidRPr="003073E3" w14:paraId="428653F2"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92180A2" w14:textId="792EC16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CD68</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448BFF7" w14:textId="50A94EC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E19B65" w14:textId="31C508C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KP1</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AFFD53" w14:textId="43B3AA3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4550113</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AF2A126" w14:textId="0656109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BX015/RX015-Cy5</w:t>
            </w:r>
          </w:p>
        </w:tc>
      </w:tr>
      <w:tr w:rsidR="160FA244" w:rsidRPr="003073E3" w14:paraId="21E638D2"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3E4AF57" w14:textId="4E482F1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Vimentin</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DCB9DB4" w14:textId="7669609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7997A9" w14:textId="682B82F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O91D3</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E769E55" w14:textId="6F005B6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4450050</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C605122" w14:textId="44B5FFE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BX022/RX022-AF750</w:t>
            </w:r>
          </w:p>
        </w:tc>
      </w:tr>
      <w:tr w:rsidR="160FA244" w:rsidRPr="003073E3" w14:paraId="6B9F8312"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380AF3" w14:textId="630AEC9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CD8</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8640BE7" w14:textId="442E3CF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4D0B45" w14:textId="32F3D27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C8/144B</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06BBD2" w14:textId="420B312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4250012</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CEE38C7" w14:textId="2489FDC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BX026/RX026-ATTO550</w:t>
            </w:r>
          </w:p>
        </w:tc>
      </w:tr>
      <w:tr w:rsidR="160FA244" w:rsidRPr="003073E3" w14:paraId="7D4E096E"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A18EE9F" w14:textId="52E5F87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CD11c</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067A4DA" w14:textId="2A62C22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76361C5" w14:textId="5CC2A7C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118/A5</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13CF47" w14:textId="3A4053B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4550114</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94D6C0B" w14:textId="2035E2B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BX024/RX024-Cy5</w:t>
            </w:r>
          </w:p>
        </w:tc>
      </w:tr>
      <w:tr w:rsidR="160FA244" w:rsidRPr="003073E3" w14:paraId="04B6CC25"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DC7F51C" w14:textId="33CE626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CD31</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A3EB753" w14:textId="54A33D5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681D37" w14:textId="63185C2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EP3095</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F23BB11" w14:textId="6508AFA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4450017</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9C073BA" w14:textId="265BA98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BX001/RX001-AF750</w:t>
            </w:r>
          </w:p>
        </w:tc>
      </w:tr>
      <w:tr w:rsidR="160FA244" w:rsidRPr="003073E3" w14:paraId="4C16176C"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31335D8" w14:textId="3BA1640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E-Cadherin</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BB671C6" w14:textId="40183F3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1:300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3CC86CE" w14:textId="43C5834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4A2C7</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D9E59D4" w14:textId="21F895B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4250021</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2BAF064" w14:textId="5F81460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BX014/RX014-ATTO550</w:t>
            </w:r>
          </w:p>
        </w:tc>
      </w:tr>
      <w:tr w:rsidR="160FA244" w:rsidRPr="003073E3" w14:paraId="4D711D0C"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4B3D1D8" w14:textId="3FB3E3F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CD45</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9D86C03" w14:textId="1FF70EA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1:300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1A4A83" w14:textId="03C6E3A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D9M81</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54EFC20" w14:textId="1274D23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4550121</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FE6BE54" w14:textId="0AE393D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BX021/RX021-Cy5</w:t>
            </w:r>
          </w:p>
        </w:tc>
      </w:tr>
      <w:tr w:rsidR="160FA244" w:rsidRPr="003073E3" w14:paraId="489AB594"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BFAB4D" w14:textId="3AE9FD0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SMA</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7815D35" w14:textId="1F7865F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CD1BB47" w14:textId="5F584FD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1A4</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D19E164" w14:textId="7EB1B27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4450049</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0E30760" w14:textId="5D0E00D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BX013/RX013-AF750</w:t>
            </w:r>
          </w:p>
        </w:tc>
      </w:tr>
      <w:tr w:rsidR="160FA244" w:rsidRPr="003073E3" w14:paraId="3C2FFE74"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5EC937" w14:textId="1BADCCC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CD45RO</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F5EE193" w14:textId="6977CB1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DD420CC" w14:textId="30A2F98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UCHL1</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5ACAD1" w14:textId="1D501A7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4250023</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44482B6" w14:textId="3F83C7E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BX017/RX017-ATTO550</w:t>
            </w:r>
          </w:p>
        </w:tc>
      </w:tr>
      <w:tr w:rsidR="160FA244" w:rsidRPr="003073E3" w14:paraId="5ECC0855"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06702E" w14:textId="246B24F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CD3e</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352AACF" w14:textId="1169829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88641B8" w14:textId="09962D2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EP449E</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3ABB6D0" w14:textId="057FCB3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4550119</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0D04192" w14:textId="115BE3A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BX045/RX045-Cy5</w:t>
            </w:r>
          </w:p>
        </w:tc>
      </w:tr>
      <w:tr w:rsidR="160FA244" w:rsidRPr="003073E3" w14:paraId="14EE7BEC"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68BBF1F" w14:textId="1BBEB20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Pan-Cytokeratin</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08AC651" w14:textId="20239A0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1:500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763DD43" w14:textId="27260A9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AE1/AE3</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663CFA" w14:textId="0F05806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4450020</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7D3A7D3" w14:textId="5A594BF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BX019/RX019-AF750</w:t>
            </w:r>
          </w:p>
        </w:tc>
      </w:tr>
      <w:tr w:rsidR="160FA244" w:rsidRPr="003073E3" w14:paraId="1BB6D7A3"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9CBB2A7" w14:textId="3DDA014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CD44</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37EDF4A" w14:textId="22F1F16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1:400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220754A" w14:textId="7DC9F9C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156-3C11</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C40334E" w14:textId="5D39CD8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4450041</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6C022B3" w14:textId="7628DF5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BX005/RX005-ATTO550</w:t>
            </w:r>
          </w:p>
        </w:tc>
      </w:tr>
      <w:tr w:rsidR="160FA244" w:rsidRPr="003073E3" w14:paraId="679855D1"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7B5D9FD" w14:textId="07A8DE7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HLA-DR</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7DC94A3" w14:textId="40F5CCD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4DF960" w14:textId="4A709FE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EPR3692</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F524AF" w14:textId="713EF86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4550118</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000E1C7" w14:textId="7BAECED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BX033/RX033-Cy5</w:t>
            </w:r>
          </w:p>
        </w:tc>
      </w:tr>
      <w:tr w:rsidR="160FA244" w:rsidRPr="003073E3" w14:paraId="00C9B6FA"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5335D1" w14:textId="073DF0E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CD79a</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A041467" w14:textId="589368F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B45AB63" w14:textId="2F2C8A9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D1X5C</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7CC1074" w14:textId="5AE678D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4450078</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A783CF1" w14:textId="1FF0F98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BX090/RX090-AF750</w:t>
            </w:r>
          </w:p>
        </w:tc>
      </w:tr>
      <w:tr w:rsidR="160FA244" w:rsidRPr="003073E3" w14:paraId="02D5D2CC"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153CFA" w14:textId="13691144" w:rsidR="160FA244" w:rsidRPr="003073E3" w:rsidRDefault="160FA244" w:rsidP="003073E3">
            <w:pPr>
              <w:spacing w:line="480" w:lineRule="auto"/>
              <w:jc w:val="both"/>
              <w:rPr>
                <w:rFonts w:eastAsia="Calibri" w:cs="Calibri"/>
                <w:color w:val="000000" w:themeColor="text1"/>
                <w:sz w:val="14"/>
                <w:szCs w:val="14"/>
              </w:rPr>
            </w:pPr>
            <w:proofErr w:type="spellStart"/>
            <w:r w:rsidRPr="003073E3">
              <w:rPr>
                <w:rFonts w:eastAsia="Calibri" w:cs="Calibri"/>
                <w:color w:val="000000" w:themeColor="text1"/>
                <w:sz w:val="14"/>
                <w:szCs w:val="14"/>
                <w:lang w:val="en-GB"/>
              </w:rPr>
              <w:t>GranzymeB</w:t>
            </w:r>
            <w:proofErr w:type="spellEnd"/>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CABC42A" w14:textId="35947AE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417A895" w14:textId="349C864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 xml:space="preserve">D6E9W </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AEFF17" w14:textId="5CFD8D8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4250055</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73948B3" w14:textId="6AE0C20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BX041/RX041-ATTO550</w:t>
            </w:r>
          </w:p>
        </w:tc>
      </w:tr>
      <w:tr w:rsidR="160FA244" w:rsidRPr="003073E3" w14:paraId="5F92F8BB"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D00789" w14:textId="231C62A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Collagen-IV</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11B9741" w14:textId="160EE20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CFC725" w14:textId="739305F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EPR209660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2FCCC9" w14:textId="371494A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4550122</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EE75B8D" w14:textId="76B078A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BX042/RX042-Cy5</w:t>
            </w:r>
          </w:p>
        </w:tc>
      </w:tr>
      <w:tr w:rsidR="160FA244" w:rsidRPr="003073E3" w14:paraId="5CD3D503"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71DE85" w14:textId="59F4759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C1Qa</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9A5DC6F" w14:textId="2BDDE92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1:50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0615FC3" w14:textId="1DA5180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EPR29804</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E708C7" w14:textId="196B4A8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Custom</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F6F98D0" w14:textId="76F9B13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BX070/RX070-AF750</w:t>
            </w:r>
          </w:p>
        </w:tc>
      </w:tr>
      <w:tr w:rsidR="160FA244" w:rsidRPr="003073E3" w14:paraId="0676990B"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0118811" w14:textId="3F9F21EC" w:rsidR="160FA244" w:rsidRPr="003073E3" w:rsidRDefault="160FA244" w:rsidP="003073E3">
            <w:pPr>
              <w:spacing w:line="480" w:lineRule="auto"/>
              <w:jc w:val="both"/>
              <w:rPr>
                <w:rFonts w:eastAsia="Calibri" w:cs="Calibri"/>
                <w:color w:val="000000" w:themeColor="text1"/>
                <w:sz w:val="14"/>
                <w:szCs w:val="14"/>
              </w:rPr>
            </w:pPr>
            <w:proofErr w:type="spellStart"/>
            <w:r w:rsidRPr="003073E3">
              <w:rPr>
                <w:rFonts w:eastAsia="Calibri" w:cs="Calibri"/>
                <w:color w:val="000000" w:themeColor="text1"/>
                <w:sz w:val="14"/>
                <w:szCs w:val="14"/>
                <w:lang w:val="en-GB"/>
              </w:rPr>
              <w:lastRenderedPageBreak/>
              <w:t>Podoplanin</w:t>
            </w:r>
            <w:proofErr w:type="spellEnd"/>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607E072" w14:textId="0AC117C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EEAD56C" w14:textId="6E38730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NC-08</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12A4A0F" w14:textId="674E52B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4250004</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F38A8CE" w14:textId="21A57DD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BX023/RX023-ATTO550</w:t>
            </w:r>
          </w:p>
        </w:tc>
      </w:tr>
      <w:tr w:rsidR="160FA244" w:rsidRPr="003073E3" w14:paraId="775C0A78"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A5877E" w14:textId="37B75C0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FoxP3</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1C60E21" w14:textId="45045BC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122E56D" w14:textId="4F24B57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236A/E7</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3D8280" w14:textId="7E3240A0"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4550071</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62FBE4E" w14:textId="6A4AFF1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BX031/RX031-AF647</w:t>
            </w:r>
          </w:p>
        </w:tc>
      </w:tr>
      <w:tr w:rsidR="160FA244" w:rsidRPr="003073E3" w14:paraId="3041C229"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11472E" w14:textId="3A37AFF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LAG3</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1F2C282" w14:textId="0A45FBE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1:50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2509E86" w14:textId="432231D0"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EPR20261</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74F4DB0" w14:textId="7AEED13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4550058</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A1BEC37" w14:textId="635EBDE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BX055/RX055-ATTO550</w:t>
            </w:r>
          </w:p>
        </w:tc>
      </w:tr>
      <w:tr w:rsidR="160FA244" w:rsidRPr="003073E3" w14:paraId="1A063DBB"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CBDC6A" w14:textId="427B74B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CD163</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F261BDA" w14:textId="5237E7E0"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0DD164" w14:textId="48A4A5A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D6U1J</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30BA2D" w14:textId="7D76204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Custom</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1135C87" w14:textId="6FCF4F6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BX016/RX016-AF647</w:t>
            </w:r>
          </w:p>
        </w:tc>
      </w:tr>
      <w:tr w:rsidR="160FA244" w:rsidRPr="003073E3" w14:paraId="52C04FF1"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210333" w14:textId="22A0E2F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ICOS</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982AB85" w14:textId="358314E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ACD4AF" w14:textId="32709C7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D1K2T</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FD72E2" w14:textId="2EBEABD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4550117</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67EB6E4" w14:textId="1C251FC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BX054/RX054-ATTO550</w:t>
            </w:r>
          </w:p>
        </w:tc>
      </w:tr>
      <w:tr w:rsidR="160FA244" w:rsidRPr="003073E3" w14:paraId="2ADD83C4"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41ECAB3" w14:textId="04F69E5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IDO1</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648B241" w14:textId="7A07FD70"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 </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7A8F204" w14:textId="1F76A61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 xml:space="preserve">V1NC3IDO </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33F52CC" w14:textId="5E643F5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4550123</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1770E0F" w14:textId="014DBBD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BX027/RX027-Cy5</w:t>
            </w:r>
          </w:p>
        </w:tc>
      </w:tr>
      <w:tr w:rsidR="160FA244" w:rsidRPr="003073E3" w14:paraId="2D237CAB"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D694D65" w14:textId="0EFC9EF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CD19</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0942E03" w14:textId="625C8D2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1:50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C8D3D4D" w14:textId="13B4AB7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RM332</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5F2DAF3" w14:textId="5CB989F0"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Custom</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120D544" w14:textId="65C6DDC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BX028/RX028-ATTO550</w:t>
            </w:r>
          </w:p>
        </w:tc>
      </w:tr>
      <w:tr w:rsidR="160FA244" w:rsidRPr="003073E3" w14:paraId="7E2C4CF3"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F9B0DC" w14:textId="0A376A7B"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PAX-5</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6148EEC" w14:textId="3D74298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3A9474F" w14:textId="665B245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RM331</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88DC9CF" w14:textId="2007AEA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Custom</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19763D1" w14:textId="72C67DF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BX088/RX088-Cy5</w:t>
            </w:r>
          </w:p>
        </w:tc>
      </w:tr>
      <w:tr w:rsidR="160FA244" w:rsidRPr="003073E3" w14:paraId="3E423CDB"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11A165" w14:textId="643ABC2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Ki67</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CDCC606" w14:textId="6FFCC82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 1:300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5296BA" w14:textId="27775AA2"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B56</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658561B" w14:textId="4BE49E4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4250019</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62E6FD1" w14:textId="1F15996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 BX047/RX047-ATTO550</w:t>
            </w:r>
          </w:p>
        </w:tc>
      </w:tr>
      <w:tr w:rsidR="160FA244" w:rsidRPr="003073E3" w14:paraId="0CBFC69A"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3143C1" w14:textId="3E7576E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CD21</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tcPr>
          <w:p w14:paraId="628D92D4" w14:textId="7DE2CE7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1:300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C6B024" w14:textId="5570E77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EP3093</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60F8B34" w14:textId="14743A6F"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4450027</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tcPr>
          <w:p w14:paraId="6FB4D22F" w14:textId="49C366C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BX032/RX032-ATTO550</w:t>
            </w:r>
          </w:p>
        </w:tc>
      </w:tr>
      <w:tr w:rsidR="160FA244" w:rsidRPr="003073E3" w14:paraId="5145C7C7"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DE18A05" w14:textId="0D2814E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CD38</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tcPr>
          <w:p w14:paraId="1DEF060C" w14:textId="12E29FF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064F98" w14:textId="73CB995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E7Z8C</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0511E5" w14:textId="597300F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4250080</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tcPr>
          <w:p w14:paraId="7B0C89BA" w14:textId="790FE4E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BX089/RX089-ATTO550</w:t>
            </w:r>
          </w:p>
        </w:tc>
      </w:tr>
      <w:tr w:rsidR="160FA244" w:rsidRPr="003073E3" w14:paraId="3027E8DC"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ED31A98" w14:textId="5A27964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PD-1</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tcPr>
          <w:p w14:paraId="045B6259" w14:textId="0E4A6B41"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B7ED5F" w14:textId="4CBC336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D4W2J</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C1496CC" w14:textId="326999CA"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4550038</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tcPr>
          <w:p w14:paraId="7E886C9D" w14:textId="4BE9BEF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BX046/RX046-AF647</w:t>
            </w:r>
          </w:p>
        </w:tc>
      </w:tr>
      <w:tr w:rsidR="160FA244" w:rsidRPr="003073E3" w14:paraId="4F5E695C"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DAB6C3" w14:textId="1898337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MPO</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tcPr>
          <w:p w14:paraId="1F5A3CD2" w14:textId="53FF54E7"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1:200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945C81" w14:textId="4C3810B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E1E7I</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A60D488" w14:textId="26BC3615"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4250083</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tcPr>
          <w:p w14:paraId="40C36385" w14:textId="6A4FCB6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BX098/RX098-ATTO550</w:t>
            </w:r>
          </w:p>
        </w:tc>
      </w:tr>
      <w:tr w:rsidR="160FA244" w:rsidRPr="003073E3" w14:paraId="2F6BC8A0"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C57180" w14:textId="2CD5E1E4"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PD-L1</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tcPr>
          <w:p w14:paraId="61541CFC" w14:textId="0BCD361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759E59E" w14:textId="6D64C866"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RM320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3952ED" w14:textId="456BD378" w:rsidR="160FA244" w:rsidRPr="003073E3" w:rsidRDefault="160FA244" w:rsidP="003073E3">
            <w:pPr>
              <w:spacing w:line="480" w:lineRule="auto"/>
              <w:jc w:val="both"/>
              <w:rPr>
                <w:rFonts w:eastAsia="Calibri" w:cs="Calibri"/>
                <w:sz w:val="14"/>
                <w:szCs w:val="14"/>
              </w:rPr>
            </w:pPr>
            <w:r w:rsidRPr="003073E3">
              <w:rPr>
                <w:rFonts w:eastAsia="Calibri" w:cs="Calibri"/>
                <w:sz w:val="14"/>
                <w:szCs w:val="14"/>
                <w:lang w:val="en-GB"/>
              </w:rPr>
              <w:t>4550072</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tcPr>
          <w:p w14:paraId="394EA093" w14:textId="5C52ECED"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BX043/RX043-AF647</w:t>
            </w:r>
          </w:p>
        </w:tc>
      </w:tr>
      <w:tr w:rsidR="160FA244" w:rsidRPr="003073E3" w14:paraId="0FFD53E0" w14:textId="77777777" w:rsidTr="160FA244">
        <w:trPr>
          <w:trHeight w:val="300"/>
        </w:trPr>
        <w:tc>
          <w:tcPr>
            <w:tcW w:w="1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3030DA6" w14:textId="4F926ECE"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CD57</w:t>
            </w:r>
          </w:p>
        </w:tc>
        <w:tc>
          <w:tcPr>
            <w:tcW w:w="1312" w:type="dxa"/>
            <w:tcBorders>
              <w:top w:val="single" w:sz="6" w:space="0" w:color="auto"/>
              <w:left w:val="single" w:sz="6" w:space="0" w:color="auto"/>
              <w:bottom w:val="single" w:sz="6" w:space="0" w:color="auto"/>
              <w:right w:val="single" w:sz="6" w:space="0" w:color="auto"/>
            </w:tcBorders>
            <w:tcMar>
              <w:left w:w="105" w:type="dxa"/>
              <w:right w:w="105" w:type="dxa"/>
            </w:tcMar>
          </w:tcPr>
          <w:p w14:paraId="48FD1199" w14:textId="205C3AEC"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1:100</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4B096B" w14:textId="75F062A3"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HNK-1</w:t>
            </w:r>
          </w:p>
        </w:tc>
        <w:tc>
          <w:tcPr>
            <w:tcW w:w="164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97D0D5" w14:textId="1967F618"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Custom</w:t>
            </w:r>
          </w:p>
        </w:tc>
        <w:tc>
          <w:tcPr>
            <w:tcW w:w="2756" w:type="dxa"/>
            <w:tcBorders>
              <w:top w:val="single" w:sz="6" w:space="0" w:color="auto"/>
              <w:left w:val="single" w:sz="6" w:space="0" w:color="auto"/>
              <w:bottom w:val="single" w:sz="6" w:space="0" w:color="auto"/>
              <w:right w:val="single" w:sz="6" w:space="0" w:color="auto"/>
            </w:tcBorders>
            <w:tcMar>
              <w:left w:w="105" w:type="dxa"/>
              <w:right w:w="105" w:type="dxa"/>
            </w:tcMar>
          </w:tcPr>
          <w:p w14:paraId="74A6E360" w14:textId="00886C69" w:rsidR="160FA244" w:rsidRPr="003073E3" w:rsidRDefault="160FA244" w:rsidP="003073E3">
            <w:pPr>
              <w:spacing w:line="480" w:lineRule="auto"/>
              <w:jc w:val="both"/>
              <w:rPr>
                <w:rFonts w:eastAsia="Calibri" w:cs="Calibri"/>
                <w:color w:val="000000" w:themeColor="text1"/>
                <w:sz w:val="14"/>
                <w:szCs w:val="14"/>
              </w:rPr>
            </w:pPr>
            <w:r w:rsidRPr="003073E3">
              <w:rPr>
                <w:rFonts w:eastAsia="Calibri" w:cs="Calibri"/>
                <w:color w:val="000000" w:themeColor="text1"/>
                <w:sz w:val="14"/>
                <w:szCs w:val="14"/>
                <w:lang w:val="en-GB"/>
              </w:rPr>
              <w:t>BX049/RX049-AF647</w:t>
            </w:r>
          </w:p>
        </w:tc>
      </w:tr>
    </w:tbl>
    <w:p w14:paraId="47F2955C" w14:textId="2382ED2A" w:rsidR="160FA244" w:rsidRPr="003073E3" w:rsidRDefault="160FA244" w:rsidP="003073E3">
      <w:pPr>
        <w:spacing w:line="480" w:lineRule="auto"/>
        <w:jc w:val="both"/>
        <w:rPr>
          <w:rFonts w:eastAsia="Calibri" w:cs="Calibri"/>
          <w:color w:val="000000" w:themeColor="text1"/>
        </w:rPr>
      </w:pPr>
    </w:p>
    <w:p w14:paraId="733E3478" w14:textId="77777777" w:rsidR="00FE7555" w:rsidRPr="003073E3" w:rsidRDefault="00FE7555" w:rsidP="003073E3">
      <w:pPr>
        <w:spacing w:line="480" w:lineRule="auto"/>
        <w:rPr>
          <w:rFonts w:eastAsia="Calibri" w:cs="Calibri"/>
          <w:b/>
          <w:bCs/>
          <w:sz w:val="28"/>
          <w:szCs w:val="28"/>
          <w:lang w:val="en-GB"/>
        </w:rPr>
      </w:pPr>
      <w:r w:rsidRPr="003073E3">
        <w:rPr>
          <w:rFonts w:eastAsia="Calibri" w:cs="Calibri"/>
          <w:b/>
          <w:bCs/>
          <w:sz w:val="28"/>
          <w:szCs w:val="28"/>
          <w:lang w:val="en-GB"/>
        </w:rPr>
        <w:br w:type="page"/>
      </w:r>
    </w:p>
    <w:p w14:paraId="352F11E9" w14:textId="25D4E411" w:rsidR="00FE7555" w:rsidRPr="003073E3" w:rsidRDefault="00FE7555" w:rsidP="003073E3">
      <w:pPr>
        <w:pStyle w:val="Heading1"/>
        <w:spacing w:before="240" w:after="0" w:line="480" w:lineRule="auto"/>
        <w:jc w:val="both"/>
        <w:rPr>
          <w:rFonts w:asciiTheme="minorHAnsi" w:eastAsia="Calibri" w:hAnsiTheme="minorHAnsi" w:cs="Calibri"/>
          <w:b/>
          <w:bCs/>
          <w:color w:val="auto"/>
          <w:sz w:val="28"/>
          <w:szCs w:val="28"/>
          <w:lang w:val="en-GB"/>
        </w:rPr>
      </w:pPr>
      <w:r w:rsidRPr="003073E3">
        <w:rPr>
          <w:rFonts w:asciiTheme="minorHAnsi" w:eastAsia="Calibri" w:hAnsiTheme="minorHAnsi" w:cs="Calibri"/>
          <w:b/>
          <w:bCs/>
          <w:color w:val="auto"/>
          <w:sz w:val="28"/>
          <w:szCs w:val="28"/>
          <w:lang w:val="en-GB"/>
        </w:rPr>
        <w:lastRenderedPageBreak/>
        <w:t>3. EXTENDED DATA FIGURES</w:t>
      </w:r>
    </w:p>
    <w:p w14:paraId="3F63462D" w14:textId="45BB43A2" w:rsidR="00FE7555" w:rsidRPr="003073E3" w:rsidRDefault="00FE7555" w:rsidP="003073E3">
      <w:pPr>
        <w:pStyle w:val="ListParagraph"/>
        <w:spacing w:line="480" w:lineRule="auto"/>
        <w:ind w:left="0"/>
        <w:rPr>
          <w:lang w:val="en-GB"/>
        </w:rPr>
      </w:pPr>
      <w:r w:rsidRPr="003073E3">
        <w:rPr>
          <w:noProof/>
          <w:lang w:val="en-GB"/>
        </w:rPr>
        <w:drawing>
          <wp:inline distT="0" distB="0" distL="0" distR="0" wp14:anchorId="3C1E6735" wp14:editId="32BB5AE8">
            <wp:extent cx="5943600" cy="7748905"/>
            <wp:effectExtent l="0" t="0" r="0" b="0"/>
            <wp:docPr id="429748304" name="Picture 12" descr="A close-up of a scientific presen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748304" name="Picture 12" descr="A close-up of a scientific presentation&#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7748905"/>
                    </a:xfrm>
                    <a:prstGeom prst="rect">
                      <a:avLst/>
                    </a:prstGeom>
                  </pic:spPr>
                </pic:pic>
              </a:graphicData>
            </a:graphic>
          </wp:inline>
        </w:drawing>
      </w:r>
    </w:p>
    <w:p w14:paraId="0306C621" w14:textId="77777777" w:rsidR="00FE7555" w:rsidRPr="00FE7555" w:rsidRDefault="00FE7555" w:rsidP="003073E3">
      <w:pPr>
        <w:spacing w:line="480" w:lineRule="auto"/>
        <w:rPr>
          <w:b/>
          <w:bCs/>
          <w:lang w:val="en-GB"/>
        </w:rPr>
      </w:pPr>
      <w:r w:rsidRPr="00FE7555">
        <w:rPr>
          <w:b/>
          <w:bCs/>
        </w:rPr>
        <w:lastRenderedPageBreak/>
        <w:t xml:space="preserve">Extended Data Figure 1. </w:t>
      </w:r>
    </w:p>
    <w:p w14:paraId="35EB90D8" w14:textId="4B228C5B" w:rsidR="00FE7555" w:rsidRPr="00FE7555" w:rsidRDefault="00FE7555" w:rsidP="003073E3">
      <w:pPr>
        <w:spacing w:line="480" w:lineRule="auto"/>
        <w:rPr>
          <w:sz w:val="22"/>
          <w:szCs w:val="22"/>
          <w:lang w:val="en-GB"/>
        </w:rPr>
      </w:pPr>
      <w:r w:rsidRPr="00FE7555">
        <w:rPr>
          <w:sz w:val="22"/>
          <w:szCs w:val="22"/>
        </w:rPr>
        <w:t xml:space="preserve">A) myCAF and immune cell sample-level scRNA-Seq correlations (spearman; p&lt;0.05). For HNSCC samples only, fibroblast proportions (relative to total fibroblasts) per sample were correlated against immune cell cluster proportions (relative to total immune cells). Only significant positive associations are shown. B) Spatial transcriptomics cell type correlations (spearman) using RCTD imputed abundance (normalised weights ≥ 0.05). Visium (10x) spots were deconvoluted using RCTD. </w:t>
      </w:r>
      <w:r w:rsidRPr="00FE7555">
        <w:rPr>
          <w:sz w:val="22"/>
          <w:szCs w:val="22"/>
          <w:lang w:val="en-GB"/>
        </w:rPr>
        <w:t>Annotated scRNA-Seq data was used as a reference for derivation of cell-type specific gene signatures that were used to deconvolute the cell types present within each 55</w:t>
      </w:r>
      <w:r w:rsidR="00F00A0C">
        <w:rPr>
          <w:sz w:val="22"/>
          <w:szCs w:val="22"/>
          <w:lang w:val="en-GB"/>
        </w:rPr>
        <w:sym w:font="Symbol" w:char="F06D"/>
      </w:r>
      <w:r w:rsidR="00F00A0C">
        <w:rPr>
          <w:sz w:val="22"/>
          <w:szCs w:val="22"/>
          <w:lang w:val="en-GB"/>
        </w:rPr>
        <w:t>m</w:t>
      </w:r>
      <w:r w:rsidRPr="00FE7555">
        <w:rPr>
          <w:sz w:val="22"/>
          <w:szCs w:val="22"/>
          <w:lang w:val="en-GB"/>
        </w:rPr>
        <w:t xml:space="preserve"> spot. Spearman correlation of normalised weights was carried out on each patient separately. Correlation coefficients are plotted for each of 10 patients, median displayed as vertical line in boxplot and mean as star symbol. Weighted Fisher’s method was used to combine p values. </w:t>
      </w:r>
      <w:r w:rsidRPr="00FE7555">
        <w:rPr>
          <w:sz w:val="22"/>
          <w:szCs w:val="22"/>
        </w:rPr>
        <w:t xml:space="preserve">C) Spatial feature plot of deconvoluted values of myCAF, macrophage and Treg in </w:t>
      </w:r>
      <w:proofErr w:type="gramStart"/>
      <w:r w:rsidRPr="00FE7555">
        <w:rPr>
          <w:sz w:val="22"/>
          <w:szCs w:val="22"/>
        </w:rPr>
        <w:t>a</w:t>
      </w:r>
      <w:proofErr w:type="gramEnd"/>
      <w:r w:rsidRPr="00FE7555">
        <w:rPr>
          <w:sz w:val="22"/>
          <w:szCs w:val="22"/>
        </w:rPr>
        <w:t xml:space="preserve"> HPV+ve HNSCC sample. D) MxIHC (Phenocycler-Fusion) showing staining (DAPI, Pan-cytokeratin, PDPN, CD31, </w:t>
      </w:r>
      <w:r w:rsidR="00F00A0C">
        <w:rPr>
          <w:rFonts w:ascii="Cambria Math" w:hAnsi="Cambria Math" w:cs="Cambria Math"/>
          <w:sz w:val="22"/>
          <w:szCs w:val="22"/>
        </w:rPr>
        <w:sym w:font="Symbol" w:char="F061"/>
      </w:r>
      <w:r w:rsidRPr="00FE7555">
        <w:rPr>
          <w:sz w:val="22"/>
          <w:szCs w:val="22"/>
        </w:rPr>
        <w:t xml:space="preserve">SMA, CD68, CD163, FOXP3) in myCAF containing region of interest identified by RCTD deconvolution. MxIHC markers are shown separately and accompanied by composite image of all markers. E) Spatial feature plots (spatial transcriptomics) and MxIHC demonstrating myCAF spatial association with the epithelial-stromal border. MxIHC staining showing DAPI, CD45, </w:t>
      </w:r>
      <w:r w:rsidR="00F00A0C">
        <w:rPr>
          <w:rFonts w:ascii="Cambria Math" w:hAnsi="Cambria Math" w:cs="Cambria Math"/>
          <w:sz w:val="22"/>
          <w:szCs w:val="22"/>
        </w:rPr>
        <w:sym w:font="Symbol" w:char="F061"/>
      </w:r>
      <w:r w:rsidRPr="00FE7555">
        <w:rPr>
          <w:sz w:val="22"/>
          <w:szCs w:val="22"/>
        </w:rPr>
        <w:t xml:space="preserve">SMA and Pan-cytokeratin. </w:t>
      </w:r>
      <w:r w:rsidRPr="00FE7555">
        <w:rPr>
          <w:sz w:val="22"/>
          <w:szCs w:val="22"/>
          <w:lang w:val="en-GB"/>
        </w:rPr>
        <w:t>*p &lt; 0.05; **p &lt; 0.01; ***p &lt; 0.001. ****p &lt; 0.0001.</w:t>
      </w:r>
    </w:p>
    <w:p w14:paraId="2752CE3E" w14:textId="38D367E7" w:rsidR="59E1A54E" w:rsidRPr="003073E3" w:rsidRDefault="00FE7555" w:rsidP="003073E3">
      <w:pPr>
        <w:pStyle w:val="Heading1"/>
        <w:spacing w:line="480" w:lineRule="auto"/>
        <w:rPr>
          <w:rFonts w:asciiTheme="minorHAnsi" w:hAnsiTheme="minorHAnsi"/>
        </w:rPr>
      </w:pPr>
      <w:r w:rsidRPr="003073E3">
        <w:rPr>
          <w:rFonts w:asciiTheme="minorHAnsi" w:hAnsiTheme="minorHAnsi"/>
          <w:noProof/>
        </w:rPr>
        <w:lastRenderedPageBreak/>
        <w:drawing>
          <wp:inline distT="0" distB="0" distL="0" distR="0" wp14:anchorId="2145CAB5" wp14:editId="75149C41">
            <wp:extent cx="5943600" cy="7253605"/>
            <wp:effectExtent l="0" t="0" r="0" b="0"/>
            <wp:docPr id="626215593" name="Picture 13" descr="A close-up of a collage of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215593" name="Picture 13" descr="A close-up of a collage of images&#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7253605"/>
                    </a:xfrm>
                    <a:prstGeom prst="rect">
                      <a:avLst/>
                    </a:prstGeom>
                  </pic:spPr>
                </pic:pic>
              </a:graphicData>
            </a:graphic>
          </wp:inline>
        </w:drawing>
      </w:r>
    </w:p>
    <w:p w14:paraId="0ACE064B" w14:textId="77777777" w:rsidR="00FE7555" w:rsidRPr="003073E3" w:rsidRDefault="00FE7555" w:rsidP="003073E3">
      <w:pPr>
        <w:spacing w:line="480" w:lineRule="auto"/>
        <w:rPr>
          <w:b/>
          <w:bCs/>
        </w:rPr>
      </w:pPr>
    </w:p>
    <w:p w14:paraId="1CE9205C" w14:textId="354C4A63" w:rsidR="00FE7555" w:rsidRPr="00FE7555" w:rsidRDefault="00FE7555" w:rsidP="003073E3">
      <w:pPr>
        <w:spacing w:line="480" w:lineRule="auto"/>
        <w:rPr>
          <w:b/>
          <w:bCs/>
        </w:rPr>
      </w:pPr>
      <w:r w:rsidRPr="00FE7555">
        <w:rPr>
          <w:b/>
          <w:bCs/>
        </w:rPr>
        <w:lastRenderedPageBreak/>
        <w:t xml:space="preserve">Extended Data Figure 2. </w:t>
      </w:r>
    </w:p>
    <w:p w14:paraId="368B3AA5" w14:textId="7E29141F" w:rsidR="00FE7555" w:rsidRPr="00FE7555" w:rsidRDefault="00FE7555" w:rsidP="003073E3">
      <w:pPr>
        <w:spacing w:line="480" w:lineRule="auto"/>
        <w:rPr>
          <w:sz w:val="22"/>
          <w:szCs w:val="22"/>
        </w:rPr>
      </w:pPr>
      <w:r w:rsidRPr="00FE7555">
        <w:rPr>
          <w:sz w:val="22"/>
          <w:szCs w:val="22"/>
        </w:rPr>
        <w:t>A) PI16+ universal fibroblasts and immune cell sample-level scRNA-Seq correlations (spearman; p&lt;0.05). For HNSCC samples only, fibroblast proportions (relative to total fibroblasts) per sample were correlated against immune cell cluster proportions (relative to total immune cells). Only significant positive associations are shown. B) Spatial transcriptomics cell type correlations (spearman) using RCTD imputed abundance (normalised weights ≥ 0.05). Visium (10x) spots were deconvoluted using RCTD. Annotated scRNA-Seq data was used as a reference for derivation of cell-type specific gene signatures that were used to deconvolute the cell types present within each 55</w:t>
      </w:r>
      <w:r w:rsidR="00F00A0C">
        <w:rPr>
          <w:sz w:val="22"/>
          <w:szCs w:val="22"/>
        </w:rPr>
        <w:sym w:font="Symbol" w:char="F06D"/>
      </w:r>
      <w:r w:rsidR="00F00A0C">
        <w:rPr>
          <w:sz w:val="22"/>
          <w:szCs w:val="22"/>
        </w:rPr>
        <w:t>m</w:t>
      </w:r>
      <w:r w:rsidRPr="00FE7555">
        <w:rPr>
          <w:sz w:val="22"/>
          <w:szCs w:val="22"/>
        </w:rPr>
        <w:t xml:space="preserve"> spot. Spearman correlation of normalised weights was carried out on each patient separately. Correlation coefficients are plotted for each of 10 patients, median displayed as vertical line in boxplot and mean as star symbol. Weighted Fisher’s method was used to combine p values. C) Spatial feature plot of deconvoluted values of PI16+ universal fibroblasts , endothelial cells and Mural cells in </w:t>
      </w:r>
      <w:proofErr w:type="gramStart"/>
      <w:r w:rsidRPr="00FE7555">
        <w:rPr>
          <w:sz w:val="22"/>
          <w:szCs w:val="22"/>
        </w:rPr>
        <w:t>a</w:t>
      </w:r>
      <w:proofErr w:type="gramEnd"/>
      <w:r w:rsidRPr="00FE7555">
        <w:rPr>
          <w:sz w:val="22"/>
          <w:szCs w:val="22"/>
        </w:rPr>
        <w:t xml:space="preserve"> HPV+ve HNSCC sample. D) Spatial feature plot and MxIHC (Phenocycler-Fusion) showing staining (DAPI, Pan-cytokeratin, PDPN, CD31, </w:t>
      </w:r>
      <w:r w:rsidR="00F00A0C">
        <w:rPr>
          <w:rFonts w:ascii="Cambria Math" w:hAnsi="Cambria Math" w:cs="Cambria Math"/>
          <w:sz w:val="22"/>
          <w:szCs w:val="22"/>
        </w:rPr>
        <w:sym w:font="Symbol" w:char="F061"/>
      </w:r>
      <w:r w:rsidRPr="00FE7555">
        <w:rPr>
          <w:sz w:val="22"/>
          <w:szCs w:val="22"/>
        </w:rPr>
        <w:t xml:space="preserve">SMA, CD34, CD45) in PI16+ universal fibroblast containing region of interest identified by RCTD deconvolution. MxIHC markers are shown separately and accompanied by composite image of all markers. PI16+ universal fibroblasts express CD34 (CD31-) and are found near vasculature. PDPN and </w:t>
      </w:r>
      <w:r w:rsidR="00F00A0C">
        <w:rPr>
          <w:rFonts w:ascii="Cambria Math" w:hAnsi="Cambria Math" w:cs="Cambria Math"/>
          <w:sz w:val="22"/>
          <w:szCs w:val="22"/>
        </w:rPr>
        <w:sym w:font="Symbol" w:char="F061"/>
      </w:r>
      <w:r w:rsidRPr="00FE7555">
        <w:rPr>
          <w:sz w:val="22"/>
          <w:szCs w:val="22"/>
        </w:rPr>
        <w:t>SMA expression increases and CD34 decreases in fibroblastic cells as distance to epithelial cells (pan-</w:t>
      </w:r>
      <w:proofErr w:type="spellStart"/>
      <w:r w:rsidRPr="00FE7555">
        <w:rPr>
          <w:sz w:val="22"/>
          <w:szCs w:val="22"/>
        </w:rPr>
        <w:t>cyk</w:t>
      </w:r>
      <w:proofErr w:type="spellEnd"/>
      <w:r w:rsidRPr="00FE7555">
        <w:rPr>
          <w:sz w:val="22"/>
          <w:szCs w:val="22"/>
        </w:rPr>
        <w:t xml:space="preserve">) decreases. This is in parallel to PI16+ universal fibroblast and myCAF spatial localisation according to spatial transcriptomics. E) Spatial feature plots (spatial transcriptomics) demonstrating PI16+ universal fibroblast distanced from epithelial-stromal border. In contrast to myCAF found at the epithelial-stromal border. Fibroblast phenotypes considered present in a Visium spot when RCTD normalised weights ≥ 0.05. Spots coloured by fibroblast phenotype (PI16, blue; myCAF, red; PI16 </w:t>
      </w:r>
      <w:r w:rsidRPr="00FE7555">
        <w:rPr>
          <w:sz w:val="22"/>
          <w:szCs w:val="22"/>
        </w:rPr>
        <w:lastRenderedPageBreak/>
        <w:t>and myCAF; green). Spots considered mixed when within a given spot &gt;1 fibroblast phenotype was present. *p &lt; 0.05; **p &lt; 0.01; ***p &lt; 0.001. ****p &lt; 0.0001.</w:t>
      </w:r>
    </w:p>
    <w:p w14:paraId="1655A1E3" w14:textId="77777777" w:rsidR="00FE7555" w:rsidRPr="00FE7555" w:rsidRDefault="00FE7555" w:rsidP="003073E3">
      <w:pPr>
        <w:spacing w:line="480" w:lineRule="auto"/>
      </w:pPr>
    </w:p>
    <w:p w14:paraId="45AE9B5B" w14:textId="5EA767BB" w:rsidR="00FE7555" w:rsidRPr="003073E3" w:rsidRDefault="00FE7555" w:rsidP="003073E3">
      <w:pPr>
        <w:spacing w:line="480" w:lineRule="auto"/>
        <w:rPr>
          <w:b/>
          <w:bCs/>
        </w:rPr>
      </w:pPr>
      <w:r w:rsidRPr="003073E3">
        <w:rPr>
          <w:b/>
          <w:bCs/>
        </w:rPr>
        <w:t>References</w:t>
      </w:r>
    </w:p>
    <w:p w14:paraId="7B211329" w14:textId="77777777" w:rsidR="00900A8B" w:rsidRPr="00900A8B" w:rsidRDefault="00900A8B" w:rsidP="00900A8B">
      <w:pPr>
        <w:pStyle w:val="Bibliography"/>
        <w:rPr>
          <w:rFonts w:ascii="Aptos"/>
          <w:sz w:val="18"/>
          <w:szCs w:val="18"/>
        </w:rPr>
      </w:pPr>
      <w:r w:rsidRPr="00900A8B">
        <w:rPr>
          <w:b/>
          <w:bCs/>
          <w:sz w:val="18"/>
          <w:szCs w:val="18"/>
        </w:rPr>
        <w:fldChar w:fldCharType="begin"/>
      </w:r>
      <w:r w:rsidRPr="00900A8B">
        <w:rPr>
          <w:b/>
          <w:bCs/>
          <w:sz w:val="18"/>
          <w:szCs w:val="18"/>
        </w:rPr>
        <w:instrText xml:space="preserve"> ADDIN ZOTERO_BIBL {"uncited":[],"omitted":[],"custom":[]} CSL_BIBLIOGRAPHY </w:instrText>
      </w:r>
      <w:r w:rsidRPr="00900A8B">
        <w:rPr>
          <w:b/>
          <w:bCs/>
          <w:sz w:val="18"/>
          <w:szCs w:val="18"/>
        </w:rPr>
        <w:fldChar w:fldCharType="separate"/>
      </w:r>
      <w:r w:rsidRPr="00900A8B">
        <w:rPr>
          <w:rFonts w:ascii="Aptos"/>
          <w:sz w:val="18"/>
          <w:szCs w:val="18"/>
        </w:rPr>
        <w:t xml:space="preserve">1. Hynes RO, Naba A. Overview of the matrisome--an inventory of extracellular matrix constituents and functions. Cold Spring Harb Perspect Biol. 2012;4:a004903. </w:t>
      </w:r>
    </w:p>
    <w:p w14:paraId="3EE90C79" w14:textId="77777777" w:rsidR="00900A8B" w:rsidRPr="00900A8B" w:rsidRDefault="00900A8B" w:rsidP="00900A8B">
      <w:pPr>
        <w:pStyle w:val="Bibliography"/>
        <w:rPr>
          <w:rFonts w:ascii="Aptos"/>
          <w:sz w:val="18"/>
          <w:szCs w:val="18"/>
        </w:rPr>
      </w:pPr>
      <w:r w:rsidRPr="00900A8B">
        <w:rPr>
          <w:rFonts w:ascii="Aptos"/>
          <w:sz w:val="18"/>
          <w:szCs w:val="18"/>
        </w:rPr>
        <w:t xml:space="preserve">2. Coppola D, Nebozhyn M, Khalil F, Dai H, Yeatman T, Loboda A, et al. Unique ectopic lymph node-like structures present in human primary colorectal carcinoma are identified by immune gene array profiling. Am J Pathol. 2011;179:37–45. </w:t>
      </w:r>
    </w:p>
    <w:p w14:paraId="0D904C1C" w14:textId="77777777" w:rsidR="00900A8B" w:rsidRPr="00900A8B" w:rsidRDefault="00900A8B" w:rsidP="00900A8B">
      <w:pPr>
        <w:pStyle w:val="Bibliography"/>
        <w:rPr>
          <w:rFonts w:ascii="Aptos"/>
          <w:sz w:val="18"/>
          <w:szCs w:val="18"/>
        </w:rPr>
      </w:pPr>
      <w:r w:rsidRPr="00900A8B">
        <w:rPr>
          <w:rFonts w:ascii="Aptos"/>
          <w:sz w:val="18"/>
          <w:szCs w:val="18"/>
        </w:rPr>
        <w:t xml:space="preserve">3. Hennequin A, Derangère V, Boidot R, Apetoh L, Vincent J, Orry D, et al. Tumor infiltration by Tbet+ effector T cells and CD20+ B cells is associated with survival in gastric cancer patients. Oncoimmunology. 2016;5:e1054598. </w:t>
      </w:r>
    </w:p>
    <w:p w14:paraId="73C492F4" w14:textId="77777777" w:rsidR="00900A8B" w:rsidRPr="00900A8B" w:rsidRDefault="00900A8B" w:rsidP="00900A8B">
      <w:pPr>
        <w:pStyle w:val="Bibliography"/>
        <w:rPr>
          <w:rFonts w:ascii="Aptos"/>
          <w:sz w:val="18"/>
          <w:szCs w:val="18"/>
        </w:rPr>
      </w:pPr>
      <w:r w:rsidRPr="00900A8B">
        <w:rPr>
          <w:rFonts w:ascii="Aptos"/>
          <w:sz w:val="18"/>
          <w:szCs w:val="18"/>
        </w:rPr>
        <w:t xml:space="preserve">4. Gu-Trantien C, Loi S, Garaud S, Equeter C, Libin M, de Wind A, et al. CD4+ follicular helper T cell infiltration predicts breast cancer survival. J Clin Invest. 2013;123:2873–92. </w:t>
      </w:r>
    </w:p>
    <w:p w14:paraId="5746911A" w14:textId="77777777" w:rsidR="00900A8B" w:rsidRPr="00900A8B" w:rsidRDefault="00900A8B" w:rsidP="00900A8B">
      <w:pPr>
        <w:pStyle w:val="Bibliography"/>
        <w:rPr>
          <w:rFonts w:ascii="Aptos"/>
          <w:sz w:val="18"/>
          <w:szCs w:val="18"/>
        </w:rPr>
      </w:pPr>
      <w:r w:rsidRPr="00900A8B">
        <w:rPr>
          <w:rFonts w:ascii="Aptos"/>
          <w:sz w:val="18"/>
          <w:szCs w:val="18"/>
        </w:rPr>
        <w:t xml:space="preserve">5. Elyada E, Bolisetty M, Laise P, Flynn WF, Courtois ET, Burkhart RA, et al. Cross-Species Single-Cell Analysis of Pancreatic Ductal Adenocarcinoma Reveals Antigen-Presenting Cancer-Associated Fibroblasts. Cancer Discov. 2019;9:1102–23. </w:t>
      </w:r>
    </w:p>
    <w:p w14:paraId="49397307" w14:textId="77777777" w:rsidR="00900A8B" w:rsidRPr="00900A8B" w:rsidRDefault="00900A8B" w:rsidP="00900A8B">
      <w:pPr>
        <w:pStyle w:val="Bibliography"/>
        <w:rPr>
          <w:rFonts w:ascii="Aptos"/>
          <w:sz w:val="18"/>
          <w:szCs w:val="18"/>
        </w:rPr>
      </w:pPr>
      <w:r w:rsidRPr="00900A8B">
        <w:rPr>
          <w:rFonts w:ascii="Aptos"/>
          <w:sz w:val="18"/>
          <w:szCs w:val="18"/>
        </w:rPr>
        <w:t xml:space="preserve">6. Cabrita R, Lauss M, Sanna A, Donia M, Skaarup Larsen M, Mitra S, et al. Tertiary lymphoid structures improve immunotherapy and survival in melanoma. Nature. 2020;577:561–5. </w:t>
      </w:r>
    </w:p>
    <w:p w14:paraId="3BFEB28D" w14:textId="77777777" w:rsidR="00900A8B" w:rsidRPr="00900A8B" w:rsidRDefault="00900A8B" w:rsidP="00900A8B">
      <w:pPr>
        <w:pStyle w:val="Bibliography"/>
        <w:rPr>
          <w:rFonts w:ascii="Aptos"/>
          <w:sz w:val="18"/>
          <w:szCs w:val="18"/>
        </w:rPr>
      </w:pPr>
      <w:r w:rsidRPr="00900A8B">
        <w:rPr>
          <w:rFonts w:ascii="Aptos"/>
          <w:sz w:val="18"/>
          <w:szCs w:val="18"/>
        </w:rPr>
        <w:t xml:space="preserve">7. Kürten CHL, Kulkarni A, Cillo AR, Santos PM, Roble AK, Onkar S, et al. Investigating immune and non-immune cell interactions in head and neck tumors by single-cell RNA sequencing. Nat Commun. 2021;12:7338. </w:t>
      </w:r>
    </w:p>
    <w:p w14:paraId="3514B15A" w14:textId="77777777" w:rsidR="00900A8B" w:rsidRPr="00900A8B" w:rsidRDefault="00900A8B" w:rsidP="00900A8B">
      <w:pPr>
        <w:pStyle w:val="Bibliography"/>
        <w:rPr>
          <w:rFonts w:ascii="Aptos"/>
          <w:sz w:val="18"/>
          <w:szCs w:val="18"/>
        </w:rPr>
      </w:pPr>
      <w:r w:rsidRPr="00900A8B">
        <w:rPr>
          <w:rFonts w:ascii="Aptos"/>
          <w:sz w:val="18"/>
          <w:szCs w:val="18"/>
        </w:rPr>
        <w:t xml:space="preserve">8. Salcher S, Sturm G, Horvath L, Untergasser G, Kuempers C, Fotakis G, et al. High-resolution single-cell atlas reveals diversity and plasticity of tissue-resident neutrophils in non-small cell lung cancer. Cancer Cell. 2022;40:1503-1520.e8. </w:t>
      </w:r>
    </w:p>
    <w:p w14:paraId="75E49346" w14:textId="77777777" w:rsidR="00900A8B" w:rsidRPr="00900A8B" w:rsidRDefault="00900A8B" w:rsidP="00900A8B">
      <w:pPr>
        <w:pStyle w:val="Bibliography"/>
        <w:rPr>
          <w:rFonts w:ascii="Aptos"/>
          <w:sz w:val="18"/>
          <w:szCs w:val="18"/>
        </w:rPr>
      </w:pPr>
      <w:r w:rsidRPr="00900A8B">
        <w:rPr>
          <w:rFonts w:ascii="Aptos"/>
          <w:sz w:val="18"/>
          <w:szCs w:val="18"/>
        </w:rPr>
        <w:t xml:space="preserve">9. Korsunsky I, Millard N, Fan J, Slowikowski K, Zhang F, Wei K, et al. Fast, sensitive and accurate integration of single-cell data with Harmony. Nat Methods. 2019;16:1289–96. </w:t>
      </w:r>
    </w:p>
    <w:p w14:paraId="5CF2CC81" w14:textId="77777777" w:rsidR="00900A8B" w:rsidRPr="00900A8B" w:rsidRDefault="00900A8B" w:rsidP="00900A8B">
      <w:pPr>
        <w:pStyle w:val="Bibliography"/>
        <w:rPr>
          <w:rFonts w:ascii="Aptos"/>
          <w:sz w:val="18"/>
          <w:szCs w:val="18"/>
        </w:rPr>
      </w:pPr>
      <w:r w:rsidRPr="00900A8B">
        <w:rPr>
          <w:rFonts w:ascii="Aptos"/>
          <w:sz w:val="18"/>
          <w:szCs w:val="18"/>
        </w:rPr>
        <w:t xml:space="preserve">10. Cable DM, Murray E, Zou LS, Goeva A, Macosko EZ, Chen F, et al. Robust decomposition of cell type mixtures in spatial transcriptomics. Nat Biotechnol. 2022;40:517–26. </w:t>
      </w:r>
    </w:p>
    <w:p w14:paraId="699C563D" w14:textId="77777777" w:rsidR="00900A8B" w:rsidRPr="00900A8B" w:rsidRDefault="00900A8B" w:rsidP="00900A8B">
      <w:pPr>
        <w:pStyle w:val="Bibliography"/>
        <w:rPr>
          <w:rFonts w:ascii="Aptos"/>
          <w:sz w:val="18"/>
          <w:szCs w:val="18"/>
        </w:rPr>
      </w:pPr>
      <w:r w:rsidRPr="00900A8B">
        <w:rPr>
          <w:rFonts w:ascii="Aptos"/>
          <w:sz w:val="18"/>
          <w:szCs w:val="18"/>
        </w:rPr>
        <w:t xml:space="preserve">11. Dong R, Yuan G-C. SpatialDWLS: accurate deconvolution of spatial transcriptomic data. Genome Biol. 2021;22:145. </w:t>
      </w:r>
    </w:p>
    <w:p w14:paraId="2DA55926" w14:textId="77777777" w:rsidR="00900A8B" w:rsidRPr="00900A8B" w:rsidRDefault="00900A8B" w:rsidP="00900A8B">
      <w:pPr>
        <w:pStyle w:val="Bibliography"/>
        <w:rPr>
          <w:rFonts w:ascii="Aptos"/>
          <w:sz w:val="18"/>
          <w:szCs w:val="18"/>
        </w:rPr>
      </w:pPr>
      <w:r w:rsidRPr="00900A8B">
        <w:rPr>
          <w:rFonts w:ascii="Aptos"/>
          <w:sz w:val="18"/>
          <w:szCs w:val="18"/>
        </w:rPr>
        <w:t xml:space="preserve">12. Browaeys R, Saelens W, Saeys Y. NicheNet: modeling intercellular communication by linking ligands to target genes. Nat Methods. 2020;17:159–62. </w:t>
      </w:r>
    </w:p>
    <w:p w14:paraId="3DDED35F" w14:textId="42CB0B7B" w:rsidR="00FE7555" w:rsidRPr="003073E3" w:rsidRDefault="00900A8B" w:rsidP="003073E3">
      <w:pPr>
        <w:spacing w:line="480" w:lineRule="auto"/>
        <w:rPr>
          <w:b/>
          <w:bCs/>
        </w:rPr>
      </w:pPr>
      <w:r w:rsidRPr="00900A8B">
        <w:rPr>
          <w:b/>
          <w:bCs/>
          <w:sz w:val="18"/>
          <w:szCs w:val="18"/>
        </w:rPr>
        <w:fldChar w:fldCharType="end"/>
      </w:r>
    </w:p>
    <w:sectPr w:rsidR="00FE7555" w:rsidRPr="003073E3">
      <w:footerReference w:type="even"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3C030D" w14:textId="77777777" w:rsidR="00EF47FD" w:rsidRDefault="00EF47FD" w:rsidP="00551450">
      <w:pPr>
        <w:spacing w:after="0" w:line="240" w:lineRule="auto"/>
      </w:pPr>
      <w:r>
        <w:separator/>
      </w:r>
    </w:p>
  </w:endnote>
  <w:endnote w:type="continuationSeparator" w:id="0">
    <w:p w14:paraId="64CD0343" w14:textId="77777777" w:rsidR="00EF47FD" w:rsidRDefault="00EF47FD" w:rsidP="00551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67121414"/>
      <w:docPartObj>
        <w:docPartGallery w:val="Page Numbers (Bottom of Page)"/>
        <w:docPartUnique/>
      </w:docPartObj>
    </w:sdtPr>
    <w:sdtContent>
      <w:p w14:paraId="4D9A1AED" w14:textId="42622021" w:rsidR="006277D7" w:rsidRDefault="006277D7" w:rsidP="00CF40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28CF01" w14:textId="77777777" w:rsidR="006277D7" w:rsidRDefault="006277D7" w:rsidP="006277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17963035"/>
      <w:docPartObj>
        <w:docPartGallery w:val="Page Numbers (Bottom of Page)"/>
        <w:docPartUnique/>
      </w:docPartObj>
    </w:sdtPr>
    <w:sdtContent>
      <w:p w14:paraId="21DC8AC2" w14:textId="6AB0BB00" w:rsidR="006277D7" w:rsidRDefault="006277D7" w:rsidP="00CF40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5E11C5" w14:textId="77777777" w:rsidR="006277D7" w:rsidRDefault="006277D7" w:rsidP="006277D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5C39A9" w14:textId="77777777" w:rsidR="00EF47FD" w:rsidRDefault="00EF47FD" w:rsidP="00551450">
      <w:pPr>
        <w:spacing w:after="0" w:line="240" w:lineRule="auto"/>
      </w:pPr>
      <w:r>
        <w:separator/>
      </w:r>
    </w:p>
  </w:footnote>
  <w:footnote w:type="continuationSeparator" w:id="0">
    <w:p w14:paraId="44956D25" w14:textId="77777777" w:rsidR="00EF47FD" w:rsidRDefault="00EF47FD" w:rsidP="005514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955C5"/>
    <w:multiLevelType w:val="hybridMultilevel"/>
    <w:tmpl w:val="C8EC8E60"/>
    <w:lvl w:ilvl="0" w:tplc="F7FE6B1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012AA4"/>
    <w:multiLevelType w:val="hybridMultilevel"/>
    <w:tmpl w:val="CCB4C184"/>
    <w:lvl w:ilvl="0" w:tplc="FFDC624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589E1F"/>
    <w:multiLevelType w:val="hybridMultilevel"/>
    <w:tmpl w:val="D2EC4E44"/>
    <w:lvl w:ilvl="0" w:tplc="0AB40FC6">
      <w:start w:val="1"/>
      <w:numFmt w:val="decimal"/>
      <w:lvlText w:val="%1."/>
      <w:lvlJc w:val="left"/>
      <w:pPr>
        <w:ind w:left="720" w:hanging="360"/>
      </w:pPr>
    </w:lvl>
    <w:lvl w:ilvl="1" w:tplc="89C4BD68">
      <w:start w:val="1"/>
      <w:numFmt w:val="lowerLetter"/>
      <w:lvlText w:val="%2."/>
      <w:lvlJc w:val="left"/>
      <w:pPr>
        <w:ind w:left="1440" w:hanging="360"/>
      </w:pPr>
    </w:lvl>
    <w:lvl w:ilvl="2" w:tplc="C4AC6F4A">
      <w:start w:val="1"/>
      <w:numFmt w:val="lowerRoman"/>
      <w:lvlText w:val="%3."/>
      <w:lvlJc w:val="right"/>
      <w:pPr>
        <w:ind w:left="2160" w:hanging="180"/>
      </w:pPr>
    </w:lvl>
    <w:lvl w:ilvl="3" w:tplc="C55A8B6E">
      <w:start w:val="1"/>
      <w:numFmt w:val="decimal"/>
      <w:lvlText w:val="%4."/>
      <w:lvlJc w:val="left"/>
      <w:pPr>
        <w:ind w:left="2880" w:hanging="360"/>
      </w:pPr>
    </w:lvl>
    <w:lvl w:ilvl="4" w:tplc="8C6A26FE">
      <w:start w:val="1"/>
      <w:numFmt w:val="lowerLetter"/>
      <w:lvlText w:val="%5."/>
      <w:lvlJc w:val="left"/>
      <w:pPr>
        <w:ind w:left="3600" w:hanging="360"/>
      </w:pPr>
    </w:lvl>
    <w:lvl w:ilvl="5" w:tplc="5112934A">
      <w:start w:val="1"/>
      <w:numFmt w:val="lowerRoman"/>
      <w:lvlText w:val="%6."/>
      <w:lvlJc w:val="right"/>
      <w:pPr>
        <w:ind w:left="4320" w:hanging="180"/>
      </w:pPr>
    </w:lvl>
    <w:lvl w:ilvl="6" w:tplc="07DE1104">
      <w:start w:val="1"/>
      <w:numFmt w:val="decimal"/>
      <w:lvlText w:val="%7."/>
      <w:lvlJc w:val="left"/>
      <w:pPr>
        <w:ind w:left="5040" w:hanging="360"/>
      </w:pPr>
    </w:lvl>
    <w:lvl w:ilvl="7" w:tplc="0DA49D02">
      <w:start w:val="1"/>
      <w:numFmt w:val="lowerLetter"/>
      <w:lvlText w:val="%8."/>
      <w:lvlJc w:val="left"/>
      <w:pPr>
        <w:ind w:left="5760" w:hanging="360"/>
      </w:pPr>
    </w:lvl>
    <w:lvl w:ilvl="8" w:tplc="D0641FBC">
      <w:start w:val="1"/>
      <w:numFmt w:val="lowerRoman"/>
      <w:lvlText w:val="%9."/>
      <w:lvlJc w:val="right"/>
      <w:pPr>
        <w:ind w:left="6480" w:hanging="180"/>
      </w:pPr>
    </w:lvl>
  </w:abstractNum>
  <w:abstractNum w:abstractNumId="3" w15:restartNumberingAfterBreak="0">
    <w:nsid w:val="3E9048F5"/>
    <w:multiLevelType w:val="hybridMultilevel"/>
    <w:tmpl w:val="E55CBA44"/>
    <w:lvl w:ilvl="0" w:tplc="EAA8B72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289E5AE"/>
    <w:multiLevelType w:val="hybridMultilevel"/>
    <w:tmpl w:val="2D0A37FC"/>
    <w:lvl w:ilvl="0" w:tplc="1F6CC6A8">
      <w:start w:val="1"/>
      <w:numFmt w:val="decimal"/>
      <w:lvlText w:val="%1."/>
      <w:lvlJc w:val="left"/>
      <w:pPr>
        <w:ind w:left="720" w:hanging="360"/>
      </w:pPr>
    </w:lvl>
    <w:lvl w:ilvl="1" w:tplc="D5F26420">
      <w:start w:val="1"/>
      <w:numFmt w:val="lowerLetter"/>
      <w:lvlText w:val="%2."/>
      <w:lvlJc w:val="left"/>
      <w:pPr>
        <w:ind w:left="1440" w:hanging="360"/>
      </w:pPr>
    </w:lvl>
    <w:lvl w:ilvl="2" w:tplc="A1247426">
      <w:start w:val="1"/>
      <w:numFmt w:val="lowerRoman"/>
      <w:lvlText w:val="%3."/>
      <w:lvlJc w:val="right"/>
      <w:pPr>
        <w:ind w:left="2160" w:hanging="180"/>
      </w:pPr>
    </w:lvl>
    <w:lvl w:ilvl="3" w:tplc="331E8406">
      <w:start w:val="1"/>
      <w:numFmt w:val="decimal"/>
      <w:lvlText w:val="%4."/>
      <w:lvlJc w:val="left"/>
      <w:pPr>
        <w:ind w:left="2880" w:hanging="360"/>
      </w:pPr>
    </w:lvl>
    <w:lvl w:ilvl="4" w:tplc="5ADCFB96">
      <w:start w:val="1"/>
      <w:numFmt w:val="lowerLetter"/>
      <w:lvlText w:val="%5."/>
      <w:lvlJc w:val="left"/>
      <w:pPr>
        <w:ind w:left="3600" w:hanging="360"/>
      </w:pPr>
    </w:lvl>
    <w:lvl w:ilvl="5" w:tplc="372A9F5E">
      <w:start w:val="1"/>
      <w:numFmt w:val="lowerRoman"/>
      <w:lvlText w:val="%6."/>
      <w:lvlJc w:val="right"/>
      <w:pPr>
        <w:ind w:left="4320" w:hanging="180"/>
      </w:pPr>
    </w:lvl>
    <w:lvl w:ilvl="6" w:tplc="7A32417E">
      <w:start w:val="1"/>
      <w:numFmt w:val="decimal"/>
      <w:lvlText w:val="%7."/>
      <w:lvlJc w:val="left"/>
      <w:pPr>
        <w:ind w:left="5040" w:hanging="360"/>
      </w:pPr>
    </w:lvl>
    <w:lvl w:ilvl="7" w:tplc="DBA862E4">
      <w:start w:val="1"/>
      <w:numFmt w:val="lowerLetter"/>
      <w:lvlText w:val="%8."/>
      <w:lvlJc w:val="left"/>
      <w:pPr>
        <w:ind w:left="5760" w:hanging="360"/>
      </w:pPr>
    </w:lvl>
    <w:lvl w:ilvl="8" w:tplc="634CEEAC">
      <w:start w:val="1"/>
      <w:numFmt w:val="lowerRoman"/>
      <w:lvlText w:val="%9."/>
      <w:lvlJc w:val="right"/>
      <w:pPr>
        <w:ind w:left="6480" w:hanging="180"/>
      </w:pPr>
    </w:lvl>
  </w:abstractNum>
  <w:abstractNum w:abstractNumId="5" w15:restartNumberingAfterBreak="0">
    <w:nsid w:val="744C69F7"/>
    <w:multiLevelType w:val="hybridMultilevel"/>
    <w:tmpl w:val="8F924A9C"/>
    <w:lvl w:ilvl="0" w:tplc="0F6A90E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72467468">
    <w:abstractNumId w:val="2"/>
  </w:num>
  <w:num w:numId="2" w16cid:durableId="1465388309">
    <w:abstractNumId w:val="4"/>
  </w:num>
  <w:num w:numId="3" w16cid:durableId="1045985811">
    <w:abstractNumId w:val="5"/>
  </w:num>
  <w:num w:numId="4" w16cid:durableId="727801241">
    <w:abstractNumId w:val="0"/>
  </w:num>
  <w:num w:numId="5" w16cid:durableId="233853463">
    <w:abstractNumId w:val="1"/>
  </w:num>
  <w:num w:numId="6" w16cid:durableId="6346042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1BDA7D"/>
    <w:rsid w:val="00111A4C"/>
    <w:rsid w:val="001226F3"/>
    <w:rsid w:val="00175A03"/>
    <w:rsid w:val="002701E4"/>
    <w:rsid w:val="002E35E5"/>
    <w:rsid w:val="003073E3"/>
    <w:rsid w:val="0033BD38"/>
    <w:rsid w:val="0036648F"/>
    <w:rsid w:val="00551028"/>
    <w:rsid w:val="00551450"/>
    <w:rsid w:val="005C226B"/>
    <w:rsid w:val="006277D7"/>
    <w:rsid w:val="006922ED"/>
    <w:rsid w:val="00854D95"/>
    <w:rsid w:val="00900A8B"/>
    <w:rsid w:val="00EB66FC"/>
    <w:rsid w:val="00EF47FD"/>
    <w:rsid w:val="00F00A0C"/>
    <w:rsid w:val="00FE7555"/>
    <w:rsid w:val="016C9697"/>
    <w:rsid w:val="0182DC1C"/>
    <w:rsid w:val="051728BC"/>
    <w:rsid w:val="0966FBDB"/>
    <w:rsid w:val="0CF50E35"/>
    <w:rsid w:val="0ED50521"/>
    <w:rsid w:val="107EE9F2"/>
    <w:rsid w:val="1172FC2E"/>
    <w:rsid w:val="1326B6F6"/>
    <w:rsid w:val="152CAF42"/>
    <w:rsid w:val="1608F3AB"/>
    <w:rsid w:val="160FA244"/>
    <w:rsid w:val="16DBC28A"/>
    <w:rsid w:val="183A6E0F"/>
    <w:rsid w:val="1CAF78AF"/>
    <w:rsid w:val="1E219305"/>
    <w:rsid w:val="1E4AC5E0"/>
    <w:rsid w:val="1F7EDBFB"/>
    <w:rsid w:val="21322FCD"/>
    <w:rsid w:val="2424C78F"/>
    <w:rsid w:val="271BDA7D"/>
    <w:rsid w:val="2C1A4B77"/>
    <w:rsid w:val="2FA30487"/>
    <w:rsid w:val="307DB89A"/>
    <w:rsid w:val="36CE46F9"/>
    <w:rsid w:val="3F516A9B"/>
    <w:rsid w:val="410C53C1"/>
    <w:rsid w:val="446453D0"/>
    <w:rsid w:val="47585EB5"/>
    <w:rsid w:val="483CF59A"/>
    <w:rsid w:val="4848255E"/>
    <w:rsid w:val="48A77B55"/>
    <w:rsid w:val="48CB0E49"/>
    <w:rsid w:val="4E2E865E"/>
    <w:rsid w:val="513A7EF1"/>
    <w:rsid w:val="519984BB"/>
    <w:rsid w:val="51CF6CDC"/>
    <w:rsid w:val="5321E1A1"/>
    <w:rsid w:val="56CFD01E"/>
    <w:rsid w:val="59E1A54E"/>
    <w:rsid w:val="59FE9824"/>
    <w:rsid w:val="5D266A51"/>
    <w:rsid w:val="5D9FCD40"/>
    <w:rsid w:val="62FBD2D2"/>
    <w:rsid w:val="66D6910A"/>
    <w:rsid w:val="68F15A46"/>
    <w:rsid w:val="691C2641"/>
    <w:rsid w:val="6F66D62C"/>
    <w:rsid w:val="707F443C"/>
    <w:rsid w:val="734A6F4F"/>
    <w:rsid w:val="79A97F0C"/>
    <w:rsid w:val="7A1119D5"/>
    <w:rsid w:val="7B949BAD"/>
    <w:rsid w:val="7FE3E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BDA7D"/>
  <w15:chartTrackingRefBased/>
  <w15:docId w15:val="{D24D3BDF-7135-466A-A3B8-19094EE1B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5514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1450"/>
  </w:style>
  <w:style w:type="paragraph" w:styleId="Footer">
    <w:name w:val="footer"/>
    <w:basedOn w:val="Normal"/>
    <w:link w:val="FooterChar"/>
    <w:uiPriority w:val="99"/>
    <w:unhideWhenUsed/>
    <w:rsid w:val="005514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1450"/>
  </w:style>
  <w:style w:type="character" w:styleId="PageNumber">
    <w:name w:val="page number"/>
    <w:basedOn w:val="DefaultParagraphFont"/>
    <w:uiPriority w:val="99"/>
    <w:semiHidden/>
    <w:unhideWhenUsed/>
    <w:rsid w:val="006277D7"/>
  </w:style>
  <w:style w:type="paragraph" w:customStyle="1" w:styleId="paragraph">
    <w:name w:val="paragraph"/>
    <w:basedOn w:val="Normal"/>
    <w:rsid w:val="00854D95"/>
    <w:pPr>
      <w:spacing w:before="100" w:beforeAutospacing="1" w:after="100" w:afterAutospacing="1" w:line="240" w:lineRule="auto"/>
    </w:pPr>
    <w:rPr>
      <w:rFonts w:ascii="Times New Roman" w:eastAsia="Times New Roman" w:hAnsi="Times New Roman" w:cs="Times New Roman"/>
      <w:lang w:val="en-GB" w:eastAsia="en-GB"/>
    </w:rPr>
  </w:style>
  <w:style w:type="character" w:customStyle="1" w:styleId="normaltextrun">
    <w:name w:val="normaltextrun"/>
    <w:basedOn w:val="DefaultParagraphFont"/>
    <w:rsid w:val="00854D95"/>
  </w:style>
  <w:style w:type="character" w:customStyle="1" w:styleId="eop">
    <w:name w:val="eop"/>
    <w:basedOn w:val="DefaultParagraphFont"/>
    <w:rsid w:val="00854D95"/>
  </w:style>
  <w:style w:type="paragraph" w:styleId="Bibliography">
    <w:name w:val="Bibliography"/>
    <w:basedOn w:val="Normal"/>
    <w:next w:val="Normal"/>
    <w:uiPriority w:val="37"/>
    <w:unhideWhenUsed/>
    <w:rsid w:val="00900A8B"/>
    <w:pPr>
      <w:spacing w:after="24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85550">
      <w:bodyDiv w:val="1"/>
      <w:marLeft w:val="0"/>
      <w:marRight w:val="0"/>
      <w:marTop w:val="0"/>
      <w:marBottom w:val="0"/>
      <w:divBdr>
        <w:top w:val="none" w:sz="0" w:space="0" w:color="auto"/>
        <w:left w:val="none" w:sz="0" w:space="0" w:color="auto"/>
        <w:bottom w:val="none" w:sz="0" w:space="0" w:color="auto"/>
        <w:right w:val="none" w:sz="0" w:space="0" w:color="auto"/>
      </w:divBdr>
    </w:div>
    <w:div w:id="503934927">
      <w:bodyDiv w:val="1"/>
      <w:marLeft w:val="0"/>
      <w:marRight w:val="0"/>
      <w:marTop w:val="0"/>
      <w:marBottom w:val="0"/>
      <w:divBdr>
        <w:top w:val="none" w:sz="0" w:space="0" w:color="auto"/>
        <w:left w:val="none" w:sz="0" w:space="0" w:color="auto"/>
        <w:bottom w:val="none" w:sz="0" w:space="0" w:color="auto"/>
        <w:right w:val="none" w:sz="0" w:space="0" w:color="auto"/>
      </w:divBdr>
    </w:div>
    <w:div w:id="855925923">
      <w:bodyDiv w:val="1"/>
      <w:marLeft w:val="0"/>
      <w:marRight w:val="0"/>
      <w:marTop w:val="0"/>
      <w:marBottom w:val="0"/>
      <w:divBdr>
        <w:top w:val="none" w:sz="0" w:space="0" w:color="auto"/>
        <w:left w:val="none" w:sz="0" w:space="0" w:color="auto"/>
        <w:bottom w:val="none" w:sz="0" w:space="0" w:color="auto"/>
        <w:right w:val="none" w:sz="0" w:space="0" w:color="auto"/>
      </w:divBdr>
    </w:div>
    <w:div w:id="1406605792">
      <w:bodyDiv w:val="1"/>
      <w:marLeft w:val="0"/>
      <w:marRight w:val="0"/>
      <w:marTop w:val="0"/>
      <w:marBottom w:val="0"/>
      <w:divBdr>
        <w:top w:val="none" w:sz="0" w:space="0" w:color="auto"/>
        <w:left w:val="none" w:sz="0" w:space="0" w:color="auto"/>
        <w:bottom w:val="none" w:sz="0" w:space="0" w:color="auto"/>
        <w:right w:val="none" w:sz="0" w:space="0" w:color="auto"/>
      </w:divBdr>
    </w:div>
    <w:div w:id="1568219734">
      <w:bodyDiv w:val="1"/>
      <w:marLeft w:val="0"/>
      <w:marRight w:val="0"/>
      <w:marTop w:val="0"/>
      <w:marBottom w:val="0"/>
      <w:divBdr>
        <w:top w:val="none" w:sz="0" w:space="0" w:color="auto"/>
        <w:left w:val="none" w:sz="0" w:space="0" w:color="auto"/>
        <w:bottom w:val="none" w:sz="0" w:space="0" w:color="auto"/>
        <w:right w:val="none" w:sz="0" w:space="0" w:color="auto"/>
      </w:divBdr>
      <w:divsChild>
        <w:div w:id="253897604">
          <w:marLeft w:val="0"/>
          <w:marRight w:val="0"/>
          <w:marTop w:val="0"/>
          <w:marBottom w:val="0"/>
          <w:divBdr>
            <w:top w:val="none" w:sz="0" w:space="0" w:color="auto"/>
            <w:left w:val="none" w:sz="0" w:space="0" w:color="auto"/>
            <w:bottom w:val="none" w:sz="0" w:space="0" w:color="auto"/>
            <w:right w:val="none" w:sz="0" w:space="0" w:color="auto"/>
          </w:divBdr>
        </w:div>
        <w:div w:id="183135021">
          <w:marLeft w:val="0"/>
          <w:marRight w:val="0"/>
          <w:marTop w:val="0"/>
          <w:marBottom w:val="0"/>
          <w:divBdr>
            <w:top w:val="none" w:sz="0" w:space="0" w:color="auto"/>
            <w:left w:val="none" w:sz="0" w:space="0" w:color="auto"/>
            <w:bottom w:val="none" w:sz="0" w:space="0" w:color="auto"/>
            <w:right w:val="none" w:sz="0" w:space="0" w:color="auto"/>
          </w:divBdr>
        </w:div>
        <w:div w:id="1144083074">
          <w:marLeft w:val="0"/>
          <w:marRight w:val="0"/>
          <w:marTop w:val="0"/>
          <w:marBottom w:val="0"/>
          <w:divBdr>
            <w:top w:val="none" w:sz="0" w:space="0" w:color="auto"/>
            <w:left w:val="none" w:sz="0" w:space="0" w:color="auto"/>
            <w:bottom w:val="none" w:sz="0" w:space="0" w:color="auto"/>
            <w:right w:val="none" w:sz="0" w:space="0" w:color="auto"/>
          </w:divBdr>
        </w:div>
        <w:div w:id="2013676110">
          <w:marLeft w:val="0"/>
          <w:marRight w:val="0"/>
          <w:marTop w:val="0"/>
          <w:marBottom w:val="0"/>
          <w:divBdr>
            <w:top w:val="none" w:sz="0" w:space="0" w:color="auto"/>
            <w:left w:val="none" w:sz="0" w:space="0" w:color="auto"/>
            <w:bottom w:val="none" w:sz="0" w:space="0" w:color="auto"/>
            <w:right w:val="none" w:sz="0" w:space="0" w:color="auto"/>
          </w:divBdr>
        </w:div>
        <w:div w:id="1366369865">
          <w:marLeft w:val="0"/>
          <w:marRight w:val="0"/>
          <w:marTop w:val="0"/>
          <w:marBottom w:val="0"/>
          <w:divBdr>
            <w:top w:val="none" w:sz="0" w:space="0" w:color="auto"/>
            <w:left w:val="none" w:sz="0" w:space="0" w:color="auto"/>
            <w:bottom w:val="none" w:sz="0" w:space="0" w:color="auto"/>
            <w:right w:val="none" w:sz="0" w:space="0" w:color="auto"/>
          </w:divBdr>
        </w:div>
        <w:div w:id="1225025271">
          <w:marLeft w:val="0"/>
          <w:marRight w:val="0"/>
          <w:marTop w:val="0"/>
          <w:marBottom w:val="0"/>
          <w:divBdr>
            <w:top w:val="none" w:sz="0" w:space="0" w:color="auto"/>
            <w:left w:val="none" w:sz="0" w:space="0" w:color="auto"/>
            <w:bottom w:val="none" w:sz="0" w:space="0" w:color="auto"/>
            <w:right w:val="none" w:sz="0" w:space="0" w:color="auto"/>
          </w:divBdr>
        </w:div>
        <w:div w:id="1128165406">
          <w:marLeft w:val="0"/>
          <w:marRight w:val="0"/>
          <w:marTop w:val="0"/>
          <w:marBottom w:val="0"/>
          <w:divBdr>
            <w:top w:val="none" w:sz="0" w:space="0" w:color="auto"/>
            <w:left w:val="none" w:sz="0" w:space="0" w:color="auto"/>
            <w:bottom w:val="none" w:sz="0" w:space="0" w:color="auto"/>
            <w:right w:val="none" w:sz="0" w:space="0" w:color="auto"/>
          </w:divBdr>
        </w:div>
        <w:div w:id="1768844899">
          <w:marLeft w:val="0"/>
          <w:marRight w:val="0"/>
          <w:marTop w:val="0"/>
          <w:marBottom w:val="0"/>
          <w:divBdr>
            <w:top w:val="none" w:sz="0" w:space="0" w:color="auto"/>
            <w:left w:val="none" w:sz="0" w:space="0" w:color="auto"/>
            <w:bottom w:val="none" w:sz="0" w:space="0" w:color="auto"/>
            <w:right w:val="none" w:sz="0" w:space="0" w:color="auto"/>
          </w:divBdr>
        </w:div>
        <w:div w:id="1921668619">
          <w:marLeft w:val="0"/>
          <w:marRight w:val="0"/>
          <w:marTop w:val="0"/>
          <w:marBottom w:val="0"/>
          <w:divBdr>
            <w:top w:val="none" w:sz="0" w:space="0" w:color="auto"/>
            <w:left w:val="none" w:sz="0" w:space="0" w:color="auto"/>
            <w:bottom w:val="none" w:sz="0" w:space="0" w:color="auto"/>
            <w:right w:val="none" w:sz="0" w:space="0" w:color="auto"/>
          </w:divBdr>
        </w:div>
        <w:div w:id="134180126">
          <w:marLeft w:val="0"/>
          <w:marRight w:val="0"/>
          <w:marTop w:val="0"/>
          <w:marBottom w:val="0"/>
          <w:divBdr>
            <w:top w:val="none" w:sz="0" w:space="0" w:color="auto"/>
            <w:left w:val="none" w:sz="0" w:space="0" w:color="auto"/>
            <w:bottom w:val="none" w:sz="0" w:space="0" w:color="auto"/>
            <w:right w:val="none" w:sz="0" w:space="0" w:color="auto"/>
          </w:divBdr>
        </w:div>
        <w:div w:id="930969527">
          <w:marLeft w:val="0"/>
          <w:marRight w:val="0"/>
          <w:marTop w:val="0"/>
          <w:marBottom w:val="0"/>
          <w:divBdr>
            <w:top w:val="none" w:sz="0" w:space="0" w:color="auto"/>
            <w:left w:val="none" w:sz="0" w:space="0" w:color="auto"/>
            <w:bottom w:val="none" w:sz="0" w:space="0" w:color="auto"/>
            <w:right w:val="none" w:sz="0" w:space="0" w:color="auto"/>
          </w:divBdr>
        </w:div>
        <w:div w:id="1460798976">
          <w:marLeft w:val="0"/>
          <w:marRight w:val="0"/>
          <w:marTop w:val="0"/>
          <w:marBottom w:val="0"/>
          <w:divBdr>
            <w:top w:val="none" w:sz="0" w:space="0" w:color="auto"/>
            <w:left w:val="none" w:sz="0" w:space="0" w:color="auto"/>
            <w:bottom w:val="none" w:sz="0" w:space="0" w:color="auto"/>
            <w:right w:val="none" w:sz="0" w:space="0" w:color="auto"/>
          </w:divBdr>
        </w:div>
        <w:div w:id="827406348">
          <w:marLeft w:val="0"/>
          <w:marRight w:val="0"/>
          <w:marTop w:val="0"/>
          <w:marBottom w:val="0"/>
          <w:divBdr>
            <w:top w:val="none" w:sz="0" w:space="0" w:color="auto"/>
            <w:left w:val="none" w:sz="0" w:space="0" w:color="auto"/>
            <w:bottom w:val="none" w:sz="0" w:space="0" w:color="auto"/>
            <w:right w:val="none" w:sz="0" w:space="0" w:color="auto"/>
          </w:divBdr>
        </w:div>
        <w:div w:id="986737249">
          <w:marLeft w:val="0"/>
          <w:marRight w:val="0"/>
          <w:marTop w:val="0"/>
          <w:marBottom w:val="0"/>
          <w:divBdr>
            <w:top w:val="none" w:sz="0" w:space="0" w:color="auto"/>
            <w:left w:val="none" w:sz="0" w:space="0" w:color="auto"/>
            <w:bottom w:val="none" w:sz="0" w:space="0" w:color="auto"/>
            <w:right w:val="none" w:sz="0" w:space="0" w:color="auto"/>
          </w:divBdr>
        </w:div>
        <w:div w:id="761486316">
          <w:marLeft w:val="0"/>
          <w:marRight w:val="0"/>
          <w:marTop w:val="0"/>
          <w:marBottom w:val="0"/>
          <w:divBdr>
            <w:top w:val="none" w:sz="0" w:space="0" w:color="auto"/>
            <w:left w:val="none" w:sz="0" w:space="0" w:color="auto"/>
            <w:bottom w:val="none" w:sz="0" w:space="0" w:color="auto"/>
            <w:right w:val="none" w:sz="0" w:space="0" w:color="auto"/>
          </w:divBdr>
        </w:div>
        <w:div w:id="322858628">
          <w:marLeft w:val="0"/>
          <w:marRight w:val="0"/>
          <w:marTop w:val="0"/>
          <w:marBottom w:val="0"/>
          <w:divBdr>
            <w:top w:val="none" w:sz="0" w:space="0" w:color="auto"/>
            <w:left w:val="none" w:sz="0" w:space="0" w:color="auto"/>
            <w:bottom w:val="none" w:sz="0" w:space="0" w:color="auto"/>
            <w:right w:val="none" w:sz="0" w:space="0" w:color="auto"/>
          </w:divBdr>
        </w:div>
      </w:divsChild>
    </w:div>
    <w:div w:id="1933972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2.jpeg"/><Relationship Id="rId3" Type="http://schemas.openxmlformats.org/officeDocument/2006/relationships/customXml" Target="../customXml/item3.xml"/><Relationship Id="rId21" Type="http://schemas.openxmlformats.org/officeDocument/2006/relationships/image" Target="media/image10.jpeg"/><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hyperlink" Target="https://satijalab.org/seurat/articles/parsebio_sketch_integration" TargetMode="Externa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thomas@soton.ac.uk" TargetMode="External"/><Relationship Id="rId24" Type="http://schemas.openxmlformats.org/officeDocument/2006/relationships/hyperlink" Target="https://cellxgene.cziscience.com/collections/edb893ee-4066-4128-9aec-5eb2b03f8287" TargetMode="Externa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yperlink" Target="https://satijalab.org/seurat/articles/integration_rpca.html"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3.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5E91C54DA9B284B9F6B60671800BC90" ma:contentTypeVersion="16" ma:contentTypeDescription="Create a new document." ma:contentTypeScope="" ma:versionID="9e0dadd355c5dac7bca7d3a688ee0bfa">
  <xsd:schema xmlns:xsd="http://www.w3.org/2001/XMLSchema" xmlns:xs="http://www.w3.org/2001/XMLSchema" xmlns:p="http://schemas.microsoft.com/office/2006/metadata/properties" xmlns:ns2="1840faf3-14bd-40a0-968c-4ff00ba2d48e" xmlns:ns3="ab4efd46-d15e-452a-a188-f16d21449b64" targetNamespace="http://schemas.microsoft.com/office/2006/metadata/properties" ma:root="true" ma:fieldsID="4ab53b2867160bafaacc909d4ad98900" ns2:_="" ns3:_="">
    <xsd:import namespace="1840faf3-14bd-40a0-968c-4ff00ba2d48e"/>
    <xsd:import namespace="ab4efd46-d15e-452a-a188-f16d21449b6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40faf3-14bd-40a0-968c-4ff00ba2d4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cbf2f534-9c3d-494b-83fb-768e807180c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4efd46-d15e-452a-a188-f16d21449b6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3e3ca52e-9139-4a60-8bdc-7bfaa317c022}" ma:internalName="TaxCatchAll" ma:showField="CatchAllData" ma:web="ab4efd46-d15e-452a-a188-f16d21449b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840faf3-14bd-40a0-968c-4ff00ba2d48e">
      <Terms xmlns="http://schemas.microsoft.com/office/infopath/2007/PartnerControls"/>
    </lcf76f155ced4ddcb4097134ff3c332f>
    <TaxCatchAll xmlns="ab4efd46-d15e-452a-a188-f16d21449b64" xsi:nil="true"/>
  </documentManagement>
</p:properties>
</file>

<file path=customXml/itemProps1.xml><?xml version="1.0" encoding="utf-8"?>
<ds:datastoreItem xmlns:ds="http://schemas.openxmlformats.org/officeDocument/2006/customXml" ds:itemID="{C063A48C-CEF4-4279-9985-293CE75ADD11}">
  <ds:schemaRefs>
    <ds:schemaRef ds:uri="http://schemas.microsoft.com/sharepoint/v3/contenttype/forms"/>
  </ds:schemaRefs>
</ds:datastoreItem>
</file>

<file path=customXml/itemProps2.xml><?xml version="1.0" encoding="utf-8"?>
<ds:datastoreItem xmlns:ds="http://schemas.openxmlformats.org/officeDocument/2006/customXml" ds:itemID="{F345CA39-8F97-4D4B-BCBD-C534C001ECFF}">
  <ds:schemaRefs>
    <ds:schemaRef ds:uri="http://schemas.openxmlformats.org/officeDocument/2006/bibliography"/>
  </ds:schemaRefs>
</ds:datastoreItem>
</file>

<file path=customXml/itemProps3.xml><?xml version="1.0" encoding="utf-8"?>
<ds:datastoreItem xmlns:ds="http://schemas.openxmlformats.org/officeDocument/2006/customXml" ds:itemID="{EAFB10B1-A001-4140-8EC3-59892E1423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40faf3-14bd-40a0-968c-4ff00ba2d48e"/>
    <ds:schemaRef ds:uri="ab4efd46-d15e-452a-a188-f16d21449b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771075-5DD6-4815-93CE-EEA6955ECC17}">
  <ds:schemaRefs>
    <ds:schemaRef ds:uri="http://schemas.microsoft.com/office/2006/metadata/properties"/>
    <ds:schemaRef ds:uri="http://schemas.microsoft.com/office/infopath/2007/PartnerControls"/>
    <ds:schemaRef ds:uri="1840faf3-14bd-40a0-968c-4ff00ba2d48e"/>
    <ds:schemaRef ds:uri="ab4efd46-d15e-452a-a188-f16d21449b64"/>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44</Pages>
  <Words>11871</Words>
  <Characters>67666</Characters>
  <Application>Microsoft Office Word</Application>
  <DocSecurity>0</DocSecurity>
  <Lines>563</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Jenkins</dc:creator>
  <cp:keywords/>
  <dc:description/>
  <cp:lastModifiedBy>Ben Jenkins</cp:lastModifiedBy>
  <cp:revision>15</cp:revision>
  <dcterms:created xsi:type="dcterms:W3CDTF">2024-09-16T15:36:00Z</dcterms:created>
  <dcterms:modified xsi:type="dcterms:W3CDTF">2024-09-20T13:13:00Z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0x010100F5E91C54DA9B284B9F6B60671800BC90</vt:lpwstr>
  </property>
  <property fmtid="{D5CDD505-2E9C-101B-9397-08002B2CF9AE}" pid="3" name="MediaServiceImageTags">
    <vt:lpwstr/>
  </property>
  <property fmtid="{D5CDD505-2E9C-101B-9397-08002B2CF9AE}" pid="4" name="ZOTERO_PREF_1">
    <vt:lpwstr>&lt;data data-version="3" zotero-version="6.0.37"&gt;&lt;session id="IETVla19"/&gt;&lt;style id="http://www.zotero.org/styles/molecular-cancer" hasBibliography="1" bibliographyStyleHasBeenSet="1"/&gt;&lt;prefs&gt;&lt;pref name="fieldType" value="Field"/&gt;&lt;/prefs&gt;&lt;/data&gt;</vt:lpwstr>
  </property>
</Properties>
</file>