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media/rId59.svg" ContentType="image/svg+xml"/>
  <Override PartName="/word/media/rId56.svg" ContentType="image/svg+xml"/>
  <Override PartName="/word/media/rId53.svg" ContentType="image/svg+xml"/>
  <Override PartName="/word/media/rId50.svg" ContentType="image/svg+xml"/>
  <Override PartName="/word/media/rId35.svg" ContentType="image/svg+xml"/>
  <Override PartName="/word/media/rId38.svg" ContentType="image/svg+xml"/>
  <Override PartName="/word/media/rId41.svg" ContentType="image/svg+xml"/>
  <Override PartName="/word/media/rId44.svg" ContentType="image/svg+xml"/>
  <Override PartName="/word/media/rId47.svg" ContentType="image/svg+xml"/>
  <Override PartName="/word/media/rId20.svg" ContentType="image/svg+xml"/>
  <Override PartName="/word/media/rId23.svg" ContentType="image/svg+xml"/>
  <Override PartName="/word/media/rId26.svg" ContentType="image/svg+xml"/>
  <Override PartName="/word/media/rId29.svg" ContentType="image/svg+xml"/>
  <Override PartName="/word/media/rId32.svg" ContentType="image/svg+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Additional</w:t>
      </w:r>
      <w:r>
        <w:t xml:space="preserve"> </w:t>
      </w:r>
      <w:r>
        <w:t xml:space="preserve">file</w:t>
      </w:r>
      <w:r>
        <w:t xml:space="preserve"> </w:t>
      </w:r>
      <w:r>
        <w:t xml:space="preserve">5</w:t>
      </w:r>
      <w:r>
        <w:t xml:space="preserve"> </w:t>
      </w:r>
      <w:r>
        <w:t xml:space="preserve">-</w:t>
      </w:r>
      <w:r>
        <w:t xml:space="preserve"> </w:t>
      </w:r>
      <w:r>
        <w:t xml:space="preserve">Supplementary</w:t>
      </w:r>
      <w:r>
        <w:t xml:space="preserve"> </w:t>
      </w:r>
      <w:r>
        <w:t xml:space="preserve">results</w:t>
      </w:r>
      <w:r>
        <w:t xml:space="preserve"> </w:t>
      </w:r>
      <w:r>
        <w:t xml:space="preserve">related</w:t>
      </w:r>
      <w:r>
        <w:t xml:space="preserve"> </w:t>
      </w:r>
      <w:r>
        <w:t xml:space="preserve">to</w:t>
      </w:r>
      <w:r>
        <w:t xml:space="preserve"> </w:t>
      </w:r>
      <w:r>
        <w:t xml:space="preserve">the</w:t>
      </w:r>
      <w:r>
        <w:t xml:space="preserve"> </w:t>
      </w:r>
      <w:r>
        <w:t xml:space="preserve">EuroSpA</w:t>
      </w:r>
      <w:r>
        <w:t xml:space="preserve"> </w:t>
      </w:r>
      <w:r>
        <w:t xml:space="preserve">RCN</w:t>
      </w:r>
      <w:r>
        <w:t xml:space="preserve"> </w:t>
      </w:r>
      <w:r>
        <w:t xml:space="preserve">spondyloarthritis</w:t>
      </w:r>
      <w:r>
        <w:t xml:space="preserve"> </w:t>
      </w:r>
      <w:r>
        <w:t xml:space="preserve">data</w:t>
      </w:r>
      <w:r>
        <w:t xml:space="preserve"> </w:t>
      </w:r>
      <w:r>
        <w:t xml:space="preserve">for</w:t>
      </w:r>
      <w:r>
        <w:t xml:space="preserve"> </w:t>
      </w:r>
      <w:r>
        <w:t xml:space="preserve">‘</w:t>
      </w:r>
      <w:r>
        <w:t xml:space="preserve">Impact</w:t>
      </w:r>
      <w:r>
        <w:t xml:space="preserve"> </w:t>
      </w:r>
      <w:r>
        <w:t xml:space="preserve">of</w:t>
      </w:r>
      <w:r>
        <w:t xml:space="preserve"> </w:t>
      </w:r>
      <w:r>
        <w:t xml:space="preserve">treatment</w:t>
      </w:r>
      <w:r>
        <w:t xml:space="preserve"> </w:t>
      </w:r>
      <w:r>
        <w:t xml:space="preserve">discontinuation</w:t>
      </w:r>
      <w:r>
        <w:t xml:space="preserve"> </w:t>
      </w:r>
      <w:r>
        <w:t xml:space="preserve">definitions</w:t>
      </w:r>
      <w:r>
        <w:t xml:space="preserve"> </w:t>
      </w:r>
      <w:r>
        <w:t xml:space="preserve">on</w:t>
      </w:r>
      <w:r>
        <w:t xml:space="preserve"> </w:t>
      </w:r>
      <w:r>
        <w:t xml:space="preserve">comparative</w:t>
      </w:r>
      <w:r>
        <w:t xml:space="preserve"> </w:t>
      </w:r>
      <w:r>
        <w:t xml:space="preserve">retention</w:t>
      </w:r>
      <w:r>
        <w:t xml:space="preserve"> </w:t>
      </w:r>
      <w:r>
        <w:t xml:space="preserve">studies:</w:t>
      </w:r>
      <w:r>
        <w:t xml:space="preserve"> </w:t>
      </w:r>
      <w:r>
        <w:t xml:space="preserve">a</w:t>
      </w:r>
      <w:r>
        <w:t xml:space="preserve"> </w:t>
      </w:r>
      <w:r>
        <w:t xml:space="preserve">simulation-based</w:t>
      </w:r>
      <w:r>
        <w:t xml:space="preserve"> </w:t>
      </w:r>
      <w:r>
        <w:t xml:space="preserve">case</w:t>
      </w:r>
      <w:r>
        <w:t xml:space="preserve"> </w:t>
      </w:r>
      <w:r>
        <w:t xml:space="preserve">study</w:t>
      </w:r>
      <w:r>
        <w:t xml:space="preserve"> </w:t>
      </w:r>
      <w:r>
        <w:t xml:space="preserve">in</w:t>
      </w:r>
      <w:r>
        <w:t xml:space="preserve"> </w:t>
      </w:r>
      <w:r>
        <w:t xml:space="preserve">spondyloarthritis</w:t>
      </w:r>
      <w:r>
        <w:t xml:space="preserve">’</w:t>
      </w:r>
      <w:r>
        <w:t xml:space="preserve">.</w:t>
      </w:r>
    </w:p>
    <w:p>
      <w:pPr>
        <w:pStyle w:val="FirstParagraph"/>
      </w:pPr>
    </w:p>
    <w:p>
      <w:pPr>
        <w:pStyle w:val="BodyText"/>
      </w:pPr>
      <w:r>
        <w:rPr>
          <w:bCs/>
          <w:b/>
        </w:rPr>
        <w:t xml:space="preserve">Figure S14:</w:t>
      </w:r>
      <w:r>
        <w:t xml:space="preserve"> </w:t>
      </w:r>
      <w:r>
        <w:t xml:space="preserve">Recruitment of and time at risk and occurrence of treatment discontinuation for the 1932 axSpA patients treated with adalimumab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19 (1%) patients).</w:t>
      </w:r>
    </w:p>
    <w:p>
      <w:pPr>
        <w:pStyle w:val="BodyText"/>
      </w:pPr>
      <w:r>
        <w:drawing>
          <wp:inline>
            <wp:extent cx="5753100" cy="5753100"/>
            <wp:effectExtent b="0" l="0" r="0" t="0"/>
            <wp:docPr descr="" title="" id="21" name="Picture"/>
            <a:graphic>
              <a:graphicData uri="http://schemas.openxmlformats.org/drawingml/2006/picture">
                <pic:pic>
                  <pic:nvPicPr>
                    <pic:cNvPr descr="Application/figures/Pt_recruitment_spa_adalimumab.svg" id="22"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S15:</w:t>
      </w:r>
      <w:r>
        <w:t xml:space="preserve"> </w:t>
      </w:r>
      <w:r>
        <w:t xml:space="preserve">Recruitment of and time at risk and occurrence of treatment discontinuation for the 305 axSpA patients treated with certolizumab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1 (&lt;1%) patients).</w:t>
      </w:r>
    </w:p>
    <w:p>
      <w:pPr>
        <w:pStyle w:val="BodyText"/>
      </w:pPr>
      <w:r>
        <w:drawing>
          <wp:inline>
            <wp:extent cx="5753100" cy="5753100"/>
            <wp:effectExtent b="0" l="0" r="0" t="0"/>
            <wp:docPr descr="" title="" id="24" name="Picture"/>
            <a:graphic>
              <a:graphicData uri="http://schemas.openxmlformats.org/drawingml/2006/picture">
                <pic:pic>
                  <pic:nvPicPr>
                    <pic:cNvPr descr="Application/figures/Pt_recruitment_spa_certolizumab.svg" id="25"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S16:</w:t>
      </w:r>
      <w:r>
        <w:t xml:space="preserve"> </w:t>
      </w:r>
      <w:r>
        <w:t xml:space="preserve">Recruitment of and time at risk and occurrence of treatment discontinuation for the 1078 axSpA patients treated with etanercept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5 (&lt;1%) patients).</w:t>
      </w:r>
    </w:p>
    <w:p>
      <w:pPr>
        <w:pStyle w:val="BodyText"/>
      </w:pPr>
      <w:r>
        <w:drawing>
          <wp:inline>
            <wp:extent cx="5753100" cy="5753100"/>
            <wp:effectExtent b="0" l="0" r="0" t="0"/>
            <wp:docPr descr="" title="" id="27" name="Picture"/>
            <a:graphic>
              <a:graphicData uri="http://schemas.openxmlformats.org/drawingml/2006/picture">
                <pic:pic>
                  <pic:nvPicPr>
                    <pic:cNvPr descr="Application/figures/Pt_recruitment_spa_etanercept.svg" id="28"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26"/>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S17:</w:t>
      </w:r>
      <w:r>
        <w:t xml:space="preserve"> </w:t>
      </w:r>
      <w:r>
        <w:t xml:space="preserve">Recruitment of and time at risk and occurrence of treatment discontinuation for the 690 axSpA patients treated with golimumab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0 patients).</w:t>
      </w:r>
    </w:p>
    <w:p>
      <w:pPr>
        <w:pStyle w:val="BodyText"/>
      </w:pPr>
      <w:r>
        <w:drawing>
          <wp:inline>
            <wp:extent cx="5753100" cy="5753100"/>
            <wp:effectExtent b="0" l="0" r="0" t="0"/>
            <wp:docPr descr="" title="" id="30" name="Picture"/>
            <a:graphic>
              <a:graphicData uri="http://schemas.openxmlformats.org/drawingml/2006/picture">
                <pic:pic>
                  <pic:nvPicPr>
                    <pic:cNvPr descr="Application/figures/Pt_recruitment_spa_golimumab.svg" id="31"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S18:</w:t>
      </w:r>
      <w:r>
        <w:t xml:space="preserve"> </w:t>
      </w:r>
      <w:r>
        <w:t xml:space="preserve">Recruitment of and time at risk and occurrence of treatment discontinuation for the 601 axSpA patients treated with infliximab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46 (8%) patients).</w:t>
      </w:r>
    </w:p>
    <w:p>
      <w:pPr>
        <w:pStyle w:val="BodyText"/>
      </w:pPr>
      <w:r>
        <w:drawing>
          <wp:inline>
            <wp:extent cx="5753100" cy="5753100"/>
            <wp:effectExtent b="0" l="0" r="0" t="0"/>
            <wp:docPr descr="" title="" id="33" name="Picture"/>
            <a:graphic>
              <a:graphicData uri="http://schemas.openxmlformats.org/drawingml/2006/picture">
                <pic:pic>
                  <pic:nvPicPr>
                    <pic:cNvPr descr="Application/figures/Pt_recruitment_spa_infliximab.svg" id="34"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S19:</w:t>
      </w:r>
      <w:r>
        <w:t xml:space="preserve"> </w:t>
      </w:r>
      <w:r>
        <w:t xml:space="preserve">Recruitment of and time at risk and occurrence of treatment discontinuation for the 801 PsA patients treated with adalimumab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1 (&lt;1%) patients).</w:t>
      </w:r>
    </w:p>
    <w:p>
      <w:pPr>
        <w:pStyle w:val="BodyText"/>
      </w:pPr>
      <w:r>
        <w:drawing>
          <wp:inline>
            <wp:extent cx="5753100" cy="5753100"/>
            <wp:effectExtent b="0" l="0" r="0" t="0"/>
            <wp:docPr descr="" title="" id="36" name="Picture"/>
            <a:graphic>
              <a:graphicData uri="http://schemas.openxmlformats.org/drawingml/2006/picture">
                <pic:pic>
                  <pic:nvPicPr>
                    <pic:cNvPr descr="Application/figures/Pt_recruitment_psa_adalimumab.svg" id="37"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S20:</w:t>
      </w:r>
      <w:r>
        <w:t xml:space="preserve"> </w:t>
      </w:r>
      <w:r>
        <w:t xml:space="preserve">Recruitment of and time at risk and occurrence of treatment discontinuation for the 168 PsA patients treated with certolizumab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0 patients).</w:t>
      </w:r>
    </w:p>
    <w:p>
      <w:pPr>
        <w:pStyle w:val="BodyText"/>
      </w:pPr>
      <w:r>
        <w:drawing>
          <wp:inline>
            <wp:extent cx="5753100" cy="5753100"/>
            <wp:effectExtent b="0" l="0" r="0" t="0"/>
            <wp:docPr descr="" title="" id="39" name="Picture"/>
            <a:graphic>
              <a:graphicData uri="http://schemas.openxmlformats.org/drawingml/2006/picture">
                <pic:pic>
                  <pic:nvPicPr>
                    <pic:cNvPr descr="Application/figures/Pt_recruitment_psa_certolizumab.svg" id="40"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38"/>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S21:</w:t>
      </w:r>
      <w:r>
        <w:t xml:space="preserve"> </w:t>
      </w:r>
      <w:r>
        <w:t xml:space="preserve">Recruitment of and time at risk and occurrence of treatment discontinuation for the 552 PsA patients treated with etanercept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11 (2%) patients).</w:t>
      </w:r>
    </w:p>
    <w:p>
      <w:pPr>
        <w:pStyle w:val="BodyText"/>
      </w:pPr>
      <w:r>
        <w:drawing>
          <wp:inline>
            <wp:extent cx="5753100" cy="5753100"/>
            <wp:effectExtent b="0" l="0" r="0" t="0"/>
            <wp:docPr descr="" title="" id="42" name="Picture"/>
            <a:graphic>
              <a:graphicData uri="http://schemas.openxmlformats.org/drawingml/2006/picture">
                <pic:pic>
                  <pic:nvPicPr>
                    <pic:cNvPr descr="Application/figures/Pt_recruitment_psa_etanercept.svg" id="43"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S22:</w:t>
      </w:r>
      <w:r>
        <w:t xml:space="preserve"> </w:t>
      </w:r>
      <w:r>
        <w:t xml:space="preserve">Recruitment of and time at risk and occurrence of treatment discontinuation for the 307 PsA patients treated with golimumab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0 patients).</w:t>
      </w:r>
    </w:p>
    <w:p>
      <w:pPr>
        <w:pStyle w:val="BodyText"/>
      </w:pPr>
      <w:r>
        <w:drawing>
          <wp:inline>
            <wp:extent cx="5753100" cy="5753100"/>
            <wp:effectExtent b="0" l="0" r="0" t="0"/>
            <wp:docPr descr="" title="" id="45" name="Picture"/>
            <a:graphic>
              <a:graphicData uri="http://schemas.openxmlformats.org/drawingml/2006/picture">
                <pic:pic>
                  <pic:nvPicPr>
                    <pic:cNvPr descr="Application/figures/Pt_recruitment_psa_golimumab.svg" id="46"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44"/>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S23:</w:t>
      </w:r>
      <w:r>
        <w:t xml:space="preserve"> </w:t>
      </w:r>
      <w:r>
        <w:t xml:space="preserve">Recruitment of and time at risk and occurrence of treatment discontinuation for the 281 PsA patients treated with infliximab as a function of calendar time. In grey the time at observed risk for treatment discontinuation, in red the discontinuation decision interval. The green dotted line indicates the end of recruitment on June 30 2021. The discontinuation decision interval covers the complete time at risk for a) all patients who discontinued or possibly discontinued their treatment but had incomplete or missing information on the treatment stop date or b) patients from registries collecting the first dose missed who experienced treatment discontinuation but missed information on the dosing interval (in total 27 (10%) patients).</w:t>
      </w:r>
    </w:p>
    <w:p>
      <w:pPr>
        <w:pStyle w:val="BodyText"/>
      </w:pPr>
      <w:r>
        <w:drawing>
          <wp:inline>
            <wp:extent cx="5753100" cy="5753100"/>
            <wp:effectExtent b="0" l="0" r="0" t="0"/>
            <wp:docPr descr="" title="" id="48" name="Picture"/>
            <a:graphic>
              <a:graphicData uri="http://schemas.openxmlformats.org/drawingml/2006/picture">
                <pic:pic>
                  <pic:nvPicPr>
                    <pic:cNvPr descr="Application/figures/Pt_recruitment_psa_infliximab.svg" id="49"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47"/>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S24:</w:t>
      </w:r>
      <w:r>
        <w:t xml:space="preserve"> </w:t>
      </w:r>
      <w:r>
        <w:t xml:space="preserve">Kaplan-Meier estimator of the probability for retaining TNFi over time by TNFi in axSpA with discontinuation defined as</w:t>
      </w:r>
      <w:r>
        <w:t xml:space="preserve"> </w:t>
      </w:r>
      <w:r>
        <w:t xml:space="preserve">‘</w:t>
      </w:r>
      <w:r>
        <w:t xml:space="preserve">last dose received</w:t>
      </w:r>
      <w:r>
        <w:t xml:space="preserve">’</w:t>
      </w:r>
      <w:r>
        <w:t xml:space="preserve">. Data from registries collecting</w:t>
      </w:r>
      <w:r>
        <w:t xml:space="preserve"> </w:t>
      </w:r>
      <w:r>
        <w:t xml:space="preserve">‘</w:t>
      </w:r>
      <w:r>
        <w:t xml:space="preserve">last dose received</w:t>
      </w:r>
      <w:r>
        <w:t xml:space="preserve">’</w:t>
      </w:r>
      <w:r>
        <w:t xml:space="preserve"> </w:t>
      </w:r>
      <w:r>
        <w:t xml:space="preserve">or</w:t>
      </w:r>
      <w:r>
        <w:t xml:space="preserve"> </w:t>
      </w:r>
      <w:r>
        <w:t xml:space="preserve">‘</w:t>
      </w:r>
      <w:r>
        <w:t xml:space="preserve">first dose missed</w:t>
      </w:r>
      <w:r>
        <w:t xml:space="preserve">’</w:t>
      </w:r>
      <w:r>
        <w:t xml:space="preserve"> </w:t>
      </w:r>
      <w:r>
        <w:t xml:space="preserve">(n=3168).</w:t>
      </w:r>
    </w:p>
    <w:p>
      <w:pPr>
        <w:pStyle w:val="BodyText"/>
      </w:pPr>
      <w:r>
        <w:drawing>
          <wp:inline>
            <wp:extent cx="5753100" cy="5753100"/>
            <wp:effectExtent b="0" l="0" r="0" t="0"/>
            <wp:docPr descr="" title="" id="51" name="Picture"/>
            <a:graphic>
              <a:graphicData uri="http://schemas.openxmlformats.org/drawingml/2006/picture">
                <pic:pic>
                  <pic:nvPicPr>
                    <pic:cNvPr descr="Application/figures/KM_plots_spa_last.svg" id="52"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50"/>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S25:</w:t>
      </w:r>
      <w:r>
        <w:t xml:space="preserve"> </w:t>
      </w:r>
      <w:r>
        <w:t xml:space="preserve">Kaplan-Meier estimator of the probability for retaining TNFi over time by TNFi in axSpA with discontinuation defined as</w:t>
      </w:r>
      <w:r>
        <w:t xml:space="preserve"> </w:t>
      </w:r>
      <w:r>
        <w:t xml:space="preserve">‘</w:t>
      </w:r>
      <w:r>
        <w:t xml:space="preserve">first dose missed</w:t>
      </w:r>
      <w:r>
        <w:t xml:space="preserve">’</w:t>
      </w:r>
      <w:r>
        <w:t xml:space="preserve">. Data from registries collecting</w:t>
      </w:r>
      <w:r>
        <w:t xml:space="preserve"> </w:t>
      </w:r>
      <w:r>
        <w:t xml:space="preserve">‘</w:t>
      </w:r>
      <w:r>
        <w:t xml:space="preserve">last dose received</w:t>
      </w:r>
      <w:r>
        <w:t xml:space="preserve">’</w:t>
      </w:r>
      <w:r>
        <w:t xml:space="preserve"> </w:t>
      </w:r>
      <w:r>
        <w:t xml:space="preserve">or</w:t>
      </w:r>
      <w:r>
        <w:t xml:space="preserve"> </w:t>
      </w:r>
      <w:r>
        <w:t xml:space="preserve">‘</w:t>
      </w:r>
      <w:r>
        <w:t xml:space="preserve">first dose missed</w:t>
      </w:r>
      <w:r>
        <w:t xml:space="preserve">’</w:t>
      </w:r>
      <w:r>
        <w:t xml:space="preserve"> </w:t>
      </w:r>
      <w:r>
        <w:t xml:space="preserve">(n=3168).</w:t>
      </w:r>
    </w:p>
    <w:p>
      <w:pPr>
        <w:pStyle w:val="BodyText"/>
      </w:pPr>
      <w:r>
        <w:drawing>
          <wp:inline>
            <wp:extent cx="5753100" cy="5753100"/>
            <wp:effectExtent b="0" l="0" r="0" t="0"/>
            <wp:docPr descr="" title="" id="54" name="Picture"/>
            <a:graphic>
              <a:graphicData uri="http://schemas.openxmlformats.org/drawingml/2006/picture">
                <pic:pic>
                  <pic:nvPicPr>
                    <pic:cNvPr descr="Application/figures/KM_plots_spa_first.svg" id="55"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53"/>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S26:</w:t>
      </w:r>
      <w:r>
        <w:t xml:space="preserve"> </w:t>
      </w:r>
      <w:r>
        <w:t xml:space="preserve">Kaplan-Meier estimator of the probability for retaining TNFi over time by TNFi in PsA with discontinuation defined as</w:t>
      </w:r>
      <w:r>
        <w:t xml:space="preserve"> </w:t>
      </w:r>
      <w:r>
        <w:t xml:space="preserve">‘</w:t>
      </w:r>
      <w:r>
        <w:t xml:space="preserve">last dose received</w:t>
      </w:r>
      <w:r>
        <w:t xml:space="preserve">’</w:t>
      </w:r>
      <w:r>
        <w:t xml:space="preserve">. Data from registries collecting</w:t>
      </w:r>
      <w:r>
        <w:t xml:space="preserve"> </w:t>
      </w:r>
      <w:r>
        <w:t xml:space="preserve">‘</w:t>
      </w:r>
      <w:r>
        <w:t xml:space="preserve">last dose received</w:t>
      </w:r>
      <w:r>
        <w:t xml:space="preserve">’</w:t>
      </w:r>
      <w:r>
        <w:t xml:space="preserve"> </w:t>
      </w:r>
      <w:r>
        <w:t xml:space="preserve">or</w:t>
      </w:r>
      <w:r>
        <w:t xml:space="preserve"> </w:t>
      </w:r>
      <w:r>
        <w:t xml:space="preserve">‘</w:t>
      </w:r>
      <w:r>
        <w:t xml:space="preserve">first dose missed</w:t>
      </w:r>
      <w:r>
        <w:t xml:space="preserve">’</w:t>
      </w:r>
      <w:r>
        <w:t xml:space="preserve"> </w:t>
      </w:r>
      <w:r>
        <w:t xml:space="preserve">(n=1053).</w:t>
      </w:r>
    </w:p>
    <w:p>
      <w:pPr>
        <w:pStyle w:val="BodyText"/>
      </w:pPr>
      <w:r>
        <w:drawing>
          <wp:inline>
            <wp:extent cx="5753100" cy="5753100"/>
            <wp:effectExtent b="0" l="0" r="0" t="0"/>
            <wp:docPr descr="" title="" id="57" name="Picture"/>
            <a:graphic>
              <a:graphicData uri="http://schemas.openxmlformats.org/drawingml/2006/picture">
                <pic:pic>
                  <pic:nvPicPr>
                    <pic:cNvPr descr="Application/figures/KM_plots_psa_last.svg" id="58"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56"/>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p>
      <w:pPr>
        <w:pStyle w:val="BodyText"/>
      </w:pPr>
      <w:r>
        <w:rPr>
          <w:bCs/>
          <w:b/>
        </w:rPr>
        <w:t xml:space="preserve">Figure S27:</w:t>
      </w:r>
      <w:r>
        <w:t xml:space="preserve"> </w:t>
      </w:r>
      <w:r>
        <w:t xml:space="preserve">Kaplan-Meier estimator of the probability for retaining TNFi over time by TNFi in PsA with discontinuation defined as</w:t>
      </w:r>
      <w:r>
        <w:t xml:space="preserve"> </w:t>
      </w:r>
      <w:r>
        <w:t xml:space="preserve">‘</w:t>
      </w:r>
      <w:r>
        <w:t xml:space="preserve">first dose missed</w:t>
      </w:r>
      <w:r>
        <w:t xml:space="preserve">’</w:t>
      </w:r>
      <w:r>
        <w:t xml:space="preserve">. Data from registries collecting</w:t>
      </w:r>
      <w:r>
        <w:t xml:space="preserve"> </w:t>
      </w:r>
      <w:r>
        <w:t xml:space="preserve">‘</w:t>
      </w:r>
      <w:r>
        <w:t xml:space="preserve">last dose received</w:t>
      </w:r>
      <w:r>
        <w:t xml:space="preserve">’</w:t>
      </w:r>
      <w:r>
        <w:t xml:space="preserve"> </w:t>
      </w:r>
      <w:r>
        <w:t xml:space="preserve">or</w:t>
      </w:r>
      <w:r>
        <w:t xml:space="preserve"> </w:t>
      </w:r>
      <w:r>
        <w:t xml:space="preserve">‘</w:t>
      </w:r>
      <w:r>
        <w:t xml:space="preserve">first dose missed</w:t>
      </w:r>
      <w:r>
        <w:t xml:space="preserve">’</w:t>
      </w:r>
      <w:r>
        <w:t xml:space="preserve"> </w:t>
      </w:r>
      <w:r>
        <w:t xml:space="preserve">(n=1053).</w:t>
      </w:r>
    </w:p>
    <w:p>
      <w:pPr>
        <w:pStyle w:val="BodyText"/>
      </w:pPr>
      <w:r>
        <w:drawing>
          <wp:inline>
            <wp:extent cx="5753100" cy="5753100"/>
            <wp:effectExtent b="0" l="0" r="0" t="0"/>
            <wp:docPr descr="" title="" id="60" name="Picture"/>
            <a:graphic>
              <a:graphicData uri="http://schemas.openxmlformats.org/drawingml/2006/picture">
                <pic:pic>
                  <pic:nvPicPr>
                    <pic:cNvPr descr="Application/figures/KM_plots_psa_first.svg" id="61" name="Picture"/>
                    <pic:cNvPicPr>
                      <a:picLocks noChangeArrowheads="1" noChangeAspect="1"/>
                    </pic:cNvPicPr>
                  </pic:nvPicPr>
                  <pic:blipFill>
                    <a:blip>
                      <a:extLst>
                        <a:ext uri="{28A0092B-C50C-407E-A947-70E740481C1C}">
                          <a14:useLocalDpi xmlns:a14="http://schemas.microsoft.com/office/drawing/2010/main" val="0"/>
                        </a:ext>
                        <a:ext uri="{96DAC541-7B7A-43D3-8B79-37D633B846F1}">
                          <asvg:svgBlip xmlns:asvg="http://schemas.microsoft.com/office/drawing/2016/SVG/main" r:embed="rId59"/>
                        </a:ext>
                      </a:extLst>
                    </a:blip>
                    <a:stretch>
                      <a:fillRect/>
                    </a:stretch>
                  </pic:blipFill>
                  <pic:spPr bwMode="auto">
                    <a:xfrm>
                      <a:off x="0" y="0"/>
                      <a:ext cx="5753100" cy="5753100"/>
                    </a:xfrm>
                    <a:prstGeom prst="rect">
                      <a:avLst/>
                    </a:prstGeom>
                    <a:noFill/>
                    <a:ln w="9525">
                      <a:noFill/>
                      <a:headEnd/>
                      <a:tailEnd/>
                    </a:ln>
                  </pic:spPr>
                </pic:pic>
              </a:graphicData>
            </a:graphic>
          </wp:inline>
        </w:drawing>
      </w:r>
    </w:p>
    <w:p>
      <w:pPr>
        <w:pStyle w:val="BodyText"/>
      </w:pPr>
    </w:p>
    <w:bookmarkStart w:id="74" w:name="fitted-model-outputs"/>
    <w:p>
      <w:pPr>
        <w:pStyle w:val="Heading1"/>
      </w:pPr>
      <w:r>
        <w:t xml:space="preserve">Fitted model outputs</w:t>
      </w:r>
    </w:p>
    <w:p>
      <w:pPr>
        <w:pStyle w:val="FirstParagraph"/>
      </w:pPr>
      <w:r>
        <w:t xml:space="preserve">Reference level for discrete covariates: etanercept for bio_drug_name, female for gender, 2015/2016 for calendar_year, 0 for concom_csdmard_baseline. For continuous covariates (age_drug_baseline in years): the estimate refers to the change in the log-transformed hazard associated with one unit change in the covariate.</w:t>
      </w:r>
    </w:p>
    <w:bookmarkStart w:id="62" w:name="am2-axspa"/>
    <w:p>
      <w:pPr>
        <w:pStyle w:val="Heading2"/>
      </w:pPr>
      <w:r>
        <w:t xml:space="preserve">AM2 axSpA</w:t>
      </w:r>
    </w:p>
    <w:p>
      <w:pPr>
        <w:pStyle w:val="FirstParagraph"/>
      </w:pPr>
      <w:r>
        <w:t xml:space="preserve">(Stratified) Parametric Linear Cox Regression Model, analysis method AM2, country-stratified. Number of patients: 3168, number of events: 942.</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0.004707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0.086766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0.95674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1.004718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0.847596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1.190966</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0.129453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0.152213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0.39506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1.138206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0.844611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1.533858</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-0.085237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0.107668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0.42856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0.918295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0.743592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1.134043</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0.532045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0.113840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2.9596e-06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1.702410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1.361956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2.127969</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-0.444401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0.067698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5.2209e-11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0.641208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0.561532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0.732189</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-0.001452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0.002695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0.59000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0.998549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0.993289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1.003837</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0.010828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0.079642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0.89186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1.010887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0.864791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1.181664</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-0.033418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0.099983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0.73820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0.967134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0.795026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1.176501</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-0.097645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0.080755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0.22660</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0.906971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0.774203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1.062507</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62"/>
    <w:bookmarkStart w:id="63" w:name="am2-psa"/>
    <w:p>
      <w:pPr>
        <w:pStyle w:val="Heading2"/>
      </w:pPr>
      <w:r>
        <w:t xml:space="preserve">AM2 PsA</w:t>
      </w:r>
    </w:p>
    <w:p>
      <w:pPr>
        <w:pStyle w:val="FirstParagraph"/>
      </w:pPr>
      <w:r>
        <w:t xml:space="preserve">(Stratified) Parametric Linear Cox Regression Model, analysis method AM2, country-stratified. Number of patients: 1053, number of events: 353.</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-0.112378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0.142628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0.43075</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0.893706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0.675755</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1.181953</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-0.243455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0.297736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0.41354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0.783915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0.437357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1.405083</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-0.054055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0.156200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0.72929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0.947380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0.697536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1.286712</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0.173467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0.225851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0.44245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1.189421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0.763996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1.851741</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-0.656000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0.113062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6.5474e-09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0.518923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0.415781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0.647651</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-0.004056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0.004504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0.36784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0.995952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0.987200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1.004783</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-0.085992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0.128395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0.50302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0.917602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0.713451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1.180170</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-0.176348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0.150252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0.24052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0.838326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0.624480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1.125402</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-0.222136</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0.137117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0.10522</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0.800807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0.612088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1.047712</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63"/>
    <w:bookmarkStart w:id="64" w:name="am3-axspa"/>
    <w:p>
      <w:pPr>
        <w:pStyle w:val="Heading2"/>
      </w:pPr>
      <w:r>
        <w:t xml:space="preserve">AM3 axSpA</w:t>
      </w:r>
    </w:p>
    <w:p>
      <w:pPr>
        <w:pStyle w:val="FirstParagraph"/>
      </w:pPr>
      <w:r>
        <w:t xml:space="preserve">Cox proportional hazards model, analysis method AM3, country-stratified. Number of patients: 3168, number of events: 942.</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0.003373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0.086699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0.96897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1.003379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0.846577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1.189223</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0.126922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0.152019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0.40377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1.135328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0.842796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1.529398</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-0.077913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0.107564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0.46886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0.925045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0.749211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1.142146</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0.546460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0.113693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1.5364e-06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1.727128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1.382129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2.158244</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-0.443510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0.067586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5.3043e-11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0.641780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0.562156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0.732682</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-0.001553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0.002693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0.56410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0.998448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0.993191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1.003732</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0.001395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0.079227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0.98596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1.001396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0.857368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1.169618</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-0.052789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0.099456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0.59558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0.948581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0.780579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1.152740</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-0.093953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0.080779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0.24479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0.910326</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0.777030</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1.066487</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64"/>
    <w:bookmarkStart w:id="65" w:name="am3-psa"/>
    <w:p>
      <w:pPr>
        <w:pStyle w:val="Heading2"/>
      </w:pPr>
      <w:r>
        <w:t xml:space="preserve">AM3 PsA</w:t>
      </w:r>
    </w:p>
    <w:p>
      <w:pPr>
        <w:pStyle w:val="FirstParagraph"/>
      </w:pPr>
      <w:r>
        <w:t xml:space="preserve">Cox proportional hazards model, analysis method AM3, country-stratified. Number of patients: 1053, number of events: 353.</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131"/>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-0.108251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0.142356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0.44700</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0.897402</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0.678913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1.186207</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-0.247465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0.297747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0.40590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0.780777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0.435596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1.399491</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-0.048178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0.155951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0.75737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0.952964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0.701989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1.293667</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0.187934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0.223829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0.40111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1.206754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0.778207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1.871296</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-0.650444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0.112722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7.911e-09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0.521814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0.418376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0.650826</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-0.004244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0.004507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0.34645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0.995765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0.987008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1.004601</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-0.085582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0.126303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0.49803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0.917978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0.716676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1.175823</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-0.195590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0.148492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0.18778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0.822349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0.614694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1.100154</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-0.221474</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0.137063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0.10613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0.801337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0.612558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1.048295</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65"/>
    <w:bookmarkStart w:id="66" w:name="am4-axspa"/>
    <w:p>
      <w:pPr>
        <w:pStyle w:val="Heading2"/>
      </w:pPr>
      <w:r>
        <w:t xml:space="preserve">AM4 axSpA</w:t>
      </w:r>
    </w:p>
    <w:p>
      <w:pPr>
        <w:pStyle w:val="FirstParagraph"/>
      </w:pPr>
      <w:r>
        <w:t xml:space="preserve">Cox proportional hazards model, analysis method AM4, country-stratified. Number of patients: 3168, number of events: 881.</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0.033503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0.090285</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0.71058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1.034071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0.866362</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1.234244</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0.196043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0.155879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0.20851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1.216579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0.896305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1.651294</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-0.082910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0.112361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0.46058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0.920434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0.738501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1.147186</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0.548333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0.117512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3.0683e-06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1.730367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1.374396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2.178535</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-0.449831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0.069877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1.2148e-10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0.637736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0.556111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0.731342</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-0.000962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0.002782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0.72937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0.999038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0.993606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1.004500</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-0.053468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0.082220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0.51550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0.947937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0.806852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1.113691</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-0.089855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0.102732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0.38176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0.914063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0.747361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1.117949</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-0.099446</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0.083582</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0.23413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0.905339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0.768539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1.066489</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66"/>
    <w:bookmarkStart w:id="67" w:name="am4-psa"/>
    <w:p>
      <w:pPr>
        <w:pStyle w:val="Heading2"/>
      </w:pPr>
      <w:r>
        <w:t xml:space="preserve">AM4 PsA</w:t>
      </w:r>
    </w:p>
    <w:p>
      <w:pPr>
        <w:pStyle w:val="FirstParagraph"/>
      </w:pPr>
      <w:r>
        <w:t xml:space="preserve">Cox proportional hazards model, analysis method AM4, country-stratified. Number of patients: 1053, number of events: 337.</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-0.119055</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0.145639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0.41366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0.887759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0.667308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1.181037</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-0.291085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0.308223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0.34497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0.747452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0.408530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1.367550</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-0.098278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0.160711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0.54086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0.906397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0.661486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1.241985</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0.188893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0.225984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0.40323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1.207911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0.775670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1.881019</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-0.626603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0.115076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5.1773e-08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0.534404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0.426498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0.669612</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-0.005721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0.004611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0.21479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0.994296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0.985349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1.003323</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-0.066471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0.129128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0.60672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0.935690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0.726470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1.205164</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-0.189881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0.153004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0.21460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0.827058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0.612771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1.116280</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-0.228305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0.140797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0.10491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0.795881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0.603951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1.048805</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67"/>
    <w:bookmarkStart w:id="68" w:name="am5-axspa"/>
    <w:p>
      <w:pPr>
        <w:pStyle w:val="Heading2"/>
      </w:pPr>
      <w:r>
        <w:t xml:space="preserve">AM5 axSpA</w:t>
      </w:r>
    </w:p>
    <w:p>
      <w:pPr>
        <w:pStyle w:val="FirstParagraph"/>
      </w:pPr>
      <w:r>
        <w:t xml:space="preserve">Cox proportional hazards model, analysis method AM5, country-stratified. Number of patients: 3168, number of events: 942.</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0.003424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0.086698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0.96849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1.003430</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0.846623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1.189281</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0.126947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0.152019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0.40368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1.135357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0.842817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1.529436</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-0.077879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0.107565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0.46905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0.925077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0.749236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1.142186</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0.546505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0.113694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1.5335e-06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1.727206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1.382190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2.158342</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-0.443438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0.067586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5.3402e-11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0.641826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0.562197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0.732734</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-0.001555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0.002693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0.56361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0.998446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0.993189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1.003730</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0.001369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0.079228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0.98621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1.001370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0.857346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1.169589</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-0.052699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0.099453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0.59619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0.948665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0.780654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1.152837</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-0.093942</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0.080779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0.24485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0.910336</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0.777039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1.066499</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68"/>
    <w:bookmarkStart w:id="69" w:name="am5-psa"/>
    <w:p>
      <w:pPr>
        <w:pStyle w:val="Heading2"/>
      </w:pPr>
      <w:r>
        <w:t xml:space="preserve">AM5 PsA</w:t>
      </w:r>
    </w:p>
    <w:p>
      <w:pPr>
        <w:pStyle w:val="FirstParagraph"/>
      </w:pPr>
      <w:r>
        <w:t xml:space="preserve">Cox proportional hazards model, analysis method AM5, country-stratified. Number of patients: 1053, number of events: 353.</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-0.109877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0.142364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0.44023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0.895944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0.677799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1.184299</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-0.249806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0.297766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0.40151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0.778952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0.434562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1.396271</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-0.050432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0.155962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0.74642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0.950819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0.700394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1.290782</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0.183066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0.224237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0.41427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1.200893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0.773809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1.863697</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-0.649701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0.112723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8.2293e-09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0.522202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0.418686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0.651311</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-0.004323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0.004510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0.33787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0.995687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0.986923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1.004528</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-0.083443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0.126396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0.50914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0.919943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0.718080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1.178554</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-0.194279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0.148520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0.19084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0.823428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0.615468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1.101656</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-0.220802</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0.137074</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0.10722</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0.801875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0.612955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1.049023</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69"/>
    <w:bookmarkStart w:id="70" w:name="am2-axspa-1"/>
    <w:p>
      <w:pPr>
        <w:pStyle w:val="Heading2"/>
      </w:pPr>
      <w:r>
        <w:t xml:space="preserve">AM2’ axSpA</w:t>
      </w:r>
    </w:p>
    <w:p>
      <w:pPr>
        <w:pStyle w:val="FirstParagraph"/>
      </w:pPr>
      <w:r>
        <w:t xml:space="preserve">(Stratified) Parametric Linear Cox Regression Model, analysis method AM2’, country-stratified. Number of patients: 3635, number of events: 1127.</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-0.003198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0.081073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0.96854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0.996808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0.850357</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1.168479</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0.070215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0.127400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0.58154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1.072739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0.835700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1.377011</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-0.141530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0.101765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0.16430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0.868029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0.711068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1.059637</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0.416438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0.103062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5.3304e-05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1.516550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1.239167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1.856022</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-0.443773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0.061641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6.0529e-13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0.641611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0.568595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0.724004</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-0.000874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0.002440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0.999127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0.994360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1.003916</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0.022487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0.072649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0.75692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1.022741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0.887007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1.179246</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0.016482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0.090704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0.85581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1.016618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0.851041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1.214411</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-0.108156</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0.073726</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0.14238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0.897488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0.776735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1.037013</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70"/>
    <w:bookmarkStart w:id="71" w:name="am2-psa-1"/>
    <w:p>
      <w:pPr>
        <w:pStyle w:val="Heading2"/>
      </w:pPr>
      <w:r>
        <w:t xml:space="preserve">AM2’ PsA</w:t>
      </w:r>
    </w:p>
    <w:p>
      <w:pPr>
        <w:pStyle w:val="FirstParagraph"/>
      </w:pPr>
      <w:r>
        <w:t xml:space="preserve">(Stratified) Parametric Linear Cox Regression Model, analysis method AM2’, country-stratified. Number of patients: 1602, number of events: 591.</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-0.090498</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0.110369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0.41224</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0.913476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0.735786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1.134079</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0.053084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0.165159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0.74790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1.054518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0.762905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1.457597</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-0.127386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0.130886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0.33042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0.880394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0.681187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1.137856</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0.184527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0.157253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0.24062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1.202649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0.883660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1.636789</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-0.641769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0.086508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1.1835e-13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0.526360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0.444271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0.623618</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-0.002239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0.003500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0.52233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0.997763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0.990942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1.004631</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0.006378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0.099560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0.94892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1.006399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0.827988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1.223253</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0.060184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0.117723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0.60918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1.062032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0.843202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1.337654</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-0.238698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0.110314</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0.03048</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0.787653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0.634505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0.977765</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71"/>
    <w:bookmarkStart w:id="72" w:name="am5-axspa-1"/>
    <w:p>
      <w:pPr>
        <w:pStyle w:val="Heading2"/>
      </w:pPr>
      <w:r>
        <w:t xml:space="preserve">AM5’ axSpA</w:t>
      </w:r>
    </w:p>
    <w:p>
      <w:pPr>
        <w:pStyle w:val="FirstParagraph"/>
      </w:pPr>
      <w:r>
        <w:t xml:space="preserve">Cox proportional hazards model, analysis method AM5’, country-stratified. Number of patients: 3635, number of events: 1127.</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-0.003056</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0.081030</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0.96991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0.996949</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0.850550</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1.168546</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0.069148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0.127514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0.58763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1.071595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0.834623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1.375850</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-0.132836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0.101718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0.19158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0.875609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0.717344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1.068791</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0.427204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0.103025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3.3744e-05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1.532966</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1.252672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1.875977</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-0.444437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0.061601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5.4035e-13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0.641185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0.568262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0.723467</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-0.000845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0.002438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0.72889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0.999155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0.994392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1.003942</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0.013137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0.072334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0.85589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1.013224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0.879294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1.167553</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0.000108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0.090313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0.99905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1.000108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0.837861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1.193772</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-0.104490</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0.073774</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0.15667</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0.900783</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0.779514</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1.040918</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72"/>
    <w:bookmarkStart w:id="73" w:name="am5-psa-1"/>
    <w:p>
      <w:pPr>
        <w:pStyle w:val="Heading2"/>
      </w:pPr>
      <w:r>
        <w:t xml:space="preserve">AM5’ PsA</w:t>
      </w:r>
    </w:p>
    <w:p>
      <w:pPr>
        <w:pStyle w:val="FirstParagraph"/>
      </w:pPr>
      <w:r>
        <w:t xml:space="preserve">Cox proportional hazards model, analysis method AM5’, country-stratified. Number of patients: 1602, number of events: 591.</w:t>
      </w:r>
    </w:p>
    <w:tbl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pic="http://schemas.openxmlformats.org/drawingml/2006/picture">
      <w:tblPr>
        <w:tblLayout w:type="fixed"/>
        <w:jc w:val="center"/>
        <w:tblLook w:firstRow="1" w:lastRow="0" w:firstColumn="0" w:lastColumn="0" w:noHBand="0" w:noVBand="1"/>
      </w:tblPr>
      <w:tblGrid>
        <w:gridCol w:w="2581"/>
        <w:gridCol w:w="1131"/>
        <w:gridCol w:w="1078"/>
        <w:gridCol w:w="1220"/>
        <w:gridCol w:w="1309"/>
        <w:gridCol w:w="1078"/>
        <w:gridCol w:w="1078"/>
      </w:tblGrid>
      <w:tr>
        <w:trPr>
          <w:trHeight w:val="533" w:hRule="auto"/>
          <w:tblHeader/>
        </w:trPr>
        header1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Coefficient</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Std.Error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P.value</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Estimate.HR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w:t>
            </w:r>
          </w:p>
        </w:tc>
        <w:tc>
          <w:tcPr>
            <w:tcBorders>
              <w:bottom w:val="single" w:sz="12" w:space="0" w:color="666666"/>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UCL.HR</w:t>
            </w:r>
          </w:p>
        </w:tc>
      </w:tr>
      <w:tr>
        <w:trPr>
          <w:trHeight w:val="562" w:hRule="auto"/>
        </w:trPr>
        body1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bio_drug_nameadalimumab</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-0.087171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0.110201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0.42893</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0.916520</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0.738481</w:t>
            </w:r>
          </w:p>
        </w:tc>
        <w:tc>
          <w:tcPr>
            <w:tcBorders>
              <w:bottom w:val="none" w:sz="0" w:space="0" w:color="000000"/>
              <w:top w:val="single" w:sz="12" w:space="0" w:color="666666"/>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1.137483</w:t>
            </w:r>
          </w:p>
        </w:tc>
      </w:tr>
      <w:tr>
        <w:trPr>
          <w:trHeight w:val="562" w:hRule="auto"/>
        </w:trPr>
        body2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bio_drug_namecertolizumab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0.056003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0.164988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0.73428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1.057601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0.765391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1.461370</w:t>
            </w:r>
          </w:p>
        </w:tc>
      </w:tr>
      <w:tr>
        <w:trPr>
          <w:trHeight w:val="562" w:hRule="auto"/>
        </w:trPr>
        body3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bio_drug_namegolimumab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-0.122801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0.130744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0.34761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0.884440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0.684508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1.142768</w:t>
            </w:r>
          </w:p>
        </w:tc>
      </w:tr>
      <w:tr>
        <w:trPr>
          <w:trHeight w:val="563" w:hRule="auto"/>
        </w:trPr>
        body4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bio_drug_nameinfliximab</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0.189022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0.156672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0.22763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1.208068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0.888653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1.642292</w:t>
            </w:r>
          </w:p>
        </w:tc>
      </w:tr>
      <w:tr>
        <w:trPr>
          <w:trHeight w:val="562" w:hRule="auto"/>
        </w:trPr>
        body5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gendermale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-0.637907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0.086385</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1.5308e-13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0.528397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0.446097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0.625881</w:t>
            </w:r>
          </w:p>
        </w:tc>
      </w:tr>
      <w:tr>
        <w:trPr>
          <w:trHeight w:val="562" w:hRule="auto"/>
        </w:trPr>
        body6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age_drug_baseline</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-0.002349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0.003503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0.50258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0.997654</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0.990827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1.004528</w:t>
            </w:r>
          </w:p>
        </w:tc>
      </w:tr>
      <w:tr>
        <w:trPr>
          <w:trHeight w:val="562" w:hRule="auto"/>
        </w:trPr>
        body7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calendar_year2017/2018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0.010210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0.098649</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0.91757</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1.010262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0.832653</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1.225757</w:t>
            </w:r>
          </w:p>
        </w:tc>
      </w:tr>
      <w:tr>
        <w:trPr>
          <w:trHeight w:val="562" w:hRule="auto"/>
        </w:trPr>
        body8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calendar_year2019/2020/2021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0.050998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0.116888</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0.66262</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1.052321</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0.836860</w:t>
            </w:r>
          </w:p>
        </w:tc>
        <w:tc>
          <w:tcPr>
            <w:tcBorders>
              <w:bottom w:val="none" w:sz="0" w:space="0" w:color="000000"/>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1.323256</w:t>
            </w:r>
          </w:p>
        </w:tc>
      </w:tr>
      <w:tr>
        <w:trPr>
          <w:trHeight w:val="555" w:hRule="auto"/>
        </w:trPr>
        body9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concom_csdmard_baseline1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-0.237769</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0.110234</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0.03101</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0.788385</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0.635194</w:t>
            </w:r>
          </w:p>
        </w:tc>
        <w:tc>
          <w:tcPr>
            <w:tcBorders>
              <w:bottom w:val="single" w:sz="12" w:space="0" w:color="666666"/>
              <w:top w:val="none" w:sz="0" w:space="0" w:color="000000"/>
              <w:left w:val="none" w:sz="0" w:space="0" w:color="000000"/>
              <w:right w:val="none" w:sz="0" w:space="0" w:color="000000"/>
            </w:tcBorders>
            <w:shd w:val="clear" w:color="auto" w:fill="FFFFFF"/>
            <w:tcMar>
              <w:top w:w="0" w:type="dxa"/>
              <w:bottom w:w="0" w:type="dxa"/>
              <w:left w:w="0" w:type="dxa"/>
              <w:right w:w="0" w:type="dxa"/>
            </w:tcMar>
            <w:vAlign w:val="center"/>
          </w:tcPr>
          <w:p>
            <w:pPr>
              <w:pStyle w:val="Normal"/>
              <w:jc w:val="righ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0.978520</w:t>
            </w:r>
          </w:p>
        </w:tc>
      </w:tr>
      <w:tr>
        <w:trPr>
          <w:trHeight w:val="360" w:hRule="auto"/>
        </w:trPr>
        footer1
        <w:tc>
          <w:tcPr>
            <w:gridSpan w:val="7"/>
            <w:tcBorders>
              <w:bottom w:val="none" w:sz="0" w:space="0" w:color="FFFFFF"/>
              <w:top w:val="single" w:sz="12" w:space="0" w:color="666666"/>
              <w:left w:val="none" w:sz="0" w:space="0" w:color="FFFFFF"/>
              <w:right w:val="none" w:sz="0" w:space="0" w:color="FFFFFF"/>
            </w:tcBorders>
            <w:shd w:val="clear" w:color="auto" w:fill="FFFFFF"/>
            <w:tcMar>
              <w:top w:w="0" w:type="dxa"/>
              <w:bottom w:w="0" w:type="dxa"/>
              <w:left w:w="0" w:type="dxa"/>
              <w:right w:w="0" w:type="dxa"/>
            </w:tcMar>
            <w:vAlign w:val="center"/>
          </w:tcPr>
          <w:p>
            <w:pPr>
              <w:pStyle w:val="Normal"/>
              <w:jc w:val="left"/>
              <w:pBdr>
                <w:bottom w:val="none" w:sz="0" w:space="0" w:color="000000"/>
                <w:top w:val="none" w:sz="0" w:space="0" w:color="000000"/>
                <w:left w:val="none" w:sz="0" w:space="0" w:color="000000"/>
                <w:right w:val="none" w:sz="0" w:space="0" w:color="000000"/>
              </w:pBdr>
              <w:spacing w:after="100" w:before="100" w:line="240"/>
              <w:ind w:left="100" w:right="100" w:firstLine="0" w:firstLineChars="0"/>
            </w:pPr>
            <w:r xmlns:w="http://schemas.openxmlformats.org/wordprocessingml/2006/main" xmlns:wp="http://schemas.openxmlformats.org/drawingml/2006/wordprocessingDrawing" xmlns:r="http://schemas.openxmlformats.org/officeDocument/2006/relationships" xmlns:w14="http://schemas.microsoft.com/office/word/2010/wordml">
              <w:rPr>
                <w:rFonts w:ascii="Arial" w:hAnsi="DejaVu Sans" w:eastAsia="DejaVu Sans" w:cs="DejaVu Sans"/>
                <w:i w:val="false"/>
                <w:b w:val="false"/>
                <w:u w:val="none"/>
                <w:sz w:val="16"/>
                <w:szCs w:val="16"/>
                <w:color w:val="000000"/>
              </w:rPr>
              <w:t xml:space="preserve">LCL.HR / UCL.HR: lower and upper limit of the 95% Wald-type confidence interval for the hazard ratio (HR).</w:t>
            </w:r>
          </w:p>
        </w:tc>
      </w:tr>
    </w:tbl>
    <w:p>
      <w:pPr>
        <w:pStyle w:val="BodyText"/>
      </w:pPr>
    </w:p>
    <w:bookmarkEnd w:id="73"/>
    <w:bookmarkEnd w:id="74"/>
    <w:sectPr w:rsidR="00094C25" w:rsidSect="007D2225">
      <w:footerReference r:id="rId9" w:type="even"/>
      <w:footerReference r:id="rId10" w:type="default"/>
      <w:pgSz w:h="16840" w:w="11900"/>
      <w:pgMar w:bottom="1134" w:footer="708" w:gutter="0" w:header="708" w:left="1417" w:right="1417" w:top="1417"/>
      <w:lnNumType w:countBy="1" w:restart="continuous"/>
      <w:cols w:space="708"/>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jaVu San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9873331"/>
      <w:docPartObj>
        <w:docPartGallery w:val="Page Numbers (Bottom of Page)"/>
        <w:docPartUnique/>
      </w:docPartObj>
    </w:sdtPr>
    <w:sdtContent>
      <w:p w14:paraId="35F51D44" w14:textId="50B73CC2" w:rsidR="008370C1" w:rsidRDefault="008370C1" w:rsidP="00622E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DBDE8A" w14:textId="77777777" w:rsidR="008370C1" w:rsidRDefault="008370C1" w:rsidP="008370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4446746"/>
      <w:docPartObj>
        <w:docPartGallery w:val="Page Numbers (Bottom of Page)"/>
        <w:docPartUnique/>
      </w:docPartObj>
    </w:sdtPr>
    <w:sdtContent>
      <w:p w14:paraId="1EDD7418" w14:textId="4B0CC756" w:rsidR="008370C1" w:rsidRDefault="008370C1" w:rsidP="00622E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89F35BD" w14:textId="77777777" w:rsidR="008370C1" w:rsidRDefault="008370C1" w:rsidP="008370C1">
    <w:pPr>
      <w:pStyle w:val="Footer"/>
      <w:ind w:right="360"/>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15:restartNumberingAfterBreak="0" w:abstractNumId="0">
    <w:nsid w:val="025651B1"/>
    <w:multiLevelType w:val="hybridMultilevel"/>
    <w:tmpl w:val="8ABCC19C"/>
    <w:lvl w:ilvl="0" w:tplc="45CAAE4E">
      <w:start w:val="1"/>
      <w:numFmt w:val="bullet"/>
      <w:lvlText w:val="-"/>
      <w:lvlJc w:val="left"/>
      <w:pPr>
        <w:ind w:hanging="360" w:left="720"/>
      </w:pPr>
      <w:rPr>
        <w:rFonts w:ascii="Calibri" w:cs="Calibri" w:eastAsiaTheme="minorEastAsia" w:hAnsi="Calibri"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1">
    <w:nsid w:val="03A03787"/>
    <w:multiLevelType w:val="multilevel"/>
    <w:tmpl w:val="01B836EE"/>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2">
    <w:nsid w:val="14F35E6B"/>
    <w:multiLevelType w:val="hybridMultilevel"/>
    <w:tmpl w:val="610470D8"/>
    <w:lvl w:ilvl="0" w:tplc="C4B4C536">
      <w:numFmt w:val="bullet"/>
      <w:lvlText w:val=""/>
      <w:lvlJc w:val="left"/>
      <w:pPr>
        <w:ind w:hanging="360" w:left="720"/>
      </w:pPr>
      <w:rPr>
        <w:rFonts w:ascii="Wingdings" w:cstheme="minorBidi" w:eastAsiaTheme="minorEastAsia" w:hAnsi="Wingdings"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3">
    <w:nsid w:val="1A101A65"/>
    <w:multiLevelType w:val="hybridMultilevel"/>
    <w:tmpl w:val="8438E1F8"/>
    <w:lvl w:ilvl="0" w:tplc="04070001">
      <w:start w:val="1"/>
      <w:numFmt w:val="bullet"/>
      <w:lvlText w:val=""/>
      <w:lvlJc w:val="left"/>
      <w:pPr>
        <w:ind w:hanging="360" w:left="720"/>
      </w:pPr>
      <w:rPr>
        <w:rFonts w:ascii="Symbol" w:hAnsi="Symbol"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4">
    <w:nsid w:val="33C71AD9"/>
    <w:multiLevelType w:val="multilevel"/>
    <w:tmpl w:val="6450C768"/>
    <w:lvl w:ilvl="0">
      <w:start w:val="3"/>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15:restartNumberingAfterBreak="0" w:abstractNumId="5">
    <w:nsid w:val="3A0D3723"/>
    <w:multiLevelType w:val="hybridMultilevel"/>
    <w:tmpl w:val="D7845E20"/>
    <w:lvl w:ilvl="0" w:tplc="0407000F">
      <w:start w:val="1"/>
      <w:numFmt w:val="decimal"/>
      <w:lvlText w:val="%1."/>
      <w:lvlJc w:val="left"/>
      <w:pPr>
        <w:ind w:hanging="360" w:left="720"/>
      </w:pPr>
    </w:lvl>
    <w:lvl w:ilvl="1" w:tentative="1" w:tplc="04070019">
      <w:start w:val="1"/>
      <w:numFmt w:val="lowerLetter"/>
      <w:lvlText w:val="%2."/>
      <w:lvlJc w:val="left"/>
      <w:pPr>
        <w:ind w:hanging="360" w:left="1440"/>
      </w:pPr>
    </w:lvl>
    <w:lvl w:ilvl="2" w:tentative="1" w:tplc="0407001B">
      <w:start w:val="1"/>
      <w:numFmt w:val="lowerRoman"/>
      <w:lvlText w:val="%3."/>
      <w:lvlJc w:val="right"/>
      <w:pPr>
        <w:ind w:hanging="180" w:left="2160"/>
      </w:pPr>
    </w:lvl>
    <w:lvl w:ilvl="3" w:tentative="1" w:tplc="0407000F">
      <w:start w:val="1"/>
      <w:numFmt w:val="decimal"/>
      <w:lvlText w:val="%4."/>
      <w:lvlJc w:val="left"/>
      <w:pPr>
        <w:ind w:hanging="360" w:left="2880"/>
      </w:pPr>
    </w:lvl>
    <w:lvl w:ilvl="4" w:tentative="1" w:tplc="04070019">
      <w:start w:val="1"/>
      <w:numFmt w:val="lowerLetter"/>
      <w:lvlText w:val="%5."/>
      <w:lvlJc w:val="left"/>
      <w:pPr>
        <w:ind w:hanging="360" w:left="3600"/>
      </w:pPr>
    </w:lvl>
    <w:lvl w:ilvl="5" w:tentative="1" w:tplc="0407001B">
      <w:start w:val="1"/>
      <w:numFmt w:val="lowerRoman"/>
      <w:lvlText w:val="%6."/>
      <w:lvlJc w:val="right"/>
      <w:pPr>
        <w:ind w:hanging="180" w:left="4320"/>
      </w:pPr>
    </w:lvl>
    <w:lvl w:ilvl="6" w:tentative="1" w:tplc="0407000F">
      <w:start w:val="1"/>
      <w:numFmt w:val="decimal"/>
      <w:lvlText w:val="%7."/>
      <w:lvlJc w:val="left"/>
      <w:pPr>
        <w:ind w:hanging="360" w:left="5040"/>
      </w:pPr>
    </w:lvl>
    <w:lvl w:ilvl="7" w:tentative="1" w:tplc="04070019">
      <w:start w:val="1"/>
      <w:numFmt w:val="lowerLetter"/>
      <w:lvlText w:val="%8."/>
      <w:lvlJc w:val="left"/>
      <w:pPr>
        <w:ind w:hanging="360" w:left="5760"/>
      </w:pPr>
    </w:lvl>
    <w:lvl w:ilvl="8" w:tentative="1" w:tplc="0407001B">
      <w:start w:val="1"/>
      <w:numFmt w:val="lowerRoman"/>
      <w:lvlText w:val="%9."/>
      <w:lvlJc w:val="right"/>
      <w:pPr>
        <w:ind w:hanging="180" w:left="6480"/>
      </w:pPr>
    </w:lvl>
  </w:abstractNum>
  <w:abstractNum w15:restartNumberingAfterBreak="0" w:abstractNumId="6">
    <w:nsid w:val="420D3E1D"/>
    <w:multiLevelType w:val="multilevel"/>
    <w:tmpl w:val="6450C768"/>
    <w:lvl w:ilvl="0">
      <w:start w:val="3"/>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15:restartNumberingAfterBreak="0" w:abstractNumId="7">
    <w:nsid w:val="440232C4"/>
    <w:multiLevelType w:val="multilevel"/>
    <w:tmpl w:val="9712FC42"/>
    <w:lvl w:ilvl="0">
      <w:start w:val="1"/>
      <w:numFmt w:val="bullet"/>
      <w:lvlText w:val=""/>
      <w:lvlJc w:val="left"/>
      <w:pPr>
        <w:tabs>
          <w:tab w:pos="720" w:val="num"/>
        </w:tabs>
        <w:ind w:hanging="360" w:left="720"/>
      </w:pPr>
      <w:rPr>
        <w:rFonts w:ascii="Symbol" w:hAnsi="Symbol" w:hint="default"/>
        <w:sz w:val="20"/>
      </w:rPr>
    </w:lvl>
    <w:lvl w:ilvl="1" w:tentative="1">
      <w:start w:val="1"/>
      <w:numFmt w:val="bullet"/>
      <w:lvlText w:val="o"/>
      <w:lvlJc w:val="left"/>
      <w:pPr>
        <w:tabs>
          <w:tab w:pos="1440" w:val="num"/>
        </w:tabs>
        <w:ind w:hanging="360" w:left="1440"/>
      </w:pPr>
      <w:rPr>
        <w:rFonts w:ascii="Courier New" w:hAnsi="Courier New" w:hint="default"/>
        <w:sz w:val="20"/>
      </w:rPr>
    </w:lvl>
    <w:lvl w:ilvl="2" w:tentative="1">
      <w:start w:val="1"/>
      <w:numFmt w:val="bullet"/>
      <w:lvlText w:val=""/>
      <w:lvlJc w:val="left"/>
      <w:pPr>
        <w:tabs>
          <w:tab w:pos="2160" w:val="num"/>
        </w:tabs>
        <w:ind w:hanging="360" w:left="2160"/>
      </w:pPr>
      <w:rPr>
        <w:rFonts w:ascii="Wingdings" w:hAnsi="Wingdings" w:hint="default"/>
        <w:sz w:val="20"/>
      </w:rPr>
    </w:lvl>
    <w:lvl w:ilvl="3" w:tentative="1">
      <w:start w:val="1"/>
      <w:numFmt w:val="bullet"/>
      <w:lvlText w:val=""/>
      <w:lvlJc w:val="left"/>
      <w:pPr>
        <w:tabs>
          <w:tab w:pos="2880" w:val="num"/>
        </w:tabs>
        <w:ind w:hanging="360" w:left="2880"/>
      </w:pPr>
      <w:rPr>
        <w:rFonts w:ascii="Wingdings" w:hAnsi="Wingdings" w:hint="default"/>
        <w:sz w:val="20"/>
      </w:rPr>
    </w:lvl>
    <w:lvl w:ilvl="4" w:tentative="1">
      <w:start w:val="1"/>
      <w:numFmt w:val="bullet"/>
      <w:lvlText w:val=""/>
      <w:lvlJc w:val="left"/>
      <w:pPr>
        <w:tabs>
          <w:tab w:pos="3600" w:val="num"/>
        </w:tabs>
        <w:ind w:hanging="360" w:left="3600"/>
      </w:pPr>
      <w:rPr>
        <w:rFonts w:ascii="Wingdings" w:hAnsi="Wingdings" w:hint="default"/>
        <w:sz w:val="20"/>
      </w:rPr>
    </w:lvl>
    <w:lvl w:ilvl="5" w:tentative="1">
      <w:start w:val="1"/>
      <w:numFmt w:val="bullet"/>
      <w:lvlText w:val=""/>
      <w:lvlJc w:val="left"/>
      <w:pPr>
        <w:tabs>
          <w:tab w:pos="4320" w:val="num"/>
        </w:tabs>
        <w:ind w:hanging="360" w:left="4320"/>
      </w:pPr>
      <w:rPr>
        <w:rFonts w:ascii="Wingdings" w:hAnsi="Wingdings" w:hint="default"/>
        <w:sz w:val="20"/>
      </w:rPr>
    </w:lvl>
    <w:lvl w:ilvl="6" w:tentative="1">
      <w:start w:val="1"/>
      <w:numFmt w:val="bullet"/>
      <w:lvlText w:val=""/>
      <w:lvlJc w:val="left"/>
      <w:pPr>
        <w:tabs>
          <w:tab w:pos="5040" w:val="num"/>
        </w:tabs>
        <w:ind w:hanging="360" w:left="5040"/>
      </w:pPr>
      <w:rPr>
        <w:rFonts w:ascii="Wingdings" w:hAnsi="Wingdings" w:hint="default"/>
        <w:sz w:val="20"/>
      </w:rPr>
    </w:lvl>
    <w:lvl w:ilvl="7" w:tentative="1">
      <w:start w:val="1"/>
      <w:numFmt w:val="bullet"/>
      <w:lvlText w:val=""/>
      <w:lvlJc w:val="left"/>
      <w:pPr>
        <w:tabs>
          <w:tab w:pos="5760" w:val="num"/>
        </w:tabs>
        <w:ind w:hanging="360" w:left="5760"/>
      </w:pPr>
      <w:rPr>
        <w:rFonts w:ascii="Wingdings" w:hAnsi="Wingdings" w:hint="default"/>
        <w:sz w:val="20"/>
      </w:rPr>
    </w:lvl>
    <w:lvl w:ilvl="8" w:tentative="1">
      <w:start w:val="1"/>
      <w:numFmt w:val="bullet"/>
      <w:lvlText w:val=""/>
      <w:lvlJc w:val="left"/>
      <w:pPr>
        <w:tabs>
          <w:tab w:pos="6480" w:val="num"/>
        </w:tabs>
        <w:ind w:hanging="360" w:left="6480"/>
      </w:pPr>
      <w:rPr>
        <w:rFonts w:ascii="Wingdings" w:hAnsi="Wingdings" w:hint="default"/>
        <w:sz w:val="20"/>
      </w:rPr>
    </w:lvl>
  </w:abstractNum>
  <w:abstractNum w15:restartNumberingAfterBreak="0" w:abstractNumId="8">
    <w:nsid w:val="4DCC4EAC"/>
    <w:multiLevelType w:val="hybridMultilevel"/>
    <w:tmpl w:val="09847B52"/>
    <w:lvl w:ilvl="0" w:tplc="98242F2C">
      <w:numFmt w:val="bullet"/>
      <w:lvlText w:val=""/>
      <w:lvlJc w:val="left"/>
      <w:pPr>
        <w:ind w:hanging="360" w:left="720"/>
      </w:pPr>
      <w:rPr>
        <w:rFonts w:ascii="Symbol" w:cstheme="minorBidi" w:eastAsiaTheme="minorEastAsia" w:hAnsi="Symbol" w:hint="default"/>
      </w:rPr>
    </w:lvl>
    <w:lvl w:ilvl="1" w:tentative="1" w:tplc="04070003">
      <w:start w:val="1"/>
      <w:numFmt w:val="bullet"/>
      <w:lvlText w:val="o"/>
      <w:lvlJc w:val="left"/>
      <w:pPr>
        <w:ind w:hanging="360" w:left="1440"/>
      </w:pPr>
      <w:rPr>
        <w:rFonts w:ascii="Courier New" w:cs="Courier New" w:hAnsi="Courier New" w:hint="default"/>
      </w:rPr>
    </w:lvl>
    <w:lvl w:ilvl="2" w:tentative="1" w:tplc="04070005">
      <w:start w:val="1"/>
      <w:numFmt w:val="bullet"/>
      <w:lvlText w:val=""/>
      <w:lvlJc w:val="left"/>
      <w:pPr>
        <w:ind w:hanging="360" w:left="2160"/>
      </w:pPr>
      <w:rPr>
        <w:rFonts w:ascii="Wingdings" w:hAnsi="Wingdings" w:hint="default"/>
      </w:rPr>
    </w:lvl>
    <w:lvl w:ilvl="3" w:tentative="1" w:tplc="04070001">
      <w:start w:val="1"/>
      <w:numFmt w:val="bullet"/>
      <w:lvlText w:val=""/>
      <w:lvlJc w:val="left"/>
      <w:pPr>
        <w:ind w:hanging="360" w:left="2880"/>
      </w:pPr>
      <w:rPr>
        <w:rFonts w:ascii="Symbol" w:hAnsi="Symbol" w:hint="default"/>
      </w:rPr>
    </w:lvl>
    <w:lvl w:ilvl="4" w:tentative="1" w:tplc="04070003">
      <w:start w:val="1"/>
      <w:numFmt w:val="bullet"/>
      <w:lvlText w:val="o"/>
      <w:lvlJc w:val="left"/>
      <w:pPr>
        <w:ind w:hanging="360" w:left="3600"/>
      </w:pPr>
      <w:rPr>
        <w:rFonts w:ascii="Courier New" w:cs="Courier New" w:hAnsi="Courier New" w:hint="default"/>
      </w:rPr>
    </w:lvl>
    <w:lvl w:ilvl="5" w:tentative="1" w:tplc="04070005">
      <w:start w:val="1"/>
      <w:numFmt w:val="bullet"/>
      <w:lvlText w:val=""/>
      <w:lvlJc w:val="left"/>
      <w:pPr>
        <w:ind w:hanging="360" w:left="4320"/>
      </w:pPr>
      <w:rPr>
        <w:rFonts w:ascii="Wingdings" w:hAnsi="Wingdings" w:hint="default"/>
      </w:rPr>
    </w:lvl>
    <w:lvl w:ilvl="6" w:tentative="1" w:tplc="04070001">
      <w:start w:val="1"/>
      <w:numFmt w:val="bullet"/>
      <w:lvlText w:val=""/>
      <w:lvlJc w:val="left"/>
      <w:pPr>
        <w:ind w:hanging="360" w:left="5040"/>
      </w:pPr>
      <w:rPr>
        <w:rFonts w:ascii="Symbol" w:hAnsi="Symbol" w:hint="default"/>
      </w:rPr>
    </w:lvl>
    <w:lvl w:ilvl="7" w:tentative="1" w:tplc="04070003">
      <w:start w:val="1"/>
      <w:numFmt w:val="bullet"/>
      <w:lvlText w:val="o"/>
      <w:lvlJc w:val="left"/>
      <w:pPr>
        <w:ind w:hanging="360" w:left="5760"/>
      </w:pPr>
      <w:rPr>
        <w:rFonts w:ascii="Courier New" w:cs="Courier New" w:hAnsi="Courier New" w:hint="default"/>
      </w:rPr>
    </w:lvl>
    <w:lvl w:ilvl="8" w:tentative="1" w:tplc="04070005">
      <w:start w:val="1"/>
      <w:numFmt w:val="bullet"/>
      <w:lvlText w:val=""/>
      <w:lvlJc w:val="left"/>
      <w:pPr>
        <w:ind w:hanging="360" w:left="6480"/>
      </w:pPr>
      <w:rPr>
        <w:rFonts w:ascii="Wingdings" w:hAnsi="Wingdings" w:hint="default"/>
      </w:rPr>
    </w:lvl>
  </w:abstractNum>
  <w:abstractNum w15:restartNumberingAfterBreak="0" w:abstractNumId="9">
    <w:nsid w:val="7F4309EC"/>
    <w:multiLevelType w:val="multilevel"/>
    <w:tmpl w:val="8516445A"/>
    <w:lvl w:ilvl="0">
      <w:start w:val="2"/>
      <w:numFmt w:val="decimal"/>
      <w:lvlText w:val="%1."/>
      <w:lvlJc w:val="left"/>
      <w:pPr>
        <w:tabs>
          <w:tab w:pos="720" w:val="num"/>
        </w:tabs>
        <w:ind w:hanging="360" w:left="720"/>
      </w:pPr>
    </w:lvl>
    <w:lvl w:ilvl="1" w:tentative="1">
      <w:start w:val="1"/>
      <w:numFmt w:val="decimal"/>
      <w:lvlText w:val="%2."/>
      <w:lvlJc w:val="left"/>
      <w:pPr>
        <w:tabs>
          <w:tab w:pos="1440" w:val="num"/>
        </w:tabs>
        <w:ind w:hanging="360" w:left="1440"/>
      </w:pPr>
    </w:lvl>
    <w:lvl w:ilvl="2" w:tentative="1">
      <w:start w:val="1"/>
      <w:numFmt w:val="decimal"/>
      <w:lvlText w:val="%3."/>
      <w:lvlJc w:val="left"/>
      <w:pPr>
        <w:tabs>
          <w:tab w:pos="2160" w:val="num"/>
        </w:tabs>
        <w:ind w:hanging="360" w:left="2160"/>
      </w:pPr>
    </w:lvl>
    <w:lvl w:ilvl="3" w:tentative="1">
      <w:start w:val="1"/>
      <w:numFmt w:val="decimal"/>
      <w:lvlText w:val="%4."/>
      <w:lvlJc w:val="left"/>
      <w:pPr>
        <w:tabs>
          <w:tab w:pos="2880" w:val="num"/>
        </w:tabs>
        <w:ind w:hanging="360" w:left="2880"/>
      </w:pPr>
    </w:lvl>
    <w:lvl w:ilvl="4" w:tentative="1">
      <w:start w:val="1"/>
      <w:numFmt w:val="decimal"/>
      <w:lvlText w:val="%5."/>
      <w:lvlJc w:val="left"/>
      <w:pPr>
        <w:tabs>
          <w:tab w:pos="3600" w:val="num"/>
        </w:tabs>
        <w:ind w:hanging="360" w:left="3600"/>
      </w:pPr>
    </w:lvl>
    <w:lvl w:ilvl="5" w:tentative="1">
      <w:start w:val="1"/>
      <w:numFmt w:val="decimal"/>
      <w:lvlText w:val="%6."/>
      <w:lvlJc w:val="left"/>
      <w:pPr>
        <w:tabs>
          <w:tab w:pos="4320" w:val="num"/>
        </w:tabs>
        <w:ind w:hanging="360" w:left="4320"/>
      </w:pPr>
    </w:lvl>
    <w:lvl w:ilvl="6" w:tentative="1">
      <w:start w:val="1"/>
      <w:numFmt w:val="decimal"/>
      <w:lvlText w:val="%7."/>
      <w:lvlJc w:val="left"/>
      <w:pPr>
        <w:tabs>
          <w:tab w:pos="5040" w:val="num"/>
        </w:tabs>
        <w:ind w:hanging="360" w:left="5040"/>
      </w:pPr>
    </w:lvl>
    <w:lvl w:ilvl="7" w:tentative="1">
      <w:start w:val="1"/>
      <w:numFmt w:val="decimal"/>
      <w:lvlText w:val="%8."/>
      <w:lvlJc w:val="left"/>
      <w:pPr>
        <w:tabs>
          <w:tab w:pos="5760" w:val="num"/>
        </w:tabs>
        <w:ind w:hanging="360" w:left="5760"/>
      </w:pPr>
    </w:lvl>
    <w:lvl w:ilvl="8" w:tentative="1">
      <w:start w:val="1"/>
      <w:numFmt w:val="decimal"/>
      <w:lvlText w:val="%9."/>
      <w:lvlJc w:val="left"/>
      <w:pPr>
        <w:tabs>
          <w:tab w:pos="6480" w:val="num"/>
        </w:tabs>
        <w:ind w:hanging="360" w:left="6480"/>
      </w:p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16cid:durableId="189223673" w:numId="1">
    <w:abstractNumId w:val="2"/>
  </w:num>
  <w:num w16cid:durableId="208542659" w:numId="2">
    <w:abstractNumId w:val="4"/>
  </w:num>
  <w:num w16cid:durableId="1810319019" w:numId="3">
    <w:abstractNumId w:val="0"/>
  </w:num>
  <w:num w16cid:durableId="653996606" w:numId="4">
    <w:abstractNumId w:val="5"/>
  </w:num>
  <w:num w16cid:durableId="1055080170" w:numId="5">
    <w:abstractNumId w:val="9"/>
  </w:num>
  <w:num w16cid:durableId="1047140956" w:numId="6">
    <w:abstractNumId w:val="6"/>
  </w:num>
  <w:num w16cid:durableId="1897160239" w:numId="7">
    <w:abstractNumId w:val="8"/>
  </w:num>
  <w:num w16cid:durableId="876745476" w:numId="8">
    <w:abstractNumId w:val="7"/>
  </w:num>
  <w:num w16cid:durableId="2004233221" w:numId="9">
    <w:abstractNumId w:val="1"/>
  </w:num>
  <w:num w16cid:durableId="446003891" w:numId="10">
    <w:abstractNumId w:val="3"/>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embedSystemFonts/>
  <w:stylePaneFormatFilter w:val="0004"/>
  <w:footnotePr>
    <w:footnote w:id="-1"/>
    <w:footnote w:id="0"/>
  </w:footnotePr>
  <w:doNotTrackMoves/>
  <w:drawingGridHorizontalSpacing w:val="360"/>
  <w:drawingGridVerticalSpacing w:val="360"/>
  <w:displayHorizontalDrawingGridEvery w:val="0"/>
  <w:displayVerticalDrawingGridEvery w:val="0"/>
  <w:savePreviewPicture/>
  <w:rsids>
  </w:rsids>
  <w:clrSchemeMapping w:accent1="accent1" w:accent2="accent2" w:accent3="accent3" w:accent4="accent4" w:accent5="accent5" w:accent6="accent6" w:bg1="light1" w:bg2="light2" w:followedHyperlink="followedHyperlink" w:hyperlink="hyperlink" w:t1="dark1" w:t2="dark2"/>
  <w:zoom w:percent="130"/>
  <w:proofState w:grammar="clean" w:spelling="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bidi="ar-SA" w:eastAsia="zh-CN" w:val="de-CH"/>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cstheme="minorBidi" w:eastAsiaTheme="minorEastAsia" w:hAnsiTheme="minorHAnsi"/>
        <w:sz w:val="24"/>
        <w:szCs w:val="24"/>
        <w:lang w:bidi="ar-SA" w:eastAsia="zh-CN" w:val="de-CH"/>
      </w:rPr>
    </w:rPrDefault>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qFormat="1"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qFormat="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Normal" w:type="paragraph">
    <w:name w:val="Normal"/>
    <w:qFormat/>
    <w:rsid w:val="006C633F"/>
    <w:pPr>
      <w:spacing w:line="480" w:lineRule="auto"/>
    </w:pPr>
    <w:rPr>
      <w:rFonts w:ascii="Arial" w:hAnsi="Arial"/>
    </w:rPr>
  </w:style>
  <w:style w:styleId="Heading1" w:type="paragraph">
    <w:name w:val="heading 1"/>
    <w:basedOn w:val="Normal"/>
    <w:link w:val="Heading1Char"/>
    <w:uiPriority w:val="9"/>
    <w:qFormat/>
    <w:rsid w:val="006C633F"/>
    <w:pPr>
      <w:spacing w:after="100" w:afterAutospacing="1" w:before="100" w:beforeAutospacing="1" w:line="240" w:lineRule="auto"/>
      <w:outlineLvl w:val="0"/>
    </w:pPr>
    <w:rPr>
      <w:rFonts w:cs="Times New Roman" w:eastAsia="Times New Roman"/>
      <w:b/>
      <w:bCs/>
      <w:kern w:val="36"/>
      <w:sz w:val="28"/>
      <w:szCs w:val="48"/>
    </w:rPr>
  </w:style>
  <w:style w:styleId="Heading2" w:type="paragraph">
    <w:name w:val="heading 2"/>
    <w:basedOn w:val="Normal"/>
    <w:next w:val="Normal"/>
    <w:link w:val="Heading2Char"/>
    <w:uiPriority w:val="9"/>
    <w:unhideWhenUsed/>
    <w:qFormat/>
    <w:rsid w:val="006C633F"/>
    <w:pPr>
      <w:keepNext/>
      <w:keepLines/>
      <w:spacing w:before="40"/>
      <w:outlineLvl w:val="1"/>
    </w:pPr>
    <w:rPr>
      <w:rFonts w:cstheme="majorBidi" w:eastAsiaTheme="majorEastAsia"/>
      <w:b/>
      <w:szCs w:val="26"/>
    </w:rPr>
  </w:style>
  <w:style w:styleId="Heading3" w:type="paragraph">
    <w:name w:val="heading 3"/>
    <w:basedOn w:val="Normal"/>
    <w:next w:val="Normal"/>
    <w:link w:val="Heading3Char"/>
    <w:uiPriority w:val="9"/>
    <w:unhideWhenUsed/>
    <w:qFormat/>
    <w:rsid w:val="00BA2A42"/>
    <w:pPr>
      <w:keepNext/>
      <w:keepLines/>
      <w:spacing w:after="120" w:before="160" w:line="360" w:lineRule="auto"/>
      <w:outlineLvl w:val="2"/>
    </w:pPr>
    <w:rPr>
      <w:rFonts w:cstheme="majorBidi" w:eastAsiaTheme="majorEastAsia"/>
      <w:color w:themeColor="text1" w:val="000000"/>
      <w:sz w:val="28"/>
    </w:rPr>
  </w:style>
  <w:style w:styleId="Heading4" w:type="paragraph">
    <w:name w:val="heading 4"/>
    <w:basedOn w:val="Normal"/>
    <w:next w:val="Normal"/>
    <w:link w:val="Heading4Char"/>
    <w:uiPriority w:val="9"/>
    <w:unhideWhenUsed/>
    <w:qFormat/>
    <w:rsid w:val="00CF39AD"/>
    <w:pPr>
      <w:keepNext/>
      <w:keepLines/>
      <w:spacing w:before="40"/>
      <w:outlineLvl w:val="3"/>
    </w:pPr>
    <w:rPr>
      <w:rFonts w:asciiTheme="majorHAnsi" w:cstheme="majorBidi" w:eastAsiaTheme="majorEastAsia" w:hAnsiTheme="majorHAnsi"/>
      <w:i/>
      <w:iCs/>
      <w:color w:themeColor="accent1" w:themeShade="BF" w:val="2F5496"/>
    </w:rPr>
  </w:style>
  <w:style w:styleId="Heading5" w:type="paragraph">
    <w:name w:val="heading 5"/>
    <w:basedOn w:val="Normal"/>
    <w:next w:val="Normal"/>
    <w:link w:val="Heading5Char"/>
    <w:uiPriority w:val="9"/>
    <w:unhideWhenUsed/>
    <w:qFormat/>
    <w:rsid w:val="00CF39AD"/>
    <w:pPr>
      <w:keepNext/>
      <w:keepLines/>
      <w:spacing w:before="40"/>
      <w:outlineLvl w:val="4"/>
    </w:pPr>
    <w:rPr>
      <w:rFonts w:asciiTheme="majorHAnsi" w:cstheme="majorBidi" w:eastAsiaTheme="majorEastAsia" w:hAnsiTheme="majorHAnsi"/>
      <w:color w:themeColor="accent1" w:themeShade="BF" w:val="2F5496"/>
    </w:rPr>
  </w:style>
  <w:style w:styleId="Heading6" w:type="paragraph">
    <w:name w:val="heading 6"/>
    <w:basedOn w:val="Normal"/>
    <w:next w:val="Normal"/>
    <w:link w:val="Heading6Char"/>
    <w:uiPriority w:val="9"/>
    <w:unhideWhenUsed/>
    <w:qFormat/>
    <w:rsid w:val="00CF39AD"/>
    <w:pPr>
      <w:keepNext/>
      <w:keepLines/>
      <w:spacing w:before="40"/>
      <w:outlineLvl w:val="5"/>
    </w:pPr>
    <w:rPr>
      <w:rFonts w:asciiTheme="majorHAnsi" w:cstheme="majorBidi" w:eastAsiaTheme="majorEastAsia" w:hAnsiTheme="majorHAnsi"/>
      <w:color w:themeColor="accent1" w:themeShade="7F" w:val="1F3763"/>
    </w:rPr>
  </w:style>
  <w:style w:styleId="Heading7" w:type="paragraph">
    <w:name w:val="heading 7"/>
    <w:basedOn w:val="Normal"/>
    <w:next w:val="Normal"/>
    <w:link w:val="Heading7Char"/>
    <w:uiPriority w:val="9"/>
    <w:unhideWhenUsed/>
    <w:qFormat/>
    <w:rsid w:val="00CF39AD"/>
    <w:pPr>
      <w:keepNext/>
      <w:keepLines/>
      <w:spacing w:before="40"/>
      <w:outlineLvl w:val="6"/>
    </w:pPr>
    <w:rPr>
      <w:rFonts w:asciiTheme="majorHAnsi" w:cstheme="majorBidi" w:eastAsiaTheme="majorEastAsia" w:hAnsiTheme="majorHAnsi"/>
      <w:i/>
      <w:iCs/>
      <w:color w:themeColor="accent1" w:themeShade="7F" w:val="1F3763"/>
    </w:rPr>
  </w:style>
  <w:style w:styleId="Heading8" w:type="paragraph">
    <w:name w:val="heading 8"/>
    <w:basedOn w:val="Normal"/>
    <w:next w:val="Normal"/>
    <w:link w:val="Heading8Char"/>
    <w:uiPriority w:val="9"/>
    <w:unhideWhenUsed/>
    <w:qFormat/>
    <w:rsid w:val="00CF39AD"/>
    <w:pPr>
      <w:keepNext/>
      <w:keepLines/>
      <w:spacing w:before="40"/>
      <w:outlineLvl w:val="7"/>
    </w:pPr>
    <w:rPr>
      <w:rFonts w:asciiTheme="majorHAnsi" w:cstheme="majorBidi" w:eastAsiaTheme="majorEastAsia" w:hAnsiTheme="majorHAnsi"/>
      <w:color w:themeColor="text1" w:themeTint="D8" w:val="272727"/>
      <w:sz w:val="21"/>
      <w:szCs w:val="21"/>
    </w:rPr>
  </w:style>
  <w:style w:styleId="Heading9" w:type="paragraph">
    <w:name w:val="heading 9"/>
    <w:basedOn w:val="Normal"/>
    <w:next w:val="Normal"/>
    <w:link w:val="Heading9Char"/>
    <w:uiPriority w:val="9"/>
    <w:unhideWhenUsed/>
    <w:qFormat/>
    <w:rsid w:val="00CF39AD"/>
    <w:pPr>
      <w:keepNext/>
      <w:keepLines/>
      <w:spacing w:before="40"/>
      <w:outlineLvl w:val="8"/>
    </w:pPr>
    <w:rPr>
      <w:rFonts w:asciiTheme="majorHAnsi" w:cstheme="majorBidi" w:eastAsiaTheme="majorEastAsia" w:hAnsiTheme="majorHAnsi"/>
      <w:i/>
      <w:iCs/>
      <w:color w:themeColor="text1" w:themeTint="D8" w:val="272727"/>
      <w:sz w:val="21"/>
      <w:szCs w:val="21"/>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ListParagraph" w:type="paragraph">
    <w:name w:val="List Paragraph"/>
    <w:basedOn w:val="Normal"/>
    <w:uiPriority w:val="34"/>
    <w:qFormat/>
    <w:rsid w:val="00E67ADA"/>
    <w:pPr>
      <w:ind w:left="720"/>
      <w:contextualSpacing/>
    </w:pPr>
  </w:style>
  <w:style w:styleId="TableGrid" w:type="table">
    <w:name w:val="Table Grid"/>
    <w:basedOn w:val="TableNormal"/>
    <w:uiPriority w:val="39"/>
    <w:rsid w:val="00E26879"/>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CommentReference" w:type="character">
    <w:name w:val="annotation reference"/>
    <w:basedOn w:val="DefaultParagraphFont"/>
    <w:uiPriority w:val="99"/>
    <w:semiHidden/>
    <w:unhideWhenUsed/>
    <w:rsid w:val="00703896"/>
    <w:rPr>
      <w:sz w:val="16"/>
      <w:szCs w:val="16"/>
    </w:rPr>
  </w:style>
  <w:style w:styleId="CommentText" w:type="paragraph">
    <w:name w:val="annotation text"/>
    <w:basedOn w:val="Normal"/>
    <w:link w:val="CommentTextChar"/>
    <w:uiPriority w:val="99"/>
    <w:unhideWhenUsed/>
    <w:rsid w:val="00703896"/>
    <w:rPr>
      <w:sz w:val="20"/>
      <w:szCs w:val="20"/>
    </w:rPr>
  </w:style>
  <w:style w:customStyle="1" w:styleId="CommentTextChar" w:type="character">
    <w:name w:val="Comment Text Char"/>
    <w:basedOn w:val="DefaultParagraphFont"/>
    <w:link w:val="CommentText"/>
    <w:uiPriority w:val="99"/>
    <w:rsid w:val="00703896"/>
    <w:rPr>
      <w:sz w:val="20"/>
      <w:szCs w:val="20"/>
    </w:rPr>
  </w:style>
  <w:style w:styleId="CommentSubject" w:type="paragraph">
    <w:name w:val="annotation subject"/>
    <w:basedOn w:val="CommentText"/>
    <w:next w:val="CommentText"/>
    <w:link w:val="CommentSubjectChar"/>
    <w:uiPriority w:val="99"/>
    <w:semiHidden/>
    <w:unhideWhenUsed/>
    <w:rsid w:val="00703896"/>
    <w:rPr>
      <w:b/>
      <w:bCs/>
    </w:rPr>
  </w:style>
  <w:style w:customStyle="1" w:styleId="CommentSubjectChar" w:type="character">
    <w:name w:val="Comment Subject Char"/>
    <w:basedOn w:val="CommentTextChar"/>
    <w:link w:val="CommentSubject"/>
    <w:uiPriority w:val="99"/>
    <w:semiHidden/>
    <w:rsid w:val="00703896"/>
    <w:rPr>
      <w:b/>
      <w:bCs/>
      <w:sz w:val="20"/>
      <w:szCs w:val="20"/>
    </w:rPr>
  </w:style>
  <w:style w:styleId="Revision" w:type="paragraph">
    <w:name w:val="Revision"/>
    <w:hidden/>
    <w:uiPriority w:val="99"/>
    <w:semiHidden/>
    <w:rsid w:val="000700C7"/>
  </w:style>
  <w:style w:styleId="Header" w:type="paragraph">
    <w:name w:val="header"/>
    <w:basedOn w:val="Normal"/>
    <w:link w:val="HeaderChar"/>
    <w:uiPriority w:val="99"/>
    <w:unhideWhenUsed/>
    <w:rsid w:val="00EE7DEA"/>
    <w:pPr>
      <w:tabs>
        <w:tab w:pos="4513" w:val="center"/>
        <w:tab w:pos="9026" w:val="right"/>
      </w:tabs>
    </w:pPr>
  </w:style>
  <w:style w:customStyle="1" w:styleId="HeaderChar" w:type="character">
    <w:name w:val="Header Char"/>
    <w:basedOn w:val="DefaultParagraphFont"/>
    <w:link w:val="Header"/>
    <w:uiPriority w:val="99"/>
    <w:rsid w:val="00EE7DEA"/>
  </w:style>
  <w:style w:styleId="Footer" w:type="paragraph">
    <w:name w:val="footer"/>
    <w:basedOn w:val="Normal"/>
    <w:link w:val="FooterChar"/>
    <w:uiPriority w:val="99"/>
    <w:unhideWhenUsed/>
    <w:rsid w:val="00EE7DEA"/>
    <w:pPr>
      <w:tabs>
        <w:tab w:pos="4513" w:val="center"/>
        <w:tab w:pos="9026" w:val="right"/>
      </w:tabs>
    </w:pPr>
  </w:style>
  <w:style w:customStyle="1" w:styleId="FooterChar" w:type="character">
    <w:name w:val="Footer Char"/>
    <w:basedOn w:val="DefaultParagraphFont"/>
    <w:link w:val="Footer"/>
    <w:uiPriority w:val="99"/>
    <w:rsid w:val="00EE7DEA"/>
  </w:style>
  <w:style w:styleId="NormalWeb" w:type="paragraph">
    <w:name w:val="Normal (Web)"/>
    <w:basedOn w:val="Normal"/>
    <w:uiPriority w:val="99"/>
    <w:unhideWhenUsed/>
    <w:rsid w:val="00BC4D45"/>
    <w:pPr>
      <w:spacing w:after="100" w:afterAutospacing="1" w:before="100" w:beforeAutospacing="1"/>
    </w:pPr>
    <w:rPr>
      <w:rFonts w:ascii="Times New Roman" w:cs="Times New Roman" w:eastAsia="Times New Roman" w:hAnsi="Times New Roman"/>
    </w:rPr>
  </w:style>
  <w:style w:styleId="Hyperlink" w:type="character">
    <w:name w:val="Hyperlink"/>
    <w:basedOn w:val="DefaultParagraphFont"/>
    <w:uiPriority w:val="99"/>
    <w:unhideWhenUsed/>
    <w:rsid w:val="00A60E15"/>
    <w:rPr>
      <w:color w:themeColor="hyperlink" w:val="0563C1"/>
      <w:u w:val="single"/>
    </w:rPr>
  </w:style>
  <w:style w:customStyle="1" w:styleId="Ulstomtale1" w:type="character">
    <w:name w:val="Uløst omtale1"/>
    <w:basedOn w:val="DefaultParagraphFont"/>
    <w:uiPriority w:val="99"/>
    <w:semiHidden/>
    <w:unhideWhenUsed/>
    <w:rsid w:val="00A60E15"/>
    <w:rPr>
      <w:color w:val="605E5C"/>
      <w:shd w:color="auto" w:fill="E1DFDD" w:val="clear"/>
    </w:rPr>
  </w:style>
  <w:style w:styleId="LineNumber" w:type="character">
    <w:name w:val="line number"/>
    <w:basedOn w:val="DefaultParagraphFont"/>
    <w:uiPriority w:val="99"/>
    <w:semiHidden/>
    <w:unhideWhenUsed/>
    <w:rsid w:val="00E23BC2"/>
  </w:style>
  <w:style w:styleId="FollowedHyperlink" w:type="character">
    <w:name w:val="FollowedHyperlink"/>
    <w:basedOn w:val="DefaultParagraphFont"/>
    <w:uiPriority w:val="99"/>
    <w:semiHidden/>
    <w:unhideWhenUsed/>
    <w:rsid w:val="005E5111"/>
    <w:rPr>
      <w:color w:themeColor="followedHyperlink" w:val="954F72"/>
      <w:u w:val="single"/>
    </w:rPr>
  </w:style>
  <w:style w:customStyle="1" w:styleId="highwire-citation-authors" w:type="character">
    <w:name w:val="highwire-citation-authors"/>
    <w:basedOn w:val="DefaultParagraphFont"/>
    <w:rsid w:val="0060417B"/>
  </w:style>
  <w:style w:customStyle="1" w:styleId="highwire-citation-author" w:type="character">
    <w:name w:val="highwire-citation-author"/>
    <w:basedOn w:val="DefaultParagraphFont"/>
    <w:rsid w:val="0060417B"/>
  </w:style>
  <w:style w:customStyle="1" w:styleId="nlm-surname" w:type="character">
    <w:name w:val="nlm-surname"/>
    <w:basedOn w:val="DefaultParagraphFont"/>
    <w:rsid w:val="0060417B"/>
  </w:style>
  <w:style w:customStyle="1" w:styleId="apple-converted-space" w:type="character">
    <w:name w:val="apple-converted-space"/>
    <w:basedOn w:val="DefaultParagraphFont"/>
    <w:rsid w:val="0060417B"/>
  </w:style>
  <w:style w:customStyle="1" w:styleId="citation-et" w:type="character">
    <w:name w:val="citation-et"/>
    <w:basedOn w:val="DefaultParagraphFont"/>
    <w:rsid w:val="0060417B"/>
  </w:style>
  <w:style w:customStyle="1" w:styleId="highwire-cite-metadata-journal" w:type="character">
    <w:name w:val="highwire-cite-metadata-journal"/>
    <w:basedOn w:val="DefaultParagraphFont"/>
    <w:rsid w:val="0060417B"/>
  </w:style>
  <w:style w:customStyle="1" w:styleId="highwire-cite-metadata-year" w:type="character">
    <w:name w:val="highwire-cite-metadata-year"/>
    <w:basedOn w:val="DefaultParagraphFont"/>
    <w:rsid w:val="0060417B"/>
  </w:style>
  <w:style w:customStyle="1" w:styleId="highwire-cite-metadata-volume" w:type="character">
    <w:name w:val="highwire-cite-metadata-volume"/>
    <w:basedOn w:val="DefaultParagraphFont"/>
    <w:rsid w:val="0060417B"/>
  </w:style>
  <w:style w:customStyle="1" w:styleId="highwire-cite-metadata-pages" w:type="character">
    <w:name w:val="highwire-cite-metadata-pages"/>
    <w:basedOn w:val="DefaultParagraphFont"/>
    <w:rsid w:val="0060417B"/>
  </w:style>
  <w:style w:styleId="HTMLPreformatted" w:type="paragraph">
    <w:name w:val="HTML Preformatted"/>
    <w:basedOn w:val="Normal"/>
    <w:link w:val="HTMLPreformattedChar"/>
    <w:uiPriority w:val="99"/>
    <w:semiHidden/>
    <w:unhideWhenUsed/>
    <w:rsid w:val="0072535F"/>
    <w:pPr>
      <w:tabs>
        <w:tab w:pos="916" w:val="left"/>
        <w:tab w:pos="1832" w:val="left"/>
        <w:tab w:pos="2748" w:val="left"/>
        <w:tab w:pos="3664" w:val="left"/>
        <w:tab w:pos="4580" w:val="left"/>
        <w:tab w:pos="5496" w:val="left"/>
        <w:tab w:pos="6412" w:val="left"/>
        <w:tab w:pos="7328" w:val="left"/>
        <w:tab w:pos="8244" w:val="left"/>
        <w:tab w:pos="9160" w:val="left"/>
        <w:tab w:pos="10076" w:val="left"/>
        <w:tab w:pos="10992" w:val="left"/>
        <w:tab w:pos="11908" w:val="left"/>
        <w:tab w:pos="12824" w:val="left"/>
        <w:tab w:pos="13740" w:val="left"/>
        <w:tab w:pos="14656" w:val="left"/>
      </w:tabs>
    </w:pPr>
    <w:rPr>
      <w:rFonts w:ascii="Courier New" w:cs="Courier New" w:eastAsia="Times New Roman" w:hAnsi="Courier New"/>
      <w:sz w:val="20"/>
      <w:szCs w:val="20"/>
    </w:rPr>
  </w:style>
  <w:style w:customStyle="1" w:styleId="HTMLPreformattedChar" w:type="character">
    <w:name w:val="HTML Preformatted Char"/>
    <w:basedOn w:val="DefaultParagraphFont"/>
    <w:link w:val="HTMLPreformatted"/>
    <w:uiPriority w:val="99"/>
    <w:semiHidden/>
    <w:rsid w:val="0072535F"/>
    <w:rPr>
      <w:rFonts w:ascii="Courier New" w:cs="Courier New" w:eastAsia="Times New Roman" w:hAnsi="Courier New"/>
      <w:sz w:val="20"/>
      <w:szCs w:val="20"/>
    </w:rPr>
  </w:style>
  <w:style w:styleId="HTMLCode" w:type="character">
    <w:name w:val="HTML Code"/>
    <w:basedOn w:val="DefaultParagraphFont"/>
    <w:uiPriority w:val="99"/>
    <w:semiHidden/>
    <w:unhideWhenUsed/>
    <w:rsid w:val="0072535F"/>
    <w:rPr>
      <w:rFonts w:ascii="Courier New" w:cs="Courier New" w:eastAsia="Times New Roman" w:hAnsi="Courier New"/>
      <w:sz w:val="20"/>
      <w:szCs w:val="20"/>
    </w:rPr>
  </w:style>
  <w:style w:customStyle="1" w:styleId="do" w:type="character">
    <w:name w:val="do"/>
    <w:basedOn w:val="DefaultParagraphFont"/>
    <w:rsid w:val="0072535F"/>
  </w:style>
  <w:style w:customStyle="1" w:styleId="Heading1Char" w:type="character">
    <w:name w:val="Heading 1 Char"/>
    <w:basedOn w:val="DefaultParagraphFont"/>
    <w:link w:val="Heading1"/>
    <w:uiPriority w:val="9"/>
    <w:rsid w:val="006C633F"/>
    <w:rPr>
      <w:rFonts w:ascii="Arial" w:cs="Times New Roman" w:eastAsia="Times New Roman" w:hAnsi="Arial"/>
      <w:b/>
      <w:bCs/>
      <w:kern w:val="36"/>
      <w:sz w:val="28"/>
      <w:szCs w:val="48"/>
    </w:rPr>
  </w:style>
  <w:style w:customStyle="1" w:styleId="highwire-cite-authors" w:type="character">
    <w:name w:val="highwire-cite-authors"/>
    <w:basedOn w:val="DefaultParagraphFont"/>
    <w:rsid w:val="00011F1F"/>
  </w:style>
  <w:style w:customStyle="1" w:styleId="nlm-given-names" w:type="character">
    <w:name w:val="nlm-given-names"/>
    <w:basedOn w:val="DefaultParagraphFont"/>
    <w:rsid w:val="00011F1F"/>
  </w:style>
  <w:style w:customStyle="1" w:styleId="highwire-cite-title" w:type="character">
    <w:name w:val="highwire-cite-title"/>
    <w:basedOn w:val="DefaultParagraphFont"/>
    <w:rsid w:val="00011F1F"/>
  </w:style>
  <w:style w:customStyle="1" w:styleId="highwire-cite-metadata-date" w:type="character">
    <w:name w:val="highwire-cite-metadata-date"/>
    <w:basedOn w:val="DefaultParagraphFont"/>
    <w:rsid w:val="00011F1F"/>
  </w:style>
  <w:style w:customStyle="1" w:styleId="article-doi" w:type="character">
    <w:name w:val="article-doi"/>
    <w:basedOn w:val="DefaultParagraphFont"/>
    <w:rsid w:val="00011F1F"/>
  </w:style>
  <w:style w:styleId="BalloonText" w:type="paragraph">
    <w:name w:val="Balloon Text"/>
    <w:basedOn w:val="Normal"/>
    <w:link w:val="BalloonTextChar"/>
    <w:uiPriority w:val="99"/>
    <w:semiHidden/>
    <w:unhideWhenUsed/>
    <w:rsid w:val="00F76F13"/>
    <w:rPr>
      <w:rFonts w:ascii="Segoe UI" w:cs="Segoe UI" w:hAnsi="Segoe UI"/>
      <w:sz w:val="18"/>
      <w:szCs w:val="18"/>
    </w:rPr>
  </w:style>
  <w:style w:customStyle="1" w:styleId="BalloonTextChar" w:type="character">
    <w:name w:val="Balloon Text Char"/>
    <w:basedOn w:val="DefaultParagraphFont"/>
    <w:link w:val="BalloonText"/>
    <w:uiPriority w:val="99"/>
    <w:semiHidden/>
    <w:rsid w:val="00F76F13"/>
    <w:rPr>
      <w:rFonts w:ascii="Segoe UI" w:cs="Segoe UI" w:hAnsi="Segoe UI"/>
      <w:sz w:val="18"/>
      <w:szCs w:val="18"/>
    </w:rPr>
  </w:style>
  <w:style w:customStyle="1" w:styleId="docsum-authors" w:type="character">
    <w:name w:val="docsum-authors"/>
    <w:basedOn w:val="DefaultParagraphFont"/>
    <w:rsid w:val="000B30FA"/>
  </w:style>
  <w:style w:customStyle="1" w:styleId="docsum-journal-citation" w:type="character">
    <w:name w:val="docsum-journal-citation"/>
    <w:basedOn w:val="DefaultParagraphFont"/>
    <w:rsid w:val="000B30FA"/>
  </w:style>
  <w:style w:customStyle="1" w:styleId="il" w:type="character">
    <w:name w:val="il"/>
    <w:basedOn w:val="DefaultParagraphFont"/>
    <w:rsid w:val="006F0C2A"/>
  </w:style>
  <w:style w:styleId="UnresolvedMention" w:type="character">
    <w:name w:val="Unresolved Mention"/>
    <w:basedOn w:val="DefaultParagraphFont"/>
    <w:uiPriority w:val="99"/>
    <w:semiHidden/>
    <w:unhideWhenUsed/>
    <w:rsid w:val="00C60D32"/>
    <w:rPr>
      <w:color w:val="605E5C"/>
      <w:shd w:color="auto" w:fill="E1DFDD" w:val="clear"/>
    </w:rPr>
  </w:style>
  <w:style w:styleId="Title" w:type="paragraph">
    <w:name w:val="Title"/>
    <w:basedOn w:val="Normal"/>
    <w:next w:val="Normal"/>
    <w:link w:val="TitleChar"/>
    <w:uiPriority w:val="10"/>
    <w:qFormat/>
    <w:rsid w:val="00A704A7"/>
    <w:pPr>
      <w:spacing w:after="600" w:before="600"/>
      <w:contextualSpacing/>
      <w:jc w:val="center"/>
    </w:pPr>
    <w:rPr>
      <w:rFonts w:cstheme="majorBidi" w:eastAsiaTheme="majorEastAsia"/>
      <w:spacing w:val="-10"/>
      <w:kern w:val="28"/>
      <w:sz w:val="32"/>
      <w:szCs w:val="56"/>
    </w:rPr>
  </w:style>
  <w:style w:customStyle="1" w:styleId="TitleChar" w:type="character">
    <w:name w:val="Title Char"/>
    <w:basedOn w:val="DefaultParagraphFont"/>
    <w:link w:val="Title"/>
    <w:uiPriority w:val="10"/>
    <w:rsid w:val="00A704A7"/>
    <w:rPr>
      <w:rFonts w:ascii="Arial" w:cstheme="majorBidi" w:eastAsiaTheme="majorEastAsia" w:hAnsi="Arial"/>
      <w:spacing w:val="-10"/>
      <w:kern w:val="28"/>
      <w:sz w:val="32"/>
      <w:szCs w:val="56"/>
    </w:rPr>
  </w:style>
  <w:style w:styleId="Subtitle" w:type="paragraph">
    <w:name w:val="Subtitle"/>
    <w:basedOn w:val="Normal"/>
    <w:next w:val="Normal"/>
    <w:link w:val="SubtitleChar"/>
    <w:uiPriority w:val="11"/>
    <w:qFormat/>
    <w:rsid w:val="00CF39AD"/>
    <w:pPr>
      <w:numPr>
        <w:ilvl w:val="1"/>
      </w:numPr>
      <w:spacing w:after="160"/>
    </w:pPr>
    <w:rPr>
      <w:color w:themeColor="text1" w:val="000000"/>
      <w:spacing w:val="15"/>
      <w:sz w:val="22"/>
      <w:szCs w:val="22"/>
    </w:rPr>
  </w:style>
  <w:style w:customStyle="1" w:styleId="SubtitleChar" w:type="character">
    <w:name w:val="Subtitle Char"/>
    <w:basedOn w:val="DefaultParagraphFont"/>
    <w:link w:val="Subtitle"/>
    <w:uiPriority w:val="11"/>
    <w:rsid w:val="00CF39AD"/>
    <w:rPr>
      <w:color w:themeColor="text1" w:val="000000"/>
      <w:spacing w:val="15"/>
      <w:sz w:val="22"/>
      <w:szCs w:val="22"/>
    </w:rPr>
  </w:style>
  <w:style w:styleId="NoSpacing" w:type="paragraph">
    <w:name w:val="No Spacing"/>
    <w:uiPriority w:val="1"/>
    <w:qFormat/>
    <w:rsid w:val="00BA76BD"/>
    <w:rPr>
      <w:b/>
    </w:rPr>
  </w:style>
  <w:style w:customStyle="1" w:styleId="Heading2Char" w:type="character">
    <w:name w:val="Heading 2 Char"/>
    <w:basedOn w:val="DefaultParagraphFont"/>
    <w:link w:val="Heading2"/>
    <w:uiPriority w:val="9"/>
    <w:rsid w:val="006C633F"/>
    <w:rPr>
      <w:rFonts w:ascii="Arial" w:cstheme="majorBidi" w:eastAsiaTheme="majorEastAsia" w:hAnsi="Arial"/>
      <w:b/>
      <w:szCs w:val="26"/>
    </w:rPr>
  </w:style>
  <w:style w:customStyle="1" w:styleId="Heading3Char" w:type="character">
    <w:name w:val="Heading 3 Char"/>
    <w:basedOn w:val="DefaultParagraphFont"/>
    <w:link w:val="Heading3"/>
    <w:uiPriority w:val="9"/>
    <w:rsid w:val="00BA2A42"/>
    <w:rPr>
      <w:rFonts w:ascii="Arial" w:cstheme="majorBidi" w:eastAsiaTheme="majorEastAsia" w:hAnsi="Arial"/>
      <w:color w:themeColor="text1" w:val="000000"/>
      <w:sz w:val="28"/>
    </w:rPr>
  </w:style>
  <w:style w:customStyle="1" w:styleId="Heading4Char" w:type="character">
    <w:name w:val="Heading 4 Char"/>
    <w:basedOn w:val="DefaultParagraphFont"/>
    <w:link w:val="Heading4"/>
    <w:uiPriority w:val="9"/>
    <w:rsid w:val="00CF39AD"/>
    <w:rPr>
      <w:rFonts w:asciiTheme="majorHAnsi" w:cstheme="majorBidi" w:eastAsiaTheme="majorEastAsia" w:hAnsiTheme="majorHAnsi"/>
      <w:i/>
      <w:iCs/>
      <w:color w:themeColor="accent1" w:themeShade="BF" w:val="2F5496"/>
    </w:rPr>
  </w:style>
  <w:style w:customStyle="1" w:styleId="Heading5Char" w:type="character">
    <w:name w:val="Heading 5 Char"/>
    <w:basedOn w:val="DefaultParagraphFont"/>
    <w:link w:val="Heading5"/>
    <w:uiPriority w:val="9"/>
    <w:rsid w:val="00CF39AD"/>
    <w:rPr>
      <w:rFonts w:asciiTheme="majorHAnsi" w:cstheme="majorBidi" w:eastAsiaTheme="majorEastAsia" w:hAnsiTheme="majorHAnsi"/>
      <w:color w:themeColor="accent1" w:themeShade="BF" w:val="2F5496"/>
    </w:rPr>
  </w:style>
  <w:style w:styleId="SubtleEmphasis" w:type="character">
    <w:name w:val="Subtle Emphasis"/>
    <w:basedOn w:val="DefaultParagraphFont"/>
    <w:uiPriority w:val="19"/>
    <w:qFormat/>
    <w:rsid w:val="00CF39AD"/>
    <w:rPr>
      <w:i/>
      <w:iCs/>
      <w:color w:themeColor="text1" w:themeTint="BF" w:val="404040"/>
    </w:rPr>
  </w:style>
  <w:style w:styleId="Emphasis" w:type="character">
    <w:name w:val="Emphasis"/>
    <w:basedOn w:val="DefaultParagraphFont"/>
    <w:uiPriority w:val="20"/>
    <w:qFormat/>
    <w:rsid w:val="00D664A3"/>
    <w:rPr>
      <w:rFonts w:ascii="Arial" w:hAnsi="Arial"/>
      <w:b/>
      <w:i w:val="0"/>
      <w:iCs/>
      <w:sz w:val="24"/>
    </w:rPr>
  </w:style>
  <w:style w:customStyle="1" w:styleId="Heading6Char" w:type="character">
    <w:name w:val="Heading 6 Char"/>
    <w:basedOn w:val="DefaultParagraphFont"/>
    <w:link w:val="Heading6"/>
    <w:uiPriority w:val="9"/>
    <w:rsid w:val="00CF39AD"/>
    <w:rPr>
      <w:rFonts w:asciiTheme="majorHAnsi" w:cstheme="majorBidi" w:eastAsiaTheme="majorEastAsia" w:hAnsiTheme="majorHAnsi"/>
      <w:color w:themeColor="accent1" w:themeShade="7F" w:val="1F3763"/>
    </w:rPr>
  </w:style>
  <w:style w:customStyle="1" w:styleId="Heading7Char" w:type="character">
    <w:name w:val="Heading 7 Char"/>
    <w:basedOn w:val="DefaultParagraphFont"/>
    <w:link w:val="Heading7"/>
    <w:uiPriority w:val="9"/>
    <w:rsid w:val="00CF39AD"/>
    <w:rPr>
      <w:rFonts w:asciiTheme="majorHAnsi" w:cstheme="majorBidi" w:eastAsiaTheme="majorEastAsia" w:hAnsiTheme="majorHAnsi"/>
      <w:i/>
      <w:iCs/>
      <w:color w:themeColor="accent1" w:themeShade="7F" w:val="1F3763"/>
    </w:rPr>
  </w:style>
  <w:style w:customStyle="1" w:styleId="Heading8Char" w:type="character">
    <w:name w:val="Heading 8 Char"/>
    <w:basedOn w:val="DefaultParagraphFont"/>
    <w:link w:val="Heading8"/>
    <w:uiPriority w:val="9"/>
    <w:rsid w:val="00CF39AD"/>
    <w:rPr>
      <w:rFonts w:asciiTheme="majorHAnsi" w:cstheme="majorBidi" w:eastAsiaTheme="majorEastAsia" w:hAnsiTheme="majorHAnsi"/>
      <w:color w:themeColor="text1" w:themeTint="D8" w:val="272727"/>
      <w:sz w:val="21"/>
      <w:szCs w:val="21"/>
    </w:rPr>
  </w:style>
  <w:style w:customStyle="1" w:styleId="Heading9Char" w:type="character">
    <w:name w:val="Heading 9 Char"/>
    <w:basedOn w:val="DefaultParagraphFont"/>
    <w:link w:val="Heading9"/>
    <w:uiPriority w:val="9"/>
    <w:rsid w:val="00CF39AD"/>
    <w:rPr>
      <w:rFonts w:asciiTheme="majorHAnsi" w:cstheme="majorBidi" w:eastAsiaTheme="majorEastAsia" w:hAnsiTheme="majorHAnsi"/>
      <w:i/>
      <w:iCs/>
      <w:color w:themeColor="text1" w:themeTint="D8" w:val="272727"/>
      <w:sz w:val="21"/>
      <w:szCs w:val="21"/>
    </w:rPr>
  </w:style>
  <w:style w:styleId="Strong" w:type="character">
    <w:name w:val="Strong"/>
    <w:basedOn w:val="DefaultParagraphFont"/>
    <w:uiPriority w:val="22"/>
    <w:qFormat/>
    <w:rsid w:val="00D664A3"/>
    <w:rPr>
      <w:bCs/>
    </w:rPr>
  </w:style>
  <w:style w:styleId="BookTitle" w:type="character">
    <w:name w:val="Book Title"/>
    <w:basedOn w:val="DefaultParagraphFont"/>
    <w:uiPriority w:val="33"/>
    <w:qFormat/>
    <w:rsid w:val="00BA76BD"/>
    <w:rPr>
      <w:b/>
      <w:bCs/>
      <w:i/>
      <w:iCs/>
      <w:spacing w:val="5"/>
    </w:rPr>
  </w:style>
  <w:style w:customStyle="1" w:styleId="subsection" w:type="paragraph">
    <w:name w:val="subsection"/>
    <w:basedOn w:val="Normal"/>
    <w:next w:val="Normal"/>
    <w:qFormat/>
    <w:rsid w:val="00017754"/>
    <w:pPr>
      <w:spacing w:before="120"/>
    </w:pPr>
    <w:rPr>
      <w:rFonts w:asciiTheme="minorBidi" w:hAnsiTheme="minorBidi"/>
      <w:b/>
      <w:lang w:val="en-US"/>
    </w:rPr>
  </w:style>
  <w:style w:styleId="PageNumber" w:type="character">
    <w:name w:val="page number"/>
    <w:basedOn w:val="DefaultParagraphFont"/>
    <w:uiPriority w:val="99"/>
    <w:semiHidden/>
    <w:unhideWhenUsed/>
    <w:rsid w:val="008370C1"/>
  </w:style>
  <w:style w:styleId="Caption" w:type="paragraph">
    <w:name w:val="caption"/>
    <w:basedOn w:val="Normal"/>
    <w:next w:val="Normal"/>
    <w:uiPriority w:val="35"/>
    <w:unhideWhenUsed/>
    <w:qFormat/>
    <w:rsid w:val="004E220C"/>
    <w:pPr>
      <w:spacing w:after="200" w:line="240" w:lineRule="auto"/>
    </w:pPr>
    <w:rPr>
      <w:iCs/>
      <w:color w:themeColor="text1" w:val="000000"/>
      <w:szCs w:val="18"/>
    </w:rPr>
  </w:style>
  <w:style w:customStyle="1" w:styleId="TableCaption" w:type="paragraph">
    <w:name w:val="Table Caption"/>
    <w:qFormat/>
    <w:rsid w:val="00F84356"/>
    <w:rPr>
      <w:rFonts w:ascii="Arial" w:hAnsi="Arial"/>
    </w:rPr>
  </w:style>
  <w:style w:type="paragraph" w:customStyle="1" w:styleId="SourceCode">
    <w:name w:val="Source Code"/>
    <w:basedOn w:val="Normal"/>
    <w:link w:val="VerbatimChar"/>
    <w:pPr>
      <w:wordWrap w:val="off"/>
      <w:shd w:val="clear" w:fill="f8f8f8"/>
    </w:pPr>
  </w:style>
  <w:style w:type="character" w:customStyle="1" w:styleId="KeywordTok">
    <w:name w:val="KeywordTok"/>
    <w:basedOn w:val="VerbatimChar"/>
    <w:rPr>
      <w:color w:val="204a87"/>
      <w:shd w:val="clear" w:fill="f8f8f8"/>
      <w:b/>
    </w:rPr>
  </w:style>
  <w:style w:type="character" w:customStyle="1" w:styleId="DataTypeTok">
    <w:name w:val="DataTypeTok"/>
    <w:basedOn w:val="VerbatimChar"/>
    <w:rPr>
      <w:color w:val="204a87"/>
      <w:shd w:val="clear" w:fill="f8f8f8"/>
    </w:rPr>
  </w:style>
  <w:style w:type="character" w:customStyle="1" w:styleId="DecValTok">
    <w:name w:val="DecValTok"/>
    <w:basedOn w:val="VerbatimChar"/>
    <w:rPr>
      <w:color w:val="0000cf"/>
      <w:shd w:val="clear" w:fill="f8f8f8"/>
    </w:rPr>
  </w:style>
  <w:style w:type="character" w:customStyle="1" w:styleId="BaseNTok">
    <w:name w:val="BaseNTok"/>
    <w:basedOn w:val="VerbatimChar"/>
    <w:rPr>
      <w:color w:val="0000cf"/>
      <w:shd w:val="clear" w:fill="f8f8f8"/>
    </w:rPr>
  </w:style>
  <w:style w:type="character" w:customStyle="1" w:styleId="FloatTok">
    <w:name w:val="FloatTok"/>
    <w:basedOn w:val="VerbatimChar"/>
    <w:rPr>
      <w:color w:val="0000cf"/>
      <w:shd w:val="clear" w:fill="f8f8f8"/>
    </w:rPr>
  </w:style>
  <w:style w:type="character" w:customStyle="1" w:styleId="ConstantTok">
    <w:name w:val="ConstantTok"/>
    <w:basedOn w:val="VerbatimChar"/>
    <w:rPr>
      <w:color w:val="000000"/>
      <w:shd w:val="clear" w:fill="f8f8f8"/>
    </w:rPr>
  </w:style>
  <w:style w:type="character" w:customStyle="1" w:styleId="CharTok">
    <w:name w:val="CharTok"/>
    <w:basedOn w:val="VerbatimChar"/>
    <w:rPr>
      <w:color w:val="4e9a06"/>
      <w:shd w:val="clear" w:fill="f8f8f8"/>
    </w:rPr>
  </w:style>
  <w:style w:type="character" w:customStyle="1" w:styleId="SpecialCharTok">
    <w:name w:val="SpecialCharTok"/>
    <w:basedOn w:val="VerbatimChar"/>
    <w:rPr>
      <w:color w:val="000000"/>
      <w:shd w:val="clear" w:fill="f8f8f8"/>
    </w:rPr>
  </w:style>
  <w:style w:type="character" w:customStyle="1" w:styleId="StringTok">
    <w:name w:val="StringTok"/>
    <w:basedOn w:val="VerbatimChar"/>
    <w:rPr>
      <w:color w:val="4e9a06"/>
      <w:shd w:val="clear" w:fill="f8f8f8"/>
    </w:rPr>
  </w:style>
  <w:style w:type="character" w:customStyle="1" w:styleId="VerbatimStringTok">
    <w:name w:val="VerbatimStringTok"/>
    <w:basedOn w:val="VerbatimChar"/>
    <w:rPr>
      <w:color w:val="4e9a06"/>
      <w:shd w:val="clear" w:fill="f8f8f8"/>
    </w:rPr>
  </w:style>
  <w:style w:type="character" w:customStyle="1" w:styleId="SpecialStringTok">
    <w:name w:val="SpecialStringTok"/>
    <w:basedOn w:val="VerbatimChar"/>
    <w:rPr>
      <w:color w:val="4e9a06"/>
      <w:shd w:val="clear" w:fill="f8f8f8"/>
    </w:rPr>
  </w:style>
  <w:style w:type="character" w:customStyle="1" w:styleId="ImportTok">
    <w:name w:val="ImportTok"/>
    <w:basedOn w:val="VerbatimChar"/>
    <w:rPr>
      <w:shd w:val="clear" w:fill="f8f8f8"/>
    </w:rPr>
  </w:style>
  <w:style w:type="character" w:customStyle="1" w:styleId="CommentTok">
    <w:name w:val="CommentTok"/>
    <w:basedOn w:val="VerbatimChar"/>
    <w:rPr>
      <w:color w:val="8f5902"/>
      <w:shd w:val="clear" w:fill="f8f8f8"/>
      <w:i/>
    </w:rPr>
  </w:style>
  <w:style w:type="character" w:customStyle="1" w:styleId="DocumentationTok">
    <w:name w:val="DocumentationTok"/>
    <w:basedOn w:val="VerbatimChar"/>
    <w:rPr>
      <w:color w:val="8f5902"/>
      <w:shd w:val="clear" w:fill="f8f8f8"/>
      <w:b/>
      <w:i/>
    </w:rPr>
  </w:style>
  <w:style w:type="character" w:customStyle="1" w:styleId="AnnotationTok">
    <w:name w:val="AnnotationTok"/>
    <w:basedOn w:val="VerbatimChar"/>
    <w:rPr>
      <w:color w:val="8f5902"/>
      <w:shd w:val="clear" w:fill="f8f8f8"/>
      <w:b/>
      <w:i/>
    </w:rPr>
  </w:style>
  <w:style w:type="character" w:customStyle="1" w:styleId="CommentVarTok">
    <w:name w:val="CommentVarTok"/>
    <w:basedOn w:val="VerbatimChar"/>
    <w:rPr>
      <w:color w:val="8f5902"/>
      <w:shd w:val="clear" w:fill="f8f8f8"/>
      <w:b/>
      <w:i/>
    </w:rPr>
  </w:style>
  <w:style w:type="character" w:customStyle="1" w:styleId="OtherTok">
    <w:name w:val="OtherTok"/>
    <w:basedOn w:val="VerbatimChar"/>
    <w:rPr>
      <w:color w:val="8f5902"/>
      <w:shd w:val="clear" w:fill="f8f8f8"/>
    </w:rPr>
  </w:style>
  <w:style w:type="character" w:customStyle="1" w:styleId="FunctionTok">
    <w:name w:val="FunctionTok"/>
    <w:basedOn w:val="VerbatimChar"/>
    <w:rPr>
      <w:color w:val="000000"/>
      <w:shd w:val="clear" w:fill="f8f8f8"/>
    </w:rPr>
  </w:style>
  <w:style w:type="character" w:customStyle="1" w:styleId="VariableTok">
    <w:name w:val="VariableTok"/>
    <w:basedOn w:val="VerbatimChar"/>
    <w:rPr>
      <w:color w:val="000000"/>
      <w:shd w:val="clear" w:fill="f8f8f8"/>
    </w:rPr>
  </w:style>
  <w:style w:type="character" w:customStyle="1" w:styleId="ControlFlowTok">
    <w:name w:val="ControlFlowTok"/>
    <w:basedOn w:val="VerbatimChar"/>
    <w:rPr>
      <w:color w:val="204a87"/>
      <w:shd w:val="clear" w:fill="f8f8f8"/>
      <w:b/>
    </w:rPr>
  </w:style>
  <w:style w:type="character" w:customStyle="1" w:styleId="OperatorTok">
    <w:name w:val="OperatorTok"/>
    <w:basedOn w:val="VerbatimChar"/>
    <w:rPr>
      <w:color w:val="ce5c00"/>
      <w:shd w:val="clear" w:fill="f8f8f8"/>
      <w:b/>
    </w:rPr>
  </w:style>
  <w:style w:type="character" w:customStyle="1" w:styleId="BuiltInTok">
    <w:name w:val="BuiltInTok"/>
    <w:basedOn w:val="VerbatimChar"/>
    <w:rPr>
      <w:shd w:val="clear" w:fill="f8f8f8"/>
    </w:rPr>
  </w:style>
  <w:style w:type="character" w:customStyle="1" w:styleId="ExtensionTok">
    <w:name w:val="ExtensionTok"/>
    <w:basedOn w:val="VerbatimChar"/>
    <w:rPr>
      <w:shd w:val="clear" w:fill="f8f8f8"/>
    </w:rPr>
  </w:style>
  <w:style w:type="character" w:customStyle="1" w:styleId="PreprocessorTok">
    <w:name w:val="PreprocessorTok"/>
    <w:basedOn w:val="VerbatimChar"/>
    <w:rPr>
      <w:color w:val="8f5902"/>
      <w:shd w:val="clear" w:fill="f8f8f8"/>
      <w:i/>
    </w:rPr>
  </w:style>
  <w:style w:type="character" w:customStyle="1" w:styleId="AttributeTok">
    <w:name w:val="AttributeTok"/>
    <w:basedOn w:val="VerbatimChar"/>
    <w:rPr>
      <w:color w:val="c4a000"/>
      <w:shd w:val="clear" w:fill="f8f8f8"/>
    </w:rPr>
  </w:style>
  <w:style w:type="character" w:customStyle="1" w:styleId="RegionMarkerTok">
    <w:name w:val="RegionMarkerTok"/>
    <w:basedOn w:val="VerbatimChar"/>
    <w:rPr>
      <w:shd w:val="clear" w:fill="f8f8f8"/>
    </w:rPr>
  </w:style>
  <w:style w:type="character" w:customStyle="1" w:styleId="InformationTok">
    <w:name w:val="InformationTok"/>
    <w:basedOn w:val="VerbatimChar"/>
    <w:rPr>
      <w:color w:val="8f5902"/>
      <w:shd w:val="clear" w:fill="f8f8f8"/>
      <w:b/>
      <w:i/>
    </w:rPr>
  </w:style>
  <w:style w:type="character" w:customStyle="1" w:styleId="WarningTok">
    <w:name w:val="WarningTok"/>
    <w:basedOn w:val="VerbatimChar"/>
    <w:rPr>
      <w:color w:val="8f5902"/>
      <w:shd w:val="clear" w:fill="f8f8f8"/>
      <w:b/>
      <w:i/>
    </w:rPr>
  </w:style>
  <w:style w:type="character" w:customStyle="1" w:styleId="AlertTok">
    <w:name w:val="AlertTok"/>
    <w:basedOn w:val="VerbatimChar"/>
    <w:rPr>
      <w:color w:val="ef2929"/>
      <w:shd w:val="clear" w:fill="f8f8f8"/>
    </w:rPr>
  </w:style>
  <w:style w:type="character" w:customStyle="1" w:styleId="ErrorTok">
    <w:name w:val="ErrorTok"/>
    <w:basedOn w:val="VerbatimChar"/>
    <w:rPr>
      <w:color w:val="a40000"/>
      <w:shd w:val="clear" w:fill="f8f8f8"/>
      <w:b/>
    </w:rPr>
  </w:style>
  <w:style w:type="character" w:customStyle="1" w:styleId="NormalTok">
    <w:name w:val="NormalTok"/>
    <w:basedOn w:val="VerbatimChar"/>
    <w:rPr>
      <w:shd w:val="clear" w:fill="f8f8f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698391">
      <w:bodyDiv w:val="1"/>
      <w:marLeft w:val="0"/>
      <w:marRight w:val="0"/>
      <w:marTop w:val="0"/>
      <w:marBottom w:val="0"/>
      <w:divBdr>
        <w:top w:val="none" w:sz="0" w:space="0" w:color="auto"/>
        <w:left w:val="none" w:sz="0" w:space="0" w:color="auto"/>
        <w:bottom w:val="none" w:sz="0" w:space="0" w:color="auto"/>
        <w:right w:val="none" w:sz="0" w:space="0" w:color="auto"/>
      </w:divBdr>
    </w:div>
    <w:div w:id="204368250">
      <w:bodyDiv w:val="1"/>
      <w:marLeft w:val="0"/>
      <w:marRight w:val="0"/>
      <w:marTop w:val="0"/>
      <w:marBottom w:val="0"/>
      <w:divBdr>
        <w:top w:val="none" w:sz="0" w:space="0" w:color="auto"/>
        <w:left w:val="none" w:sz="0" w:space="0" w:color="auto"/>
        <w:bottom w:val="none" w:sz="0" w:space="0" w:color="auto"/>
        <w:right w:val="none" w:sz="0" w:space="0" w:color="auto"/>
      </w:divBdr>
    </w:div>
    <w:div w:id="506335729">
      <w:bodyDiv w:val="1"/>
      <w:marLeft w:val="0"/>
      <w:marRight w:val="0"/>
      <w:marTop w:val="0"/>
      <w:marBottom w:val="0"/>
      <w:divBdr>
        <w:top w:val="none" w:sz="0" w:space="0" w:color="auto"/>
        <w:left w:val="none" w:sz="0" w:space="0" w:color="auto"/>
        <w:bottom w:val="none" w:sz="0" w:space="0" w:color="auto"/>
        <w:right w:val="none" w:sz="0" w:space="0" w:color="auto"/>
      </w:divBdr>
    </w:div>
    <w:div w:id="567377602">
      <w:bodyDiv w:val="1"/>
      <w:marLeft w:val="0"/>
      <w:marRight w:val="0"/>
      <w:marTop w:val="0"/>
      <w:marBottom w:val="0"/>
      <w:divBdr>
        <w:top w:val="none" w:sz="0" w:space="0" w:color="auto"/>
        <w:left w:val="none" w:sz="0" w:space="0" w:color="auto"/>
        <w:bottom w:val="none" w:sz="0" w:space="0" w:color="auto"/>
        <w:right w:val="none" w:sz="0" w:space="0" w:color="auto"/>
      </w:divBdr>
    </w:div>
    <w:div w:id="675501009">
      <w:bodyDiv w:val="1"/>
      <w:marLeft w:val="0"/>
      <w:marRight w:val="0"/>
      <w:marTop w:val="0"/>
      <w:marBottom w:val="0"/>
      <w:divBdr>
        <w:top w:val="none" w:sz="0" w:space="0" w:color="auto"/>
        <w:left w:val="none" w:sz="0" w:space="0" w:color="auto"/>
        <w:bottom w:val="none" w:sz="0" w:space="0" w:color="auto"/>
        <w:right w:val="none" w:sz="0" w:space="0" w:color="auto"/>
      </w:divBdr>
      <w:divsChild>
        <w:div w:id="412165230">
          <w:marLeft w:val="0"/>
          <w:marRight w:val="0"/>
          <w:marTop w:val="0"/>
          <w:marBottom w:val="0"/>
          <w:divBdr>
            <w:top w:val="none" w:sz="0" w:space="0" w:color="auto"/>
            <w:left w:val="none" w:sz="0" w:space="0" w:color="auto"/>
            <w:bottom w:val="none" w:sz="0" w:space="0" w:color="auto"/>
            <w:right w:val="none" w:sz="0" w:space="0" w:color="auto"/>
          </w:divBdr>
          <w:divsChild>
            <w:div w:id="1942519450">
              <w:marLeft w:val="0"/>
              <w:marRight w:val="0"/>
              <w:marTop w:val="0"/>
              <w:marBottom w:val="0"/>
              <w:divBdr>
                <w:top w:val="none" w:sz="0" w:space="0" w:color="auto"/>
                <w:left w:val="none" w:sz="0" w:space="0" w:color="auto"/>
                <w:bottom w:val="none" w:sz="0" w:space="0" w:color="auto"/>
                <w:right w:val="none" w:sz="0" w:space="0" w:color="auto"/>
              </w:divBdr>
              <w:divsChild>
                <w:div w:id="271859414">
                  <w:marLeft w:val="0"/>
                  <w:marRight w:val="0"/>
                  <w:marTop w:val="0"/>
                  <w:marBottom w:val="0"/>
                  <w:divBdr>
                    <w:top w:val="none" w:sz="0" w:space="0" w:color="auto"/>
                    <w:left w:val="none" w:sz="0" w:space="0" w:color="auto"/>
                    <w:bottom w:val="none" w:sz="0" w:space="0" w:color="auto"/>
                    <w:right w:val="none" w:sz="0" w:space="0" w:color="auto"/>
                  </w:divBdr>
                </w:div>
                <w:div w:id="796264922">
                  <w:marLeft w:val="0"/>
                  <w:marRight w:val="0"/>
                  <w:marTop w:val="0"/>
                  <w:marBottom w:val="0"/>
                  <w:divBdr>
                    <w:top w:val="none" w:sz="0" w:space="0" w:color="auto"/>
                    <w:left w:val="none" w:sz="0" w:space="0" w:color="auto"/>
                    <w:bottom w:val="none" w:sz="0" w:space="0" w:color="auto"/>
                    <w:right w:val="none" w:sz="0" w:space="0" w:color="auto"/>
                  </w:divBdr>
                </w:div>
                <w:div w:id="18240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56228">
      <w:bodyDiv w:val="1"/>
      <w:marLeft w:val="0"/>
      <w:marRight w:val="0"/>
      <w:marTop w:val="0"/>
      <w:marBottom w:val="0"/>
      <w:divBdr>
        <w:top w:val="none" w:sz="0" w:space="0" w:color="auto"/>
        <w:left w:val="none" w:sz="0" w:space="0" w:color="auto"/>
        <w:bottom w:val="none" w:sz="0" w:space="0" w:color="auto"/>
        <w:right w:val="none" w:sz="0" w:space="0" w:color="auto"/>
      </w:divBdr>
      <w:divsChild>
        <w:div w:id="1040325024">
          <w:marLeft w:val="0"/>
          <w:marRight w:val="0"/>
          <w:marTop w:val="0"/>
          <w:marBottom w:val="0"/>
          <w:divBdr>
            <w:top w:val="none" w:sz="0" w:space="0" w:color="auto"/>
            <w:left w:val="none" w:sz="0" w:space="0" w:color="auto"/>
            <w:bottom w:val="none" w:sz="0" w:space="0" w:color="auto"/>
            <w:right w:val="none" w:sz="0" w:space="0" w:color="auto"/>
          </w:divBdr>
          <w:divsChild>
            <w:div w:id="211694197">
              <w:marLeft w:val="0"/>
              <w:marRight w:val="0"/>
              <w:marTop w:val="0"/>
              <w:marBottom w:val="0"/>
              <w:divBdr>
                <w:top w:val="none" w:sz="0" w:space="0" w:color="auto"/>
                <w:left w:val="none" w:sz="0" w:space="0" w:color="auto"/>
                <w:bottom w:val="none" w:sz="0" w:space="0" w:color="auto"/>
                <w:right w:val="none" w:sz="0" w:space="0" w:color="auto"/>
              </w:divBdr>
              <w:divsChild>
                <w:div w:id="103195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153470">
      <w:bodyDiv w:val="1"/>
      <w:marLeft w:val="0"/>
      <w:marRight w:val="0"/>
      <w:marTop w:val="0"/>
      <w:marBottom w:val="0"/>
      <w:divBdr>
        <w:top w:val="none" w:sz="0" w:space="0" w:color="auto"/>
        <w:left w:val="none" w:sz="0" w:space="0" w:color="auto"/>
        <w:bottom w:val="none" w:sz="0" w:space="0" w:color="auto"/>
        <w:right w:val="none" w:sz="0" w:space="0" w:color="auto"/>
      </w:divBdr>
    </w:div>
    <w:div w:id="1097943603">
      <w:bodyDiv w:val="1"/>
      <w:marLeft w:val="0"/>
      <w:marRight w:val="0"/>
      <w:marTop w:val="0"/>
      <w:marBottom w:val="0"/>
      <w:divBdr>
        <w:top w:val="none" w:sz="0" w:space="0" w:color="auto"/>
        <w:left w:val="none" w:sz="0" w:space="0" w:color="auto"/>
        <w:bottom w:val="none" w:sz="0" w:space="0" w:color="auto"/>
        <w:right w:val="none" w:sz="0" w:space="0" w:color="auto"/>
      </w:divBdr>
      <w:divsChild>
        <w:div w:id="162742889">
          <w:marLeft w:val="0"/>
          <w:marRight w:val="0"/>
          <w:marTop w:val="0"/>
          <w:marBottom w:val="0"/>
          <w:divBdr>
            <w:top w:val="none" w:sz="0" w:space="0" w:color="auto"/>
            <w:left w:val="none" w:sz="0" w:space="0" w:color="auto"/>
            <w:bottom w:val="none" w:sz="0" w:space="0" w:color="auto"/>
            <w:right w:val="none" w:sz="0" w:space="0" w:color="auto"/>
          </w:divBdr>
        </w:div>
      </w:divsChild>
    </w:div>
    <w:div w:id="1262563405">
      <w:bodyDiv w:val="1"/>
      <w:marLeft w:val="0"/>
      <w:marRight w:val="0"/>
      <w:marTop w:val="0"/>
      <w:marBottom w:val="0"/>
      <w:divBdr>
        <w:top w:val="none" w:sz="0" w:space="0" w:color="auto"/>
        <w:left w:val="none" w:sz="0" w:space="0" w:color="auto"/>
        <w:bottom w:val="none" w:sz="0" w:space="0" w:color="auto"/>
        <w:right w:val="none" w:sz="0" w:space="0" w:color="auto"/>
      </w:divBdr>
    </w:div>
    <w:div w:id="1278950735">
      <w:bodyDiv w:val="1"/>
      <w:marLeft w:val="0"/>
      <w:marRight w:val="0"/>
      <w:marTop w:val="0"/>
      <w:marBottom w:val="0"/>
      <w:divBdr>
        <w:top w:val="none" w:sz="0" w:space="0" w:color="auto"/>
        <w:left w:val="none" w:sz="0" w:space="0" w:color="auto"/>
        <w:bottom w:val="none" w:sz="0" w:space="0" w:color="auto"/>
        <w:right w:val="none" w:sz="0" w:space="0" w:color="auto"/>
      </w:divBdr>
      <w:divsChild>
        <w:div w:id="1991398795">
          <w:marLeft w:val="0"/>
          <w:marRight w:val="0"/>
          <w:marTop w:val="0"/>
          <w:marBottom w:val="0"/>
          <w:divBdr>
            <w:top w:val="none" w:sz="0" w:space="0" w:color="auto"/>
            <w:left w:val="none" w:sz="0" w:space="0" w:color="auto"/>
            <w:bottom w:val="none" w:sz="0" w:space="0" w:color="auto"/>
            <w:right w:val="none" w:sz="0" w:space="0" w:color="auto"/>
          </w:divBdr>
          <w:divsChild>
            <w:div w:id="726495383">
              <w:marLeft w:val="0"/>
              <w:marRight w:val="0"/>
              <w:marTop w:val="0"/>
              <w:marBottom w:val="0"/>
              <w:divBdr>
                <w:top w:val="none" w:sz="0" w:space="0" w:color="auto"/>
                <w:left w:val="none" w:sz="0" w:space="0" w:color="auto"/>
                <w:bottom w:val="none" w:sz="0" w:space="0" w:color="auto"/>
                <w:right w:val="none" w:sz="0" w:space="0" w:color="auto"/>
              </w:divBdr>
              <w:divsChild>
                <w:div w:id="1669940984">
                  <w:marLeft w:val="0"/>
                  <w:marRight w:val="0"/>
                  <w:marTop w:val="0"/>
                  <w:marBottom w:val="0"/>
                  <w:divBdr>
                    <w:top w:val="none" w:sz="0" w:space="0" w:color="auto"/>
                    <w:left w:val="none" w:sz="0" w:space="0" w:color="auto"/>
                    <w:bottom w:val="none" w:sz="0" w:space="0" w:color="auto"/>
                    <w:right w:val="none" w:sz="0" w:space="0" w:color="auto"/>
                  </w:divBdr>
                  <w:divsChild>
                    <w:div w:id="15587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3439">
      <w:bodyDiv w:val="1"/>
      <w:marLeft w:val="0"/>
      <w:marRight w:val="0"/>
      <w:marTop w:val="0"/>
      <w:marBottom w:val="0"/>
      <w:divBdr>
        <w:top w:val="none" w:sz="0" w:space="0" w:color="auto"/>
        <w:left w:val="none" w:sz="0" w:space="0" w:color="auto"/>
        <w:bottom w:val="none" w:sz="0" w:space="0" w:color="auto"/>
        <w:right w:val="none" w:sz="0" w:space="0" w:color="auto"/>
      </w:divBdr>
      <w:divsChild>
        <w:div w:id="421679876">
          <w:marLeft w:val="0"/>
          <w:marRight w:val="0"/>
          <w:marTop w:val="0"/>
          <w:marBottom w:val="0"/>
          <w:divBdr>
            <w:top w:val="none" w:sz="0" w:space="0" w:color="auto"/>
            <w:left w:val="none" w:sz="0" w:space="0" w:color="auto"/>
            <w:bottom w:val="none" w:sz="0" w:space="0" w:color="auto"/>
            <w:right w:val="none" w:sz="0" w:space="0" w:color="auto"/>
          </w:divBdr>
          <w:divsChild>
            <w:div w:id="479201808">
              <w:marLeft w:val="0"/>
              <w:marRight w:val="0"/>
              <w:marTop w:val="0"/>
              <w:marBottom w:val="0"/>
              <w:divBdr>
                <w:top w:val="none" w:sz="0" w:space="0" w:color="auto"/>
                <w:left w:val="none" w:sz="0" w:space="0" w:color="auto"/>
                <w:bottom w:val="none" w:sz="0" w:space="0" w:color="auto"/>
                <w:right w:val="none" w:sz="0" w:space="0" w:color="auto"/>
              </w:divBdr>
              <w:divsChild>
                <w:div w:id="152031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60297">
      <w:bodyDiv w:val="1"/>
      <w:marLeft w:val="0"/>
      <w:marRight w:val="0"/>
      <w:marTop w:val="0"/>
      <w:marBottom w:val="0"/>
      <w:divBdr>
        <w:top w:val="none" w:sz="0" w:space="0" w:color="auto"/>
        <w:left w:val="none" w:sz="0" w:space="0" w:color="auto"/>
        <w:bottom w:val="none" w:sz="0" w:space="0" w:color="auto"/>
        <w:right w:val="none" w:sz="0" w:space="0" w:color="auto"/>
      </w:divBdr>
    </w:div>
    <w:div w:id="1480418098">
      <w:bodyDiv w:val="1"/>
      <w:marLeft w:val="0"/>
      <w:marRight w:val="0"/>
      <w:marTop w:val="0"/>
      <w:marBottom w:val="0"/>
      <w:divBdr>
        <w:top w:val="none" w:sz="0" w:space="0" w:color="auto"/>
        <w:left w:val="none" w:sz="0" w:space="0" w:color="auto"/>
        <w:bottom w:val="none" w:sz="0" w:space="0" w:color="auto"/>
        <w:right w:val="none" w:sz="0" w:space="0" w:color="auto"/>
      </w:divBdr>
    </w:div>
    <w:div w:id="1618831980">
      <w:bodyDiv w:val="1"/>
      <w:marLeft w:val="0"/>
      <w:marRight w:val="0"/>
      <w:marTop w:val="0"/>
      <w:marBottom w:val="0"/>
      <w:divBdr>
        <w:top w:val="none" w:sz="0" w:space="0" w:color="auto"/>
        <w:left w:val="none" w:sz="0" w:space="0" w:color="auto"/>
        <w:bottom w:val="none" w:sz="0" w:space="0" w:color="auto"/>
        <w:right w:val="none" w:sz="0" w:space="0" w:color="auto"/>
      </w:divBdr>
      <w:divsChild>
        <w:div w:id="221332621">
          <w:marLeft w:val="0"/>
          <w:marRight w:val="0"/>
          <w:marTop w:val="0"/>
          <w:marBottom w:val="0"/>
          <w:divBdr>
            <w:top w:val="none" w:sz="0" w:space="0" w:color="auto"/>
            <w:left w:val="none" w:sz="0" w:space="0" w:color="auto"/>
            <w:bottom w:val="none" w:sz="0" w:space="0" w:color="auto"/>
            <w:right w:val="none" w:sz="0" w:space="0" w:color="auto"/>
          </w:divBdr>
          <w:divsChild>
            <w:div w:id="1370957630">
              <w:marLeft w:val="0"/>
              <w:marRight w:val="0"/>
              <w:marTop w:val="0"/>
              <w:marBottom w:val="0"/>
              <w:divBdr>
                <w:top w:val="none" w:sz="0" w:space="0" w:color="auto"/>
                <w:left w:val="none" w:sz="0" w:space="0" w:color="auto"/>
                <w:bottom w:val="none" w:sz="0" w:space="0" w:color="auto"/>
                <w:right w:val="none" w:sz="0" w:space="0" w:color="auto"/>
              </w:divBdr>
              <w:divsChild>
                <w:div w:id="61645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862877">
      <w:bodyDiv w:val="1"/>
      <w:marLeft w:val="0"/>
      <w:marRight w:val="0"/>
      <w:marTop w:val="0"/>
      <w:marBottom w:val="0"/>
      <w:divBdr>
        <w:top w:val="none" w:sz="0" w:space="0" w:color="auto"/>
        <w:left w:val="none" w:sz="0" w:space="0" w:color="auto"/>
        <w:bottom w:val="none" w:sz="0" w:space="0" w:color="auto"/>
        <w:right w:val="none" w:sz="0" w:space="0" w:color="auto"/>
      </w:divBdr>
    </w:div>
    <w:div w:id="1749695082">
      <w:bodyDiv w:val="1"/>
      <w:marLeft w:val="0"/>
      <w:marRight w:val="0"/>
      <w:marTop w:val="0"/>
      <w:marBottom w:val="0"/>
      <w:divBdr>
        <w:top w:val="none" w:sz="0" w:space="0" w:color="auto"/>
        <w:left w:val="none" w:sz="0" w:space="0" w:color="auto"/>
        <w:bottom w:val="none" w:sz="0" w:space="0" w:color="auto"/>
        <w:right w:val="none" w:sz="0" w:space="0" w:color="auto"/>
      </w:divBdr>
      <w:divsChild>
        <w:div w:id="1107000451">
          <w:marLeft w:val="0"/>
          <w:marRight w:val="0"/>
          <w:marTop w:val="0"/>
          <w:marBottom w:val="0"/>
          <w:divBdr>
            <w:top w:val="none" w:sz="0" w:space="0" w:color="auto"/>
            <w:left w:val="none" w:sz="0" w:space="0" w:color="auto"/>
            <w:bottom w:val="none" w:sz="0" w:space="0" w:color="auto"/>
            <w:right w:val="none" w:sz="0" w:space="0" w:color="auto"/>
          </w:divBdr>
          <w:divsChild>
            <w:div w:id="235627175">
              <w:marLeft w:val="0"/>
              <w:marRight w:val="0"/>
              <w:marTop w:val="0"/>
              <w:marBottom w:val="0"/>
              <w:divBdr>
                <w:top w:val="none" w:sz="0" w:space="0" w:color="auto"/>
                <w:left w:val="none" w:sz="0" w:space="0" w:color="auto"/>
                <w:bottom w:val="none" w:sz="0" w:space="0" w:color="auto"/>
                <w:right w:val="none" w:sz="0" w:space="0" w:color="auto"/>
              </w:divBdr>
              <w:divsChild>
                <w:div w:id="95251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Id="rId10" Target="footer2.xml" Type="http://schemas.openxmlformats.org/officeDocument/2006/relationships/footer" /><Relationship Type="http://schemas.openxmlformats.org/officeDocument/2006/relationships/image" Id="rId59" Target="media/rId59.svg" /><Relationship Type="http://schemas.openxmlformats.org/officeDocument/2006/relationships/image" Id="rId56" Target="media/rId56.svg" /><Relationship Type="http://schemas.openxmlformats.org/officeDocument/2006/relationships/image" Id="rId53" Target="media/rId53.svg" /><Relationship Type="http://schemas.openxmlformats.org/officeDocument/2006/relationships/image" Id="rId50" Target="media/rId50.svg" /><Relationship Type="http://schemas.openxmlformats.org/officeDocument/2006/relationships/image" Id="rId35" Target="media/rId35.svg" /><Relationship Type="http://schemas.openxmlformats.org/officeDocument/2006/relationships/image" Id="rId38" Target="media/rId38.svg" /><Relationship Type="http://schemas.openxmlformats.org/officeDocument/2006/relationships/image" Id="rId41" Target="media/rId41.svg" /><Relationship Type="http://schemas.openxmlformats.org/officeDocument/2006/relationships/image" Id="rId44" Target="media/rId44.svg" /><Relationship Type="http://schemas.openxmlformats.org/officeDocument/2006/relationships/image" Id="rId47" Target="media/rId47.svg" /><Relationship Type="http://schemas.openxmlformats.org/officeDocument/2006/relationships/image" Id="rId20" Target="media/rId20.svg" /><Relationship Type="http://schemas.openxmlformats.org/officeDocument/2006/relationships/image" Id="rId23" Target="media/rId23.svg" /><Relationship Type="http://schemas.openxmlformats.org/officeDocument/2006/relationships/image" Id="rId26" Target="media/rId26.svg" /><Relationship Type="http://schemas.openxmlformats.org/officeDocument/2006/relationships/image" Id="rId29" Target="media/rId29.svg" /><Relationship Type="http://schemas.openxmlformats.org/officeDocument/2006/relationships/image" Id="rId32" Target="media/rId32.svg"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7</Pages>
  <Words>1153</Words>
  <Characters>6574</Characters>
  <Application>Microsoft Office Word</Application>
  <DocSecurity>0</DocSecurity>
  <Lines>54</Lines>
  <Paragraphs>15</Paragraphs>
  <ScaleCrop>false</ScaleCrop>
  <HeadingPairs>
    <vt:vector size="8" baseType="variant">
      <vt:variant>
        <vt:lpstr>Title</vt:lpstr>
      </vt:variant>
      <vt:variant>
        <vt:i4>1</vt:i4>
      </vt:variant>
      <vt:variant>
        <vt:lpstr>Titel</vt:lpstr>
      </vt:variant>
      <vt:variant>
        <vt:i4>1</vt:i4>
      </vt:variant>
      <vt:variant>
        <vt:lpstr>Rubrik</vt:lpstr>
      </vt:variant>
      <vt:variant>
        <vt:i4>1</vt:i4>
      </vt:variant>
      <vt:variant>
        <vt:lpstr>Tittel</vt:lpstr>
      </vt:variant>
      <vt:variant>
        <vt:i4>1</vt:i4>
      </vt:variant>
    </vt:vector>
  </HeadingPairs>
  <TitlesOfParts>
    <vt:vector size="4" baseType="lpstr">
      <vt:lpstr/>
      <vt:lpstr/>
      <vt:lpstr/>
      <vt:lpstr/>
    </vt:vector>
  </TitlesOfParts>
  <Manager/>
  <Company/>
  <LinksUpToDate>false</LinksUpToDate>
  <CharactersWithSpaces>7712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Additional file 5 - Supplementary results related to the EuroSpA RCN spondyloarthritis data for ‘Impact of treatment discontinuation definitions on comparative retention studies: a simulation-based case study in spondyloarthritis’.</dc:title>
  <dc:creator/>
  <cp:keywords/>
  <dcterms:created xsi:type="dcterms:W3CDTF">2024-09-20T13:56:15Z</dcterms:created>
  <dcterms:modified xsi:type="dcterms:W3CDTF">2024-09-20T13:56:15Z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EuroSpA_D7_references.bib</vt:lpwstr>
  </property>
  <property fmtid="{D5CDD505-2E9C-101B-9397-08002B2CF9AE}" pid="3" name="csl">
    <vt:lpwstr>vancouver.csl</vt:lpwstr>
  </property>
  <property fmtid="{D5CDD505-2E9C-101B-9397-08002B2CF9AE}" pid="4" name="output">
    <vt:lpwstr/>
  </property>
</Properties>
</file>