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media/rId3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Additional</w:t>
      </w:r>
      <w:r>
        <w:t xml:space="preserve"> </w:t>
      </w:r>
      <w:r>
        <w:t xml:space="preserve">file</w:t>
      </w:r>
      <w:r>
        <w:t xml:space="preserve"> </w:t>
      </w:r>
      <w:r>
        <w:t xml:space="preserve">1</w:t>
      </w:r>
      <w:r>
        <w:t xml:space="preserve"> </w:t>
      </w:r>
      <w:r>
        <w:t xml:space="preserve">-</w:t>
      </w:r>
      <w:r>
        <w:t xml:space="preserve"> </w:t>
      </w:r>
      <w:r>
        <w:t xml:space="preserve">Supplementary</w:t>
      </w:r>
      <w:r>
        <w:t xml:space="preserve"> </w:t>
      </w:r>
      <w:r>
        <w:t xml:space="preserve">methods</w:t>
      </w:r>
      <w:r>
        <w:t xml:space="preserve"> </w:t>
      </w:r>
      <w:r>
        <w:t xml:space="preserve">for</w:t>
      </w:r>
      <w:r>
        <w:t xml:space="preserve"> </w:t>
      </w:r>
      <w:r>
        <w:t xml:space="preserve">‘</w:t>
      </w:r>
      <w:r>
        <w:t xml:space="preserve">Impact</w:t>
      </w:r>
      <w:r>
        <w:t xml:space="preserve"> </w:t>
      </w:r>
      <w:r>
        <w:t xml:space="preserve">of</w:t>
      </w:r>
      <w:r>
        <w:t xml:space="preserve"> </w:t>
      </w:r>
      <w:r>
        <w:t xml:space="preserve">treatment</w:t>
      </w:r>
      <w:r>
        <w:t xml:space="preserve"> </w:t>
      </w:r>
      <w:r>
        <w:t xml:space="preserve">discontinuation</w:t>
      </w:r>
      <w:r>
        <w:t xml:space="preserve"> </w:t>
      </w:r>
      <w:r>
        <w:t xml:space="preserve">definitions</w:t>
      </w:r>
      <w:r>
        <w:t xml:space="preserve"> </w:t>
      </w:r>
      <w:r>
        <w:t xml:space="preserve">on</w:t>
      </w:r>
      <w:r>
        <w:t xml:space="preserve"> </w:t>
      </w:r>
      <w:r>
        <w:t xml:space="preserve">comparative</w:t>
      </w:r>
      <w:r>
        <w:t xml:space="preserve"> </w:t>
      </w:r>
      <w:r>
        <w:t xml:space="preserve">retention</w:t>
      </w:r>
      <w:r>
        <w:t xml:space="preserve"> </w:t>
      </w:r>
      <w:r>
        <w:t xml:space="preserve">studies:</w:t>
      </w:r>
      <w:r>
        <w:t xml:space="preserve"> </w:t>
      </w:r>
      <w:r>
        <w:t xml:space="preserve">a</w:t>
      </w:r>
      <w:r>
        <w:t xml:space="preserve"> </w:t>
      </w:r>
      <w:r>
        <w:t xml:space="preserve">simulation-based</w:t>
      </w:r>
      <w:r>
        <w:t xml:space="preserve"> </w:t>
      </w:r>
      <w:r>
        <w:t xml:space="preserve">case</w:t>
      </w:r>
      <w:r>
        <w:t xml:space="preserve"> </w:t>
      </w:r>
      <w:r>
        <w:t xml:space="preserve">study</w:t>
      </w:r>
      <w:r>
        <w:t xml:space="preserve"> </w:t>
      </w:r>
      <w:r>
        <w:t xml:space="preserve">in</w:t>
      </w:r>
      <w:r>
        <w:t xml:space="preserve"> </w:t>
      </w:r>
      <w:r>
        <w:t xml:space="preserve">spondyloarthritis</w:t>
      </w:r>
      <w:r>
        <w:t xml:space="preserve">’</w:t>
      </w:r>
      <w:r>
        <w:t xml:space="preserve">.</w:t>
      </w:r>
    </w:p>
    <w:p>
      <w:pPr>
        <w:pStyle w:val="FirstParagraph"/>
      </w:pPr>
    </w:p>
    <w:bookmarkStart w:id="22" w:name="Xe92d72f87961178bcf87503a6dde3c743e492e9"/>
    <w:p>
      <w:pPr>
        <w:pStyle w:val="Heading1"/>
      </w:pPr>
      <w:r>
        <w:t xml:space="preserve">Definition of distributional parameters for simulations</w:t>
      </w:r>
    </w:p>
    <w:bookmarkStart w:id="20" w:name="exponential-distribution"/>
    <w:p>
      <w:pPr>
        <w:pStyle w:val="Heading2"/>
      </w:pPr>
      <w:r>
        <w:t xml:space="preserve">Exponential distribution</w:t>
      </w:r>
    </w:p>
    <w:p>
      <w:pPr>
        <w:pStyle w:val="FirstParagraph"/>
      </w:pPr>
      <w:r>
        <w:t xml:space="preserve">Given that the probability to stay on treatment beyond one year for reference drug A is 80%, i.e.,</w:t>
      </w:r>
    </w:p>
    <w:p>
      <w:pPr>
        <w:pStyle w:val="BodyText"/>
      </w:pPr>
      <m:oMathPara>
        <m:oMathParaPr>
          <m:jc m:val="center"/>
        </m:oMathParaPr>
        <m:oMath>
          <m:r>
            <m:t>P</m:t>
          </m:r>
          <m:d>
            <m:dPr>
              <m:begChr m:val="("/>
              <m:endChr m:val=")"/>
              <m:sepChr m:val=""/>
              <m:grow/>
            </m:dPr>
            <m:e>
              <m:r>
                <m:t>T</m:t>
              </m:r>
              <m:r>
                <m:rPr>
                  <m:sty m:val="p"/>
                </m:rPr>
                <m:t>&gt;</m:t>
              </m:r>
              <m:r>
                <m:t>t</m:t>
              </m:r>
            </m:e>
          </m:d>
          <m:r>
            <m:rPr>
              <m:sty m:val="p"/>
            </m:rPr>
            <m:t>=</m:t>
          </m:r>
          <m:sSup>
            <m:e>
              <m:r>
                <m:t>e</m:t>
              </m:r>
            </m:e>
            <m:sup>
              <m:r>
                <m:rPr>
                  <m:sty m:val="p"/>
                </m:rPr>
                <m:t>−</m:t>
              </m:r>
              <m:sSub>
                <m:e>
                  <m:r>
                    <m:t>λ</m:t>
                  </m:r>
                </m:e>
                <m:sub>
                  <m:r>
                    <m:t>A</m:t>
                  </m:r>
                </m:sub>
              </m:sSub>
              <m:r>
                <m:t>t</m:t>
              </m:r>
            </m:sup>
          </m:sSup>
          <m:r>
            <m:rPr>
              <m:sty m:val="p"/>
            </m:rPr>
            <m:t>=</m:t>
          </m:r>
          <m:r>
            <m:t>0.8</m:t>
          </m:r>
          <m:r>
            <m:rPr>
              <m:sty m:val="p"/>
            </m:rPr>
            <m:t>,</m:t>
          </m:r>
        </m:oMath>
      </m:oMathPara>
    </w:p>
    <w:p>
      <w:pPr>
        <w:pStyle w:val="FirstParagraph"/>
      </w:pPr>
      <w:r>
        <w:t xml:space="preserve">where T stands for the time to the decision to discontinue and t equals one year, the following exponential rate parameter or hazard results for the reference drug A</w:t>
      </w:r>
    </w:p>
    <w:p>
      <w:pPr>
        <w:pStyle w:val="BodyText"/>
      </w:pPr>
      <m:oMathPara>
        <m:oMathParaPr>
          <m:jc m:val="center"/>
        </m:oMathParaPr>
        <m:oMath>
          <m:sSub>
            <m:e>
              <m:r>
                <m:t>λ</m:t>
              </m:r>
            </m:e>
            <m:sub>
              <m:r>
                <m:t>A</m:t>
              </m:r>
            </m:sub>
          </m:sSub>
          <m:r>
            <m:rPr>
              <m:sty m:val="p"/>
            </m:rPr>
            <m:t>=</m:t>
          </m:r>
          <m:r>
            <m:rPr>
              <m:sty m:val="p"/>
            </m:rPr>
            <m:t>−</m:t>
          </m:r>
          <m:f>
            <m:fPr>
              <m:type m:val="bar"/>
            </m:fPr>
            <m:num>
              <m:r>
                <m:rPr>
                  <m:sty m:val="p"/>
                </m:rPr>
                <m:t>ln</m:t>
              </m:r>
              <m:d>
                <m:dPr>
                  <m:begChr m:val="("/>
                  <m:endChr m:val=")"/>
                  <m:sepChr m:val=""/>
                  <m:grow/>
                </m:dPr>
                <m:e>
                  <m:r>
                    <m:t>0.8</m:t>
                  </m:r>
                </m:e>
              </m:d>
            </m:num>
            <m:den>
              <m:r>
                <m:t>t</m:t>
              </m:r>
            </m:den>
          </m:f>
          <m:r>
            <m:rPr>
              <m:sty m:val="p"/>
            </m:rPr>
            <m:t>=</m:t>
          </m:r>
          <m:r>
            <m:rPr>
              <m:sty m:val="p"/>
            </m:rPr>
            <m:t>−</m:t>
          </m:r>
          <m:r>
            <m:rPr>
              <m:sty m:val="p"/>
            </m:rPr>
            <m:t>ln</m:t>
          </m:r>
          <m:d>
            <m:dPr>
              <m:begChr m:val="("/>
              <m:endChr m:val=")"/>
              <m:sepChr m:val=""/>
              <m:grow/>
            </m:dPr>
            <m:e>
              <m:r>
                <m:t>0.8</m:t>
              </m:r>
            </m:e>
          </m:d>
          <m:r>
            <m:rPr>
              <m:sty m:val="p"/>
            </m:rPr>
            <m:t>.</m:t>
          </m:r>
        </m:oMath>
      </m:oMathPara>
    </w:p>
    <w:p>
      <w:pPr>
        <w:pStyle w:val="FirstParagraph"/>
      </w:pPr>
      <w:r>
        <w:t xml:space="preserve">For test drug B, the exponential rate parameter was determined by the proportional hazard ratio (HR) of test drug B versus reference drug A as</w:t>
      </w:r>
    </w:p>
    <w:p>
      <w:pPr>
        <w:pStyle w:val="BodyText"/>
      </w:pPr>
      <m:oMathPara>
        <m:oMathParaPr>
          <m:jc m:val="center"/>
        </m:oMathParaPr>
        <m:oMath>
          <m:sSub>
            <m:e>
              <m:r>
                <m:t>λ</m:t>
              </m:r>
            </m:e>
            <m:sub>
              <m:r>
                <m:t>B</m:t>
              </m:r>
            </m:sub>
          </m:sSub>
          <m:r>
            <m:rPr>
              <m:sty m:val="p"/>
            </m:rPr>
            <m:t>=</m:t>
          </m:r>
          <m:r>
            <m:rPr>
              <m:nor/>
              <m:sty m:val="p"/>
            </m:rPr>
            <m:t>HR</m:t>
          </m:r>
          <m:sSub>
            <m:e>
              <m:r>
                <m:t>λ</m:t>
              </m:r>
            </m:e>
            <m:sub>
              <m:r>
                <m:t>A</m:t>
              </m:r>
            </m:sub>
          </m:sSub>
          <m:r>
            <m:rPr>
              <m:sty m:val="p"/>
            </m:rPr>
            <m:t>.</m:t>
          </m:r>
        </m:oMath>
      </m:oMathPara>
    </w:p>
    <w:p>
      <w:pPr>
        <w:pStyle w:val="FirstParagraph"/>
      </w:pPr>
    </w:p>
    <w:p>
      <w:pPr>
        <w:pStyle w:val="BodyText"/>
      </w:pPr>
      <w:r>
        <w:t xml:space="preserve">We used the R function rexp() to draw the random times to the discontinuation decision, multiplied them with 365 to convert the time from years to days, and rounded it up to the nearest full day.</w:t>
      </w:r>
    </w:p>
    <w:p>
      <w:pPr>
        <w:pStyle w:val="BodyText"/>
      </w:pPr>
    </w:p>
    <w:bookmarkEnd w:id="20"/>
    <w:bookmarkStart w:id="21" w:name="weibull-distribution"/>
    <w:p>
      <w:pPr>
        <w:pStyle w:val="Heading2"/>
      </w:pPr>
      <w:r>
        <w:t xml:space="preserve">Weibull distribution</w:t>
      </w:r>
    </w:p>
    <w:p>
      <w:pPr>
        <w:pStyle w:val="FirstParagraph"/>
      </w:pPr>
      <w:r>
        <w:t xml:space="preserve">Given that for reference dug A the probability to stay on treatment beyond one year is 80% and the median time to the discontinuation decision equals eight years we have two equations and two unknowns,</w:t>
      </w:r>
      <w:r>
        <w:t xml:space="preserve"> </w:t>
      </w:r>
      <m:oMath>
        <m:sSub>
          <m:e>
            <m:r>
              <m:t>λ</m:t>
            </m:r>
          </m:e>
          <m:sub>
            <m:r>
              <m:t>A</m:t>
            </m:r>
          </m:sub>
        </m:sSub>
      </m:oMath>
      <w:r>
        <w:t xml:space="preserve"> </w:t>
      </w:r>
      <w:r>
        <w:t xml:space="preserve">and</w:t>
      </w:r>
      <w:r>
        <w:t xml:space="preserve"> </w:t>
      </w:r>
      <m:oMath>
        <m:sSub>
          <m:e>
            <m:r>
              <m:t>k</m:t>
            </m:r>
          </m:e>
          <m:sub>
            <m:r>
              <m:t>A</m:t>
            </m:r>
          </m:sub>
        </m:sSub>
      </m:oMath>
      <w:r>
        <w:t xml:space="preserve">, the scale and shape parameters of the Weibull distribution:</w:t>
      </w:r>
    </w:p>
    <w:p>
      <w:pPr>
        <w:pStyle w:val="BodyText"/>
      </w:pPr>
      <m:oMathPara>
        <m:oMathParaPr>
          <m:jc m:val="center"/>
        </m:oMathParaPr>
        <m:oMath>
          <m:r>
            <m:t>P</m:t>
          </m:r>
          <m:d>
            <m:dPr>
              <m:begChr m:val="("/>
              <m:endChr m:val=")"/>
              <m:sepChr m:val=""/>
              <m:grow/>
            </m:dPr>
            <m:e>
              <m:r>
                <m:t>T</m:t>
              </m:r>
              <m:r>
                <m:rPr>
                  <m:sty m:val="p"/>
                </m:rPr>
                <m:t>&gt;</m:t>
              </m:r>
              <m:r>
                <m:t>t</m:t>
              </m:r>
            </m:e>
          </m:d>
          <m:r>
            <m:rPr>
              <m:sty m:val="p"/>
            </m:rPr>
            <m:t>=</m:t>
          </m:r>
          <m:sSup>
            <m:e>
              <m:r>
                <m:t>e</m:t>
              </m:r>
            </m:e>
            <m:sup>
              <m:r>
                <m:rPr>
                  <m:sty m:val="p"/>
                </m:rPr>
                <m:t>−</m:t>
              </m:r>
              <m:sSup>
                <m:e>
                  <m:d>
                    <m:dPr>
                      <m:begChr m:val="("/>
                      <m:endChr m:val=")"/>
                      <m:sepChr m:val=""/>
                      <m:grow/>
                    </m:dPr>
                    <m:e>
                      <m:f>
                        <m:fPr>
                          <m:type m:val="bar"/>
                        </m:fPr>
                        <m:num>
                          <m:r>
                            <m:t>t</m:t>
                          </m:r>
                        </m:num>
                        <m:den>
                          <m:sSub>
                            <m:e>
                              <m:r>
                                <m:t>λ</m:t>
                              </m:r>
                            </m:e>
                            <m:sub>
                              <m:r>
                                <m:t>A</m:t>
                              </m:r>
                            </m:sub>
                          </m:sSub>
                        </m:den>
                      </m:f>
                    </m:e>
                  </m:d>
                </m:e>
                <m:sup>
                  <m:sSub>
                    <m:e>
                      <m:r>
                        <m:t>k</m:t>
                      </m:r>
                    </m:e>
                    <m:sub>
                      <m:r>
                        <m:t>A</m:t>
                      </m:r>
                    </m:sub>
                  </m:sSub>
                </m:sup>
              </m:sSup>
            </m:sup>
          </m:sSup>
          <m:r>
            <m:rPr>
              <m:sty m:val="p"/>
            </m:rPr>
            <m:t>=</m:t>
          </m:r>
          <m:r>
            <m:t>0.8</m:t>
          </m:r>
        </m:oMath>
      </m:oMathPara>
    </w:p>
    <w:p>
      <w:pPr>
        <w:pStyle w:val="FirstParagraph"/>
      </w:pPr>
      <m:oMathPara>
        <m:oMathParaPr>
          <m:jc m:val="center"/>
        </m:oMathParaPr>
        <m:oMath>
          <m:r>
            <m:rPr>
              <m:nor/>
              <m:sty m:val="p"/>
            </m:rPr>
            <m:t>Median</m:t>
          </m:r>
          <m:r>
            <m:rPr>
              <m:sty m:val="p"/>
            </m:rPr>
            <m:t>=</m:t>
          </m:r>
          <m:sSub>
            <m:e>
              <m:r>
                <m:t>λ</m:t>
              </m:r>
            </m:e>
            <m:sub>
              <m:r>
                <m:t>A</m:t>
              </m:r>
            </m:sub>
          </m:sSub>
          <m:r>
            <m:rPr>
              <m:sty m:val="p"/>
            </m:rPr>
            <m:t>ln</m:t>
          </m:r>
          <m:sSup>
            <m:e>
              <m:d>
                <m:dPr>
                  <m:begChr m:val="("/>
                  <m:endChr m:val=")"/>
                  <m:sepChr m:val=""/>
                  <m:grow/>
                </m:dPr>
                <m:e>
                  <m:r>
                    <m:t>2</m:t>
                  </m:r>
                </m:e>
              </m:d>
            </m:e>
            <m:sup>
              <m:f>
                <m:fPr>
                  <m:type m:val="bar"/>
                </m:fPr>
                <m:num>
                  <m:r>
                    <m:t>1</m:t>
                  </m:r>
                </m:num>
                <m:den>
                  <m:sSub>
                    <m:e>
                      <m:r>
                        <m:t>k</m:t>
                      </m:r>
                    </m:e>
                    <m:sub>
                      <m:r>
                        <m:t>A</m:t>
                      </m:r>
                    </m:sub>
                  </m:sSub>
                </m:den>
              </m:f>
            </m:sup>
          </m:sSup>
          <m:r>
            <m:rPr>
              <m:sty m:val="p"/>
            </m:rPr>
            <m:t>=</m:t>
          </m:r>
          <m:r>
            <m:t>8</m:t>
          </m:r>
        </m:oMath>
      </m:oMathPara>
    </w:p>
    <w:p>
      <w:pPr>
        <w:pStyle w:val="FirstParagraph"/>
      </w:pPr>
      <w:r>
        <w:t xml:space="preserve">which results in</w:t>
      </w:r>
    </w:p>
    <w:p>
      <w:pPr>
        <w:pStyle w:val="BodyText"/>
      </w:pPr>
      <m:oMathPara>
        <m:oMathParaPr>
          <m:jc m:val="center"/>
        </m:oMathParaPr>
        <m:oMath>
          <m:sSub>
            <m:e>
              <m:r>
                <m:t>λ</m:t>
              </m:r>
            </m:e>
            <m:sub>
              <m:r>
                <m:t>A</m:t>
              </m:r>
            </m:sub>
          </m:sSub>
          <m:r>
            <m:rPr>
              <m:sty m:val="p"/>
            </m:rPr>
            <m:t>=</m:t>
          </m:r>
          <m:f>
            <m:fPr>
              <m:type m:val="bar"/>
            </m:fPr>
            <m:num>
              <m:r>
                <m:t>t</m:t>
              </m:r>
            </m:num>
            <m:den>
              <m:sSup>
                <m:e>
                  <m:d>
                    <m:dPr>
                      <m:begChr m:val="("/>
                      <m:endChr m:val=")"/>
                      <m:sepChr m:val=""/>
                      <m:grow/>
                    </m:dPr>
                    <m:e>
                      <m:r>
                        <m:rPr>
                          <m:sty m:val="p"/>
                        </m:rPr>
                        <m:t>−</m:t>
                      </m:r>
                      <m:r>
                        <m:rPr>
                          <m:sty m:val="p"/>
                        </m:rPr>
                        <m:t>ln</m:t>
                      </m:r>
                      <m:d>
                        <m:dPr>
                          <m:begChr m:val="("/>
                          <m:endChr m:val=")"/>
                          <m:sepChr m:val=""/>
                          <m:grow/>
                        </m:dPr>
                        <m:e>
                          <m:r>
                            <m:t>0.8</m:t>
                          </m:r>
                        </m:e>
                      </m:d>
                    </m:e>
                  </m:d>
                </m:e>
                <m:sup>
                  <m:f>
                    <m:fPr>
                      <m:type m:val="bar"/>
                    </m:fPr>
                    <m:num>
                      <m:r>
                        <m:t>1</m:t>
                      </m:r>
                    </m:num>
                    <m:den>
                      <m:sSub>
                        <m:e>
                          <m:r>
                            <m:t>k</m:t>
                          </m:r>
                        </m:e>
                        <m:sub>
                          <m:r>
                            <m:t>A</m:t>
                          </m:r>
                        </m:sub>
                      </m:sSub>
                    </m:den>
                  </m:f>
                </m:sup>
              </m:sSup>
            </m:den>
          </m:f>
          <m:r>
            <m:rPr>
              <m:sty m:val="p"/>
            </m:rPr>
            <m:t>=</m:t>
          </m:r>
          <m:sSup>
            <m:e>
              <m:d>
                <m:dPr>
                  <m:begChr m:val="("/>
                  <m:endChr m:val=")"/>
                  <m:sepChr m:val=""/>
                  <m:grow/>
                </m:dPr>
                <m:e>
                  <m:r>
                    <m:rPr>
                      <m:sty m:val="p"/>
                    </m:rPr>
                    <m:t>−</m:t>
                  </m:r>
                  <m:r>
                    <m:rPr>
                      <m:sty m:val="p"/>
                    </m:rPr>
                    <m:t>ln</m:t>
                  </m:r>
                  <m:d>
                    <m:dPr>
                      <m:begChr m:val="("/>
                      <m:endChr m:val=")"/>
                      <m:sepChr m:val=""/>
                      <m:grow/>
                    </m:dPr>
                    <m:e>
                      <m:r>
                        <m:t>0.8</m:t>
                      </m:r>
                    </m:e>
                  </m:d>
                </m:e>
              </m:d>
            </m:e>
            <m:sup>
              <m:r>
                <m:rPr>
                  <m:sty m:val="p"/>
                </m:rPr>
                <m:t>−</m:t>
              </m:r>
              <m:f>
                <m:fPr>
                  <m:type m:val="bar"/>
                </m:fPr>
                <m:num>
                  <m:r>
                    <m:t>1</m:t>
                  </m:r>
                </m:num>
                <m:den>
                  <m:sSub>
                    <m:e>
                      <m:r>
                        <m:t>k</m:t>
                      </m:r>
                    </m:e>
                    <m:sub>
                      <m:r>
                        <m:t>A</m:t>
                      </m:r>
                    </m:sub>
                  </m:sSub>
                </m:den>
              </m:f>
            </m:sup>
          </m:sSup>
        </m:oMath>
      </m:oMathPara>
    </w:p>
    <w:p>
      <w:pPr>
        <w:pStyle w:val="FirstParagraph"/>
      </w:pPr>
      <m:oMathPara>
        <m:oMathParaPr>
          <m:jc m:val="center"/>
        </m:oMathParaPr>
        <m:oMath>
          <m:sSub>
            <m:e>
              <m:r>
                <m:t>k</m:t>
              </m:r>
            </m:e>
            <m:sub>
              <m:r>
                <m:t>A</m:t>
              </m:r>
            </m:sub>
          </m:sSub>
          <m:r>
            <m:rPr>
              <m:sty m:val="p"/>
            </m:rPr>
            <m:t>=</m:t>
          </m:r>
          <m:f>
            <m:fPr>
              <m:type m:val="bar"/>
            </m:fPr>
            <m:num>
              <m:r>
                <m:rPr>
                  <m:sty m:val="p"/>
                </m:rPr>
                <m:t>ln</m:t>
              </m:r>
              <m:d>
                <m:dPr>
                  <m:begChr m:val="("/>
                  <m:endChr m:val=")"/>
                  <m:sepChr m:val=""/>
                  <m:grow/>
                </m:dPr>
                <m:e>
                  <m:r>
                    <m:rPr>
                      <m:sty m:val="p"/>
                    </m:rPr>
                    <m:t>ln</m:t>
                  </m:r>
                  <m:d>
                    <m:dPr>
                      <m:begChr m:val="("/>
                      <m:endChr m:val=")"/>
                      <m:sepChr m:val=""/>
                      <m:grow/>
                    </m:dPr>
                    <m:e>
                      <m:r>
                        <m:t>2</m:t>
                      </m:r>
                    </m:e>
                  </m:d>
                </m:e>
              </m:d>
              <m:r>
                <m:rPr>
                  <m:sty m:val="p"/>
                </m:rPr>
                <m:t>−</m:t>
              </m:r>
              <m:r>
                <m:rPr>
                  <m:sty m:val="p"/>
                </m:rPr>
                <m:t>ln</m:t>
              </m:r>
              <m:d>
                <m:dPr>
                  <m:begChr m:val="("/>
                  <m:endChr m:val=")"/>
                  <m:sepChr m:val=""/>
                  <m:grow/>
                </m:dPr>
                <m:e>
                  <m:r>
                    <m:rPr>
                      <m:sty m:val="p"/>
                    </m:rPr>
                    <m:t>−</m:t>
                  </m:r>
                  <m:r>
                    <m:rPr>
                      <m:sty m:val="p"/>
                    </m:rPr>
                    <m:t>ln</m:t>
                  </m:r>
                  <m:d>
                    <m:dPr>
                      <m:begChr m:val="("/>
                      <m:endChr m:val=")"/>
                      <m:sepChr m:val=""/>
                      <m:grow/>
                    </m:dPr>
                    <m:e>
                      <m:r>
                        <m:t>0.8</m:t>
                      </m:r>
                    </m:e>
                  </m:d>
                </m:e>
              </m:d>
            </m:num>
            <m:den>
              <m:r>
                <m:rPr>
                  <m:sty m:val="p"/>
                </m:rPr>
                <m:t>ln</m:t>
              </m:r>
              <m:d>
                <m:dPr>
                  <m:begChr m:val="("/>
                  <m:endChr m:val=")"/>
                  <m:sepChr m:val=""/>
                  <m:grow/>
                </m:dPr>
                <m:e>
                  <m:r>
                    <m:t>8</m:t>
                  </m:r>
                </m:e>
              </m:d>
            </m:den>
          </m:f>
        </m:oMath>
      </m:oMathPara>
    </w:p>
    <w:p>
      <w:pPr>
        <w:pStyle w:val="FirstParagraph"/>
      </w:pPr>
      <w:r>
        <w:t xml:space="preserve">for reference drug A.</w:t>
      </w:r>
    </w:p>
    <w:p>
      <w:pPr>
        <w:pStyle w:val="BodyText"/>
      </w:pPr>
    </w:p>
    <w:p>
      <w:pPr>
        <w:pStyle w:val="BodyText"/>
      </w:pPr>
      <w:r>
        <w:t xml:space="preserve">For test drug B, the shape parameter</w:t>
      </w:r>
      <w:r>
        <w:t xml:space="preserve"> </w:t>
      </w:r>
      <m:oMath>
        <m:sSub>
          <m:e>
            <m:r>
              <m:t>k</m:t>
            </m:r>
          </m:e>
          <m:sub>
            <m:r>
              <m:t>B</m:t>
            </m:r>
          </m:sub>
        </m:sSub>
      </m:oMath>
      <w:r>
        <w:t xml:space="preserve"> </w:t>
      </w:r>
      <w:r>
        <w:t xml:space="preserve">was kept equal to</w:t>
      </w:r>
      <w:r>
        <w:t xml:space="preserve"> </w:t>
      </w:r>
      <m:oMath>
        <m:sSub>
          <m:e>
            <m:r>
              <m:t>k</m:t>
            </m:r>
          </m:e>
          <m:sub>
            <m:r>
              <m:t>A</m:t>
            </m:r>
          </m:sub>
        </m:sSub>
      </m:oMath>
      <w:r>
        <w:t xml:space="preserve"> </w:t>
      </w:r>
      <w:r>
        <w:t xml:space="preserve">and the scale parameter</w:t>
      </w:r>
      <w:r>
        <w:t xml:space="preserve"> </w:t>
      </w:r>
      <m:oMath>
        <m:sSub>
          <m:e>
            <m:r>
              <m:t>λ</m:t>
            </m:r>
          </m:e>
          <m:sub>
            <m:r>
              <m:t>B</m:t>
            </m:r>
          </m:sub>
        </m:sSub>
      </m:oMath>
      <w:r>
        <w:t xml:space="preserve"> </w:t>
      </w:r>
      <w:r>
        <w:t xml:space="preserve">was determined by the proportional HR of test drug B versus reference drug A as follows:</w:t>
      </w:r>
    </w:p>
    <w:p>
      <w:pPr>
        <w:pStyle w:val="BodyText"/>
      </w:pPr>
      <m:oMathPara>
        <m:oMathParaPr>
          <m:jc m:val="center"/>
        </m:oMathParaPr>
        <m:oMath>
          <m:r>
            <m:rPr>
              <m:nor/>
              <m:sty m:val="p"/>
            </m:rPr>
            <m:t>HR</m:t>
          </m:r>
          <m:r>
            <m:rPr>
              <m:sty m:val="p"/>
            </m:rPr>
            <m:t>=</m:t>
          </m:r>
          <m:f>
            <m:fPr>
              <m:type m:val="bar"/>
            </m:fPr>
            <m:num>
              <m:f>
                <m:fPr>
                  <m:type m:val="bar"/>
                </m:fPr>
                <m:num>
                  <m:sSub>
                    <m:e>
                      <m:r>
                        <m:t>k</m:t>
                      </m:r>
                    </m:e>
                    <m:sub>
                      <m:r>
                        <m:t>A</m:t>
                      </m:r>
                    </m:sub>
                  </m:sSub>
                  <m:sSup>
                    <m:e>
                      <m:r>
                        <m:t>t</m:t>
                      </m:r>
                    </m:e>
                    <m:sup>
                      <m:sSub>
                        <m:e>
                          <m:r>
                            <m:t>k</m:t>
                          </m:r>
                        </m:e>
                        <m:sub>
                          <m:r>
                            <m:t>A</m:t>
                          </m:r>
                        </m:sub>
                      </m:sSub>
                      <m:r>
                        <m:rPr>
                          <m:sty m:val="p"/>
                        </m:rPr>
                        <m:t>−</m:t>
                      </m:r>
                      <m:r>
                        <m:t>1</m:t>
                      </m:r>
                    </m:sup>
                  </m:sSup>
                </m:num>
                <m:den>
                  <m:sSubSup>
                    <m:e>
                      <m:r>
                        <m:t>λ</m:t>
                      </m:r>
                    </m:e>
                    <m:sub>
                      <m:r>
                        <m:t>B</m:t>
                      </m:r>
                    </m:sub>
                    <m:sup>
                      <m:sSub>
                        <m:e>
                          <m:r>
                            <m:t>k</m:t>
                          </m:r>
                        </m:e>
                        <m:sub>
                          <m:r>
                            <m:t>A</m:t>
                          </m:r>
                        </m:sub>
                      </m:sSub>
                    </m:sup>
                  </m:sSubSup>
                </m:den>
              </m:f>
            </m:num>
            <m:den>
              <m:f>
                <m:fPr>
                  <m:type m:val="bar"/>
                </m:fPr>
                <m:num>
                  <m:sSub>
                    <m:e>
                      <m:r>
                        <m:t>k</m:t>
                      </m:r>
                    </m:e>
                    <m:sub>
                      <m:r>
                        <m:t>A</m:t>
                      </m:r>
                    </m:sub>
                  </m:sSub>
                  <m:sSup>
                    <m:e>
                      <m:r>
                        <m:t>t</m:t>
                      </m:r>
                    </m:e>
                    <m:sup>
                      <m:sSub>
                        <m:e>
                          <m:r>
                            <m:t>k</m:t>
                          </m:r>
                        </m:e>
                        <m:sub>
                          <m:r>
                            <m:t>A</m:t>
                          </m:r>
                        </m:sub>
                      </m:sSub>
                      <m:r>
                        <m:rPr>
                          <m:sty m:val="p"/>
                        </m:rPr>
                        <m:t>−</m:t>
                      </m:r>
                      <m:r>
                        <m:t>1</m:t>
                      </m:r>
                    </m:sup>
                  </m:sSup>
                </m:num>
                <m:den>
                  <m:sSubSup>
                    <m:e>
                      <m:r>
                        <m:t>λ</m:t>
                      </m:r>
                    </m:e>
                    <m:sub>
                      <m:r>
                        <m:t>A</m:t>
                      </m:r>
                    </m:sub>
                    <m:sup>
                      <m:sSub>
                        <m:e>
                          <m:r>
                            <m:t>k</m:t>
                          </m:r>
                        </m:e>
                        <m:sub>
                          <m:r>
                            <m:t>A</m:t>
                          </m:r>
                        </m:sub>
                      </m:sSub>
                    </m:sup>
                  </m:sSubSup>
                </m:den>
              </m:f>
            </m:den>
          </m:f>
          <m:r>
            <m:rPr>
              <m:sty m:val="p"/>
            </m:rPr>
            <m:t>=</m:t>
          </m:r>
          <m:sSup>
            <m:e>
              <m:d>
                <m:dPr>
                  <m:begChr m:val="("/>
                  <m:endChr m:val=")"/>
                  <m:sepChr m:val=""/>
                  <m:grow/>
                </m:dPr>
                <m:e>
                  <m:f>
                    <m:fPr>
                      <m:type m:val="bar"/>
                    </m:fPr>
                    <m:num>
                      <m:sSub>
                        <m:e>
                          <m:r>
                            <m:t>λ</m:t>
                          </m:r>
                        </m:e>
                        <m:sub>
                          <m:r>
                            <m:t>A</m:t>
                          </m:r>
                        </m:sub>
                      </m:sSub>
                    </m:num>
                    <m:den>
                      <m:sSub>
                        <m:e>
                          <m:r>
                            <m:t>λ</m:t>
                          </m:r>
                        </m:e>
                        <m:sub>
                          <m:r>
                            <m:t>B</m:t>
                          </m:r>
                        </m:sub>
                      </m:sSub>
                    </m:den>
                  </m:f>
                </m:e>
              </m:d>
            </m:e>
            <m:sup>
              <m:sSub>
                <m:e>
                  <m:r>
                    <m:t>k</m:t>
                  </m:r>
                </m:e>
                <m:sub>
                  <m:r>
                    <m:t>A</m:t>
                  </m:r>
                </m:sub>
              </m:sSub>
            </m:sup>
          </m:sSup>
        </m:oMath>
      </m:oMathPara>
    </w:p>
    <w:p>
      <w:pPr>
        <w:pStyle w:val="FirstParagraph"/>
      </w:pPr>
      <m:oMathPara>
        <m:oMathParaPr>
          <m:jc m:val="center"/>
        </m:oMathParaPr>
        <m:oMath>
          <m:sSub>
            <m:e>
              <m:r>
                <m:t>λ</m:t>
              </m:r>
            </m:e>
            <m:sub>
              <m:r>
                <m:t>B</m:t>
              </m:r>
            </m:sub>
          </m:sSub>
          <m:r>
            <m:rPr>
              <m:sty m:val="p"/>
            </m:rPr>
            <m:t>=</m:t>
          </m:r>
          <m:f>
            <m:fPr>
              <m:type m:val="bar"/>
            </m:fPr>
            <m:num>
              <m:sSub>
                <m:e>
                  <m:r>
                    <m:t>λ</m:t>
                  </m:r>
                </m:e>
                <m:sub>
                  <m:r>
                    <m:t>A</m:t>
                  </m:r>
                </m:sub>
              </m:sSub>
            </m:num>
            <m:den>
              <m:sSup>
                <m:e>
                  <m:r>
                    <m:rPr>
                      <m:nor/>
                      <m:sty m:val="p"/>
                    </m:rPr>
                    <m:t>HR</m:t>
                  </m:r>
                </m:e>
                <m:sup>
                  <m:f>
                    <m:fPr>
                      <m:type m:val="bar"/>
                    </m:fPr>
                    <m:num>
                      <m:r>
                        <m:t>1</m:t>
                      </m:r>
                    </m:num>
                    <m:den>
                      <m:sSub>
                        <m:e>
                          <m:r>
                            <m:t>k</m:t>
                          </m:r>
                        </m:e>
                        <m:sub>
                          <m:r>
                            <m:t>A</m:t>
                          </m:r>
                        </m:sub>
                      </m:sSub>
                    </m:den>
                  </m:f>
                </m:sup>
              </m:sSup>
            </m:den>
          </m:f>
        </m:oMath>
      </m:oMathPara>
    </w:p>
    <w:p>
      <w:pPr>
        <w:pStyle w:val="FirstParagraph"/>
      </w:pPr>
    </w:p>
    <w:p>
      <w:pPr>
        <w:pStyle w:val="BodyText"/>
      </w:pPr>
      <w:r>
        <w:t xml:space="preserve">We used the R function rweibull() to draw the random times to the discontinuation decision, multiplied them with 365 to convert the time from years to days, and rounded it up to the nearest full day.</w:t>
      </w:r>
    </w:p>
    <w:p>
      <w:pPr>
        <w:pStyle w:val="BodyText"/>
      </w:pPr>
    </w:p>
    <w:bookmarkEnd w:id="21"/>
    <w:bookmarkEnd w:id="22"/>
    <w:bookmarkStart w:id="23" w:name="Xfc5bab6ca31e6a703d3933ba8842e1c0acc463a"/>
    <w:p>
      <w:pPr>
        <w:pStyle w:val="Heading1"/>
      </w:pPr>
      <w:r>
        <w:t xml:space="preserve">Derivation of last dose received and first dose missed</w:t>
      </w:r>
    </w:p>
    <w:p>
      <w:pPr>
        <w:pStyle w:val="FirstParagraph"/>
      </w:pPr>
      <w:r>
        <w:t xml:space="preserve">The time to the last dose received (LDR) and the time to the first dose missed (FDM) were derived from the time to discontinuation decision (DD) as follows:</w:t>
      </w:r>
    </w:p>
    <w:p>
      <w:pPr>
        <w:pStyle w:val="BodyText"/>
      </w:pPr>
    </w:p>
    <w:p>
      <w:pPr>
        <w:pStyle w:val="BodyText"/>
      </w:pPr>
      <w:r>
        <w:t xml:space="preserve">Time to LDR:</w:t>
      </w:r>
    </w:p>
    <w:p>
      <w:pPr>
        <w:pStyle w:val="BodyText"/>
      </w:pPr>
      <m:oMathPara>
        <m:oMathParaPr>
          <m:jc m:val="center"/>
        </m:oMathParaPr>
        <m:oMath>
          <m:sSub>
            <m:e>
              <m:r>
                <m:t>T</m:t>
              </m:r>
            </m:e>
            <m:sub>
              <m:r>
                <m:rPr>
                  <m:nor/>
                  <m:sty m:val="p"/>
                </m:rPr>
                <m:t>LDR</m:t>
              </m:r>
            </m:sub>
          </m:sSub>
          <m:r>
            <m:rPr>
              <m:sty m:val="p"/>
            </m:rPr>
            <m:t>=</m:t>
          </m:r>
          <m:r>
            <m:t>d</m:t>
          </m:r>
          <m:r>
            <m:rPr>
              <m:sty m:val="p"/>
            </m:rPr>
            <m:t>⌊</m:t>
          </m:r>
          <m:sSub>
            <m:e>
              <m:r>
                <m:t>T</m:t>
              </m:r>
            </m:e>
            <m:sub>
              <m:r>
                <m:rPr>
                  <m:nor/>
                  <m:sty m:val="p"/>
                </m:rPr>
                <m:t>DD</m:t>
              </m:r>
            </m:sub>
          </m:sSub>
          <m:r>
            <m:rPr>
              <m:sty m:val="p"/>
            </m:rPr>
            <m:t>/</m:t>
          </m:r>
          <m:r>
            <m:t>d</m:t>
          </m:r>
          <m:r>
            <m:rPr>
              <m:sty m:val="p"/>
            </m:rPr>
            <m:t>⌋</m:t>
          </m:r>
        </m:oMath>
      </m:oMathPara>
    </w:p>
    <w:p>
      <w:pPr>
        <w:pStyle w:val="FirstParagraph"/>
      </w:pPr>
    </w:p>
    <w:p>
      <w:pPr>
        <w:pStyle w:val="BodyText"/>
      </w:pPr>
      <w:r>
        <w:t xml:space="preserve">Time to first dose missed:</w:t>
      </w:r>
    </w:p>
    <w:p>
      <w:pPr>
        <w:pStyle w:val="BodyText"/>
      </w:pPr>
      <m:oMathPara>
        <m:oMathParaPr>
          <m:jc m:val="center"/>
        </m:oMathParaPr>
        <m:oMath>
          <m:sSub>
            <m:e>
              <m:r>
                <m:t>T</m:t>
              </m:r>
            </m:e>
            <m:sub>
              <m:r>
                <m:rPr>
                  <m:nor/>
                  <m:sty m:val="p"/>
                </m:rPr>
                <m:t>FDM</m:t>
              </m:r>
            </m:sub>
          </m:sSub>
          <m:r>
            <m:rPr>
              <m:sty m:val="p"/>
            </m:rPr>
            <m:t>=</m:t>
          </m:r>
          <m:sSub>
            <m:e>
              <m:r>
                <m:t>T</m:t>
              </m:r>
            </m:e>
            <m:sub>
              <m:r>
                <m:rPr>
                  <m:nor/>
                  <m:sty m:val="p"/>
                </m:rPr>
                <m:t>LDR</m:t>
              </m:r>
            </m:sub>
          </m:sSub>
          <m:r>
            <m:rPr>
              <m:sty m:val="p"/>
            </m:rPr>
            <m:t>+</m:t>
          </m:r>
          <m:r>
            <m:t>d</m:t>
          </m:r>
        </m:oMath>
      </m:oMathPara>
    </w:p>
    <w:p>
      <w:pPr>
        <w:pStyle w:val="FirstParagraph"/>
      </w:pPr>
      <w:r>
        <w:t xml:space="preserve">where</w:t>
      </w:r>
      <w:r>
        <w:t xml:space="preserve"> </w:t>
      </w:r>
      <m:oMath>
        <m:r>
          <m:t>T</m:t>
        </m:r>
      </m:oMath>
      <w:r>
        <w:t xml:space="preserve"> </w:t>
      </w:r>
      <w:r>
        <w:t xml:space="preserve">and</w:t>
      </w:r>
      <w:r>
        <w:t xml:space="preserve"> </w:t>
      </w:r>
      <m:oMath>
        <m:r>
          <m:t>d</m:t>
        </m:r>
      </m:oMath>
      <w:r>
        <w:t xml:space="preserve"> </w:t>
      </w:r>
      <w:r>
        <w:t xml:space="preserve">stand for the time and the dosing interval in days, respectively.</w:t>
      </w:r>
    </w:p>
    <w:p>
      <w:pPr>
        <w:pStyle w:val="BodyText"/>
      </w:pPr>
    </w:p>
    <w:bookmarkEnd w:id="23"/>
    <w:bookmarkStart w:id="31" w:name="performance-measures-morris2019"/>
    <w:p>
      <w:pPr>
        <w:pStyle w:val="Heading1"/>
      </w:pPr>
      <w:r>
        <w:t xml:space="preserve">Performance measures</w:t>
      </w:r>
      <w:r>
        <w:t xml:space="preserve"> </w:t>
      </w:r>
      <w:r>
        <w:t xml:space="preserve">(1)</w:t>
      </w:r>
    </w:p>
    <w:bookmarkStart w:id="24" w:name="bias"/>
    <w:p>
      <w:pPr>
        <w:pStyle w:val="Heading2"/>
      </w:pPr>
      <w:r>
        <w:t xml:space="preserve">Bias:</w:t>
      </w:r>
    </w:p>
    <w:p>
      <w:pPr>
        <w:pStyle w:val="FirstParagraph"/>
      </w:pPr>
      <w:r>
        <w:t xml:space="preserve">The difference between the expected estimate and the estimand value. The expected estimate is estimated as the sample arithmetic mean of the 2000 estimates delivered by the simulation.</w:t>
      </w:r>
    </w:p>
    <w:bookmarkEnd w:id="24"/>
    <w:bookmarkStart w:id="25" w:name="empirical-variance"/>
    <w:p>
      <w:pPr>
        <w:pStyle w:val="Heading2"/>
      </w:pPr>
      <w:r>
        <w:t xml:space="preserve">Empirical variance:</w:t>
      </w:r>
    </w:p>
    <w:p>
      <w:pPr>
        <w:pStyle w:val="FirstParagraph"/>
      </w:pPr>
      <w:r>
        <w:t xml:space="preserve">The variance of the distribution of the estimate. It is estimated as the sample variance of the 2000 estimates delivered by the simulation.</w:t>
      </w:r>
    </w:p>
    <w:bookmarkEnd w:id="25"/>
    <w:bookmarkStart w:id="26" w:name="average-model-based-variance"/>
    <w:p>
      <w:pPr>
        <w:pStyle w:val="Heading2"/>
      </w:pPr>
      <w:r>
        <w:t xml:space="preserve">Average model-based variance:</w:t>
      </w:r>
    </w:p>
    <w:p>
      <w:pPr>
        <w:pStyle w:val="FirstParagraph"/>
      </w:pPr>
      <w:r>
        <w:t xml:space="preserve">The variance of the distribution of the estimate. It is estimated as the sample arithmetic mean of the 2000 sample variances delivered by the simulation.</w:t>
      </w:r>
    </w:p>
    <w:bookmarkEnd w:id="26"/>
    <w:bookmarkStart w:id="27" w:name="X3f0566755e5b308d77eb41c787a93d8bb46867e"/>
    <w:p>
      <w:pPr>
        <w:pStyle w:val="Heading2"/>
      </w:pPr>
      <w:r>
        <w:t xml:space="preserve">Percent relative error of model-based variance estimation:</w:t>
      </w:r>
    </w:p>
    <w:p>
      <w:pPr>
        <w:pStyle w:val="FirstParagraph"/>
      </w:pPr>
      <w:r>
        <w:t xml:space="preserve">The difference of the square root of the average model-based variance and the square root of the empirical variance with respect to the square root of the empirical variance. A difference indicates problems with the model-based variance estimation. Negative values indicate underestimation and positive values overestimation of the variance of the estimate by the model-based variance estimation.</w:t>
      </w:r>
    </w:p>
    <w:bookmarkEnd w:id="27"/>
    <w:bookmarkStart w:id="28" w:name="Xd51a5072bb65f3dc97ad53c76d7cb1f6e8d94e4"/>
    <w:p>
      <w:pPr>
        <w:pStyle w:val="Heading2"/>
      </w:pPr>
      <w:r>
        <w:t xml:space="preserve">Percent precision gain of a test versus a reference method:</w:t>
      </w:r>
    </w:p>
    <w:p>
      <w:pPr>
        <w:pStyle w:val="FirstParagraph"/>
      </w:pPr>
      <w:r>
        <w:t xml:space="preserve">The difference of the reference method’s and the test method’s empirical variances versus the test method’s empirical variance. Positive values indicate a gain and negative values a loss in precision of the test method compared to the reference method.</w:t>
      </w:r>
    </w:p>
    <w:bookmarkEnd w:id="28"/>
    <w:bookmarkStart w:id="29" w:name="coverage"/>
    <w:p>
      <w:pPr>
        <w:pStyle w:val="Heading2"/>
      </w:pPr>
      <w:r>
        <w:t xml:space="preserve">Coverage:</w:t>
      </w:r>
    </w:p>
    <w:p>
      <w:pPr>
        <w:pStyle w:val="FirstParagraph"/>
      </w:pPr>
      <w:r>
        <w:t xml:space="preserve">The probability that the two-sided 95% Wald-type confidence interval (CI) covers the estimand value. Should be 95%. If not, there is a problem with bias or model-based variance estimation or the use of the Wald-type CI.</w:t>
      </w:r>
      <w:r>
        <w:t xml:space="preserve"> </w:t>
      </w:r>
      <w:r>
        <w:t xml:space="preserve">Estimated as the proportion of the 2000 two-sided 95% Wald-type CIs delivered by the simulation that cover the estimand value. Of note, in other cases, the CI could be one-sided, of a different level, or of a type other than Wald.</w:t>
      </w:r>
    </w:p>
    <w:bookmarkEnd w:id="29"/>
    <w:bookmarkStart w:id="30" w:name="type-i-error-or-power"/>
    <w:p>
      <w:pPr>
        <w:pStyle w:val="Heading2"/>
      </w:pPr>
      <w:r>
        <w:t xml:space="preserve">Type I error or power:</w:t>
      </w:r>
    </w:p>
    <w:p>
      <w:pPr>
        <w:pStyle w:val="FirstParagraph"/>
      </w:pPr>
      <w:r>
        <w:t xml:space="preserve">The probability to wrongly or correctly reject the null hypothesis of no difference. The type I error should be equal to the nominal significance level (here 5%), whereas the power is satisfactory if it is at least 80%.</w:t>
      </w:r>
    </w:p>
    <w:p>
      <w:pPr>
        <w:pStyle w:val="BodyText"/>
      </w:pPr>
    </w:p>
    <w:bookmarkEnd w:id="30"/>
    <w:bookmarkEnd w:id="31"/>
    <w:bookmarkStart w:id="32" w:name="Xbd63d90d9e8c95716c03bc8200590a5dfda2984"/>
    <w:p>
      <w:pPr>
        <w:pStyle w:val="Heading1"/>
      </w:pPr>
      <w:r>
        <w:t xml:space="preserve">Linear transformation models</w:t>
      </w:r>
      <w:r>
        <w:t xml:space="preserve"> </w:t>
      </w:r>
      <w:r>
        <w:t xml:space="preserve">(2)</w:t>
      </w:r>
      <w:r>
        <w:t xml:space="preserve">,</w:t>
      </w:r>
      <w:r>
        <w:t xml:space="preserve"> </w:t>
      </w:r>
      <w:r>
        <w:t xml:space="preserve">(3)</w:t>
      </w:r>
    </w:p>
    <w:p>
      <w:pPr>
        <w:pStyle w:val="FirstParagraph"/>
      </w:pPr>
      <w:r>
        <w:t xml:space="preserve">Transformation models are a class of likelihood-based models that encompass a variety of known regression techniques and allow to deal with any type of random censoring. Among others, a linear model of the natural log-transformed (cumulative) hazard can be specified as a fully parameterised linear transformation model with coefficients corresponding to natural log-transformed hazard ratios.</w:t>
      </w:r>
    </w:p>
    <w:p>
      <w:pPr>
        <w:pStyle w:val="BodyText"/>
      </w:pPr>
    </w:p>
    <w:p>
      <w:pPr>
        <w:pStyle w:val="BodyText"/>
      </w:pPr>
      <w:r>
        <w:t xml:space="preserve">Instead of directly modeling the conditional distribution of a target variable Y given a set of covariates X, Y is transformed into a random variable Z with a specific desired distribution. The transformation consists of two parts: a baseline transformation function that describes the transformation of Y for the reference state of covariates X and a shift term linear in X that captures the change in the distribution of Y resulting from changes in X. Commonly chosen distributions for Z are the standard normal, the standard logistic, or the standard minimum extreme value distribution. The choice of transformation for Y depends on how we want to capture the effects of X on the distribution of Y. If we believe that the effects can be described as constant multiplicative changes in the hazard function of Y, then Z is chosen to follow a standard minimum extreme value distribution. In absence of an assumption about the conditional distribution of Y given X the transformation function is estimated using Bernstein polynomials along with the coefficients of the linear shift term based on maximum likelihood.</w:t>
      </w:r>
    </w:p>
    <w:p>
      <w:pPr>
        <w:pStyle w:val="BodyText"/>
      </w:pPr>
    </w:p>
    <w:bookmarkEnd w:id="32"/>
    <w:bookmarkStart w:id="36" w:name="data-generating-causal-structure"/>
    <w:p>
      <w:pPr>
        <w:pStyle w:val="Heading1"/>
      </w:pPr>
      <w:r>
        <w:t xml:space="preserve">Data-generating causal structure</w:t>
      </w:r>
    </w:p>
    <w:p>
      <w:pPr>
        <w:pStyle w:val="FirstParagraph"/>
      </w:pPr>
      <w:r>
        <w:rPr>
          <w:bCs/>
          <w:b/>
        </w:rPr>
        <w:t xml:space="preserve">Figure S1:</w:t>
      </w:r>
      <w:r>
        <w:t xml:space="preserve"> </w:t>
      </w:r>
      <w:r>
        <w:t xml:space="preserve">Data-generating causal structure as directed acyclic graph (DAG). X stands for treatment, Y for the time to the decision to discontinue, Z for the time to the last dose received (or first dose missed), D for the dosing interval, and S for a variable like biological sex. Arrows between variables depict cause-effect relationships. Z is defined exclusively by Y and D. The DAG reflects a random allocation of treatments as there are no arrows pointing to X. The cause-effect relationship of interest is between X and Y (bold). The marginal association between X and Z is defined by the paths from X over Y to Z and from X over D to Z. In contrast to the association of X and Y, the association of X and Z depends on whether or not and how the treatments differ with respect to the dosing interval. When conditioning on D (i.e., assuming that the treatments have the same dosing interval) the association between X and Z reflects only the path from X over Y to Z. Generally, a conditional association between X and Z given D would not equal the association between X and Y. However, due to the way Z is calculated from Y and D, the conditional association (in terms of the HR) between X and Z given D seems equal to the association between X and Y</w:t>
      </w:r>
      <w:r>
        <w:t xml:space="preserve"> </w:t>
      </w:r>
      <w:r>
        <w:t xml:space="preserve">(4, discretising a continuous time-to-event variable and analysing it with a Cox proportional hazards model with appropriate correction for tied event times)</w:t>
      </w:r>
      <w:r>
        <w:t xml:space="preserve">. On the other hand, S (or any other variable like age at treatment start for example) impacts Z only through its impact on Y. Again, due to the way Z is calculated from Y and D, the association between S and Z should be equal to the association between S and Y. For the simulation, the arrow between S and Y was actually removed and S not considered.</w:t>
      </w:r>
    </w:p>
    <w:p>
      <w:pPr>
        <w:pStyle w:val="BodyText"/>
      </w:pPr>
      <w:r>
        <w:drawing>
          <wp:inline>
            <wp:extent cx="4228332" cy="2442491"/>
            <wp:effectExtent b="0" l="0" r="0" t="0"/>
            <wp:docPr descr="" title="" id="34" name="Picture"/>
            <a:graphic>
              <a:graphicData uri="http://schemas.openxmlformats.org/drawingml/2006/picture">
                <pic:pic>
                  <pic:nvPicPr>
                    <pic:cNvPr descr="data_generating_DAG_1.png" id="35" name="Picture"/>
                    <pic:cNvPicPr>
                      <a:picLocks noChangeArrowheads="1" noChangeAspect="1"/>
                    </pic:cNvPicPr>
                  </pic:nvPicPr>
                  <pic:blipFill>
                    <a:blip r:embed="rId33"/>
                    <a:stretch>
                      <a:fillRect/>
                    </a:stretch>
                  </pic:blipFill>
                  <pic:spPr bwMode="auto">
                    <a:xfrm>
                      <a:off x="0" y="0"/>
                      <a:ext cx="4228332" cy="2442491"/>
                    </a:xfrm>
                    <a:prstGeom prst="rect">
                      <a:avLst/>
                    </a:prstGeom>
                    <a:noFill/>
                    <a:ln w="9525">
                      <a:noFill/>
                      <a:headEnd/>
                      <a:tailEnd/>
                    </a:ln>
                  </pic:spPr>
                </pic:pic>
              </a:graphicData>
            </a:graphic>
          </wp:inline>
        </w:drawing>
      </w:r>
    </w:p>
    <w:p>
      <w:pPr>
        <w:pStyle w:val="BodyText"/>
      </w:pPr>
    </w:p>
    <w:bookmarkEnd w:id="36"/>
    <w:bookmarkStart w:id="45" w:name="references"/>
    <w:p>
      <w:pPr>
        <w:pStyle w:val="Heading1"/>
      </w:pPr>
      <w:r>
        <w:t xml:space="preserve">REFERENCES</w:t>
      </w:r>
    </w:p>
    <w:bookmarkStart w:id="44" w:name="refs"/>
    <w:bookmarkStart w:id="38" w:name="ref-Morris2019"/>
    <w:p>
      <w:pPr>
        <w:pStyle w:val="Bibliography"/>
      </w:pPr>
      <w:r>
        <w:t xml:space="preserve">1.</w:t>
      </w:r>
      <w:r>
        <w:t xml:space="preserve"> </w:t>
      </w:r>
      <w:r>
        <w:t xml:space="preserve">	</w:t>
      </w:r>
      <w:r>
        <w:t xml:space="preserve">Morris TP, White IR, Crowther MJ.</w:t>
      </w:r>
      <w:r>
        <w:t xml:space="preserve"> </w:t>
      </w:r>
      <w:r>
        <w:t xml:space="preserve">Using simulation studies to evaluate statistical methods</w:t>
      </w:r>
      <w:r>
        <w:t xml:space="preserve">. Statistics in Medicine [Internet]. 2019 May;38(11):2074–102. Available from:</w:t>
      </w:r>
      <w:r>
        <w:t xml:space="preserve"> </w:t>
      </w:r>
      <w:hyperlink r:id="rId37">
        <w:r>
          <w:rPr>
            <w:rStyle w:val="Hyperlink"/>
          </w:rPr>
          <w:t xml:space="preserve">https://doi.org/10.1002/sim.8086</w:t>
        </w:r>
      </w:hyperlink>
    </w:p>
    <w:bookmarkEnd w:id="38"/>
    <w:bookmarkStart w:id="40" w:name="ref-Hothorn2018"/>
    <w:p>
      <w:pPr>
        <w:pStyle w:val="Bibliography"/>
      </w:pPr>
      <w:r>
        <w:t xml:space="preserve">2.</w:t>
      </w:r>
      <w:r>
        <w:t xml:space="preserve"> </w:t>
      </w:r>
      <w:r>
        <w:t xml:space="preserve">	</w:t>
      </w:r>
      <w:r>
        <w:t xml:space="preserve">Hothorn T, Möst L, Bühlmann P.</w:t>
      </w:r>
      <w:r>
        <w:t xml:space="preserve"> </w:t>
      </w:r>
      <w:r>
        <w:t xml:space="preserve">Most Likely Transformations</w:t>
      </w:r>
      <w:r>
        <w:t xml:space="preserve">. Scandinavian Journal of Statistics [Internet]. 2018;45(1):110–34. Available from:</w:t>
      </w:r>
      <w:r>
        <w:t xml:space="preserve"> </w:t>
      </w:r>
      <w:hyperlink r:id="rId39">
        <w:r>
          <w:rPr>
            <w:rStyle w:val="Hyperlink"/>
          </w:rPr>
          <w:t xml:space="preserve">https://arxiv.org/abs/1508.06749</w:t>
        </w:r>
      </w:hyperlink>
    </w:p>
    <w:bookmarkEnd w:id="40"/>
    <w:bookmarkStart w:id="42" w:name="ref-Hothorn2024"/>
    <w:p>
      <w:pPr>
        <w:pStyle w:val="Bibliography"/>
      </w:pPr>
      <w:r>
        <w:t xml:space="preserve">3.</w:t>
      </w:r>
      <w:r>
        <w:t xml:space="preserve"> </w:t>
      </w:r>
      <w:r>
        <w:t xml:space="preserve">	</w:t>
      </w:r>
      <w:r>
        <w:t xml:space="preserve">Hothorn T.</w:t>
      </w:r>
      <w:r>
        <w:t xml:space="preserve"> </w:t>
      </w:r>
      <w:r>
        <w:t xml:space="preserve">Transformation Models: The tram Package</w:t>
      </w:r>
      <w:r>
        <w:t xml:space="preserve"> </w:t>
      </w:r>
      <w:r>
        <w:t xml:space="preserve">[Internet]. 2024. Available from:</w:t>
      </w:r>
      <w:r>
        <w:t xml:space="preserve"> </w:t>
      </w:r>
      <w:hyperlink r:id="rId41">
        <w:r>
          <w:rPr>
            <w:rStyle w:val="Hyperlink"/>
          </w:rPr>
          <w:t xml:space="preserve">https://cran.r-project.org/package=tram</w:t>
        </w:r>
      </w:hyperlink>
    </w:p>
    <w:bookmarkEnd w:id="42"/>
    <w:bookmarkStart w:id="43" w:name="ref-Tutz2016"/>
    <w:p>
      <w:pPr>
        <w:pStyle w:val="Bibliography"/>
      </w:pPr>
      <w:r>
        <w:t xml:space="preserve">4.</w:t>
      </w:r>
      <w:r>
        <w:t xml:space="preserve"> </w:t>
      </w:r>
      <w:r>
        <w:t xml:space="preserve">	</w:t>
      </w:r>
      <w:r>
        <w:t xml:space="preserve">Tutz G, Schmid M.</w:t>
      </w:r>
      <w:r>
        <w:t xml:space="preserve"> </w:t>
      </w:r>
      <w:r>
        <w:t xml:space="preserve">Modeling discrete time-to-event data</w:t>
      </w:r>
      <w:r>
        <w:t xml:space="preserve">. New York: Springer; 2016.</w:t>
      </w:r>
      <w:r>
        <w:t xml:space="preserve"> </w:t>
      </w:r>
    </w:p>
    <w:bookmarkEnd w:id="43"/>
    <w:bookmarkEnd w:id="44"/>
    <w:p>
      <w:pPr>
        <w:pStyle w:val="BodyText"/>
      </w:pPr>
    </w:p>
    <w:bookmarkEnd w:id="45"/>
    <w:sectPr w:rsidR="00094C25" w:rsidSect="007D2225">
      <w:footerReference r:id="rId9" w:type="even"/>
      <w:footerReference r:id="rId10" w:type="default"/>
      <w:pgSz w:h="16840" w:w="11900"/>
      <w:pgMar w:bottom="1134" w:footer="708" w:gutter="0" w:header="708" w:left="1417" w:right="1417" w:top="1417"/>
      <w:lnNumType w:countBy="1" w:restart="continuous"/>
      <w:cols w:space="708"/>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jaVu San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9873331"/>
      <w:docPartObj>
        <w:docPartGallery w:val="Page Numbers (Bottom of Page)"/>
        <w:docPartUnique/>
      </w:docPartObj>
    </w:sdtPr>
    <w:sdtContent>
      <w:p w14:paraId="35F51D44" w14:textId="50B73CC2"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DBDE8A" w14:textId="77777777" w:rsidR="008370C1" w:rsidRDefault="008370C1" w:rsidP="008370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4446746"/>
      <w:docPartObj>
        <w:docPartGallery w:val="Page Numbers (Bottom of Page)"/>
        <w:docPartUnique/>
      </w:docPartObj>
    </w:sdtPr>
    <w:sdtContent>
      <w:p w14:paraId="1EDD7418" w14:textId="4B0CC756"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9F35BD" w14:textId="77777777" w:rsidR="008370C1" w:rsidRDefault="008370C1" w:rsidP="008370C1">
    <w:pPr>
      <w:pStyle w:val="Footer"/>
      <w:ind w:right="360"/>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025651B1"/>
    <w:multiLevelType w:val="hybridMultilevel"/>
    <w:tmpl w:val="8ABCC19C"/>
    <w:lvl w:ilvl="0" w:tplc="45CAAE4E">
      <w:start w:val="1"/>
      <w:numFmt w:val="bullet"/>
      <w:lvlText w:val="-"/>
      <w:lvlJc w:val="left"/>
      <w:pPr>
        <w:ind w:hanging="360" w:left="720"/>
      </w:pPr>
      <w:rPr>
        <w:rFonts w:ascii="Calibri" w:cs="Calibri" w:eastAsiaTheme="minorEastAsia" w:hAnsi="Calibri"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1">
    <w:nsid w:val="03A03787"/>
    <w:multiLevelType w:val="multilevel"/>
    <w:tmpl w:val="01B836EE"/>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2">
    <w:nsid w:val="14F35E6B"/>
    <w:multiLevelType w:val="hybridMultilevel"/>
    <w:tmpl w:val="610470D8"/>
    <w:lvl w:ilvl="0" w:tplc="C4B4C536">
      <w:numFmt w:val="bullet"/>
      <w:lvlText w:val=""/>
      <w:lvlJc w:val="left"/>
      <w:pPr>
        <w:ind w:hanging="360" w:left="720"/>
      </w:pPr>
      <w:rPr>
        <w:rFonts w:ascii="Wingdings" w:cstheme="minorBidi" w:eastAsiaTheme="minorEastAsia" w:hAnsi="Wingdings"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3">
    <w:nsid w:val="1A101A65"/>
    <w:multiLevelType w:val="hybridMultilevel"/>
    <w:tmpl w:val="8438E1F8"/>
    <w:lvl w:ilvl="0" w:tplc="04070001">
      <w:start w:val="1"/>
      <w:numFmt w:val="bullet"/>
      <w:lvlText w:val=""/>
      <w:lvlJc w:val="left"/>
      <w:pPr>
        <w:ind w:hanging="360" w:left="720"/>
      </w:pPr>
      <w:rPr>
        <w:rFonts w:ascii="Symbol"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4">
    <w:nsid w:val="33C71AD9"/>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5">
    <w:nsid w:val="3A0D3723"/>
    <w:multiLevelType w:val="hybridMultilevel"/>
    <w:tmpl w:val="D7845E20"/>
    <w:lvl w:ilvl="0" w:tplc="0407000F">
      <w:start w:val="1"/>
      <w:numFmt w:val="decimal"/>
      <w:lvlText w:val="%1."/>
      <w:lvlJc w:val="left"/>
      <w:pPr>
        <w:ind w:hanging="360" w:left="720"/>
      </w:pPr>
    </w:lvl>
    <w:lvl w:ilvl="1" w:tentative="1" w:tplc="04070019">
      <w:start w:val="1"/>
      <w:numFmt w:val="lowerLetter"/>
      <w:lvlText w:val="%2."/>
      <w:lvlJc w:val="left"/>
      <w:pPr>
        <w:ind w:hanging="360" w:left="1440"/>
      </w:pPr>
    </w:lvl>
    <w:lvl w:ilvl="2" w:tentative="1" w:tplc="0407001B">
      <w:start w:val="1"/>
      <w:numFmt w:val="lowerRoman"/>
      <w:lvlText w:val="%3."/>
      <w:lvlJc w:val="right"/>
      <w:pPr>
        <w:ind w:hanging="180" w:left="2160"/>
      </w:pPr>
    </w:lvl>
    <w:lvl w:ilvl="3" w:tentative="1" w:tplc="0407000F">
      <w:start w:val="1"/>
      <w:numFmt w:val="decimal"/>
      <w:lvlText w:val="%4."/>
      <w:lvlJc w:val="left"/>
      <w:pPr>
        <w:ind w:hanging="360" w:left="2880"/>
      </w:pPr>
    </w:lvl>
    <w:lvl w:ilvl="4" w:tentative="1" w:tplc="04070019">
      <w:start w:val="1"/>
      <w:numFmt w:val="lowerLetter"/>
      <w:lvlText w:val="%5."/>
      <w:lvlJc w:val="left"/>
      <w:pPr>
        <w:ind w:hanging="360" w:left="3600"/>
      </w:pPr>
    </w:lvl>
    <w:lvl w:ilvl="5" w:tentative="1" w:tplc="0407001B">
      <w:start w:val="1"/>
      <w:numFmt w:val="lowerRoman"/>
      <w:lvlText w:val="%6."/>
      <w:lvlJc w:val="right"/>
      <w:pPr>
        <w:ind w:hanging="180" w:left="4320"/>
      </w:pPr>
    </w:lvl>
    <w:lvl w:ilvl="6" w:tentative="1" w:tplc="0407000F">
      <w:start w:val="1"/>
      <w:numFmt w:val="decimal"/>
      <w:lvlText w:val="%7."/>
      <w:lvlJc w:val="left"/>
      <w:pPr>
        <w:ind w:hanging="360" w:left="5040"/>
      </w:pPr>
    </w:lvl>
    <w:lvl w:ilvl="7" w:tentative="1" w:tplc="04070019">
      <w:start w:val="1"/>
      <w:numFmt w:val="lowerLetter"/>
      <w:lvlText w:val="%8."/>
      <w:lvlJc w:val="left"/>
      <w:pPr>
        <w:ind w:hanging="360" w:left="5760"/>
      </w:pPr>
    </w:lvl>
    <w:lvl w:ilvl="8" w:tentative="1" w:tplc="0407001B">
      <w:start w:val="1"/>
      <w:numFmt w:val="lowerRoman"/>
      <w:lvlText w:val="%9."/>
      <w:lvlJc w:val="right"/>
      <w:pPr>
        <w:ind w:hanging="180" w:left="6480"/>
      </w:pPr>
    </w:lvl>
  </w:abstractNum>
  <w:abstractNum w15:restartNumberingAfterBreak="0" w:abstractNumId="6">
    <w:nsid w:val="420D3E1D"/>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7">
    <w:nsid w:val="440232C4"/>
    <w:multiLevelType w:val="multilevel"/>
    <w:tmpl w:val="9712FC42"/>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8">
    <w:nsid w:val="4DCC4EAC"/>
    <w:multiLevelType w:val="hybridMultilevel"/>
    <w:tmpl w:val="09847B52"/>
    <w:lvl w:ilvl="0" w:tplc="98242F2C">
      <w:numFmt w:val="bullet"/>
      <w:lvlText w:val=""/>
      <w:lvlJc w:val="left"/>
      <w:pPr>
        <w:ind w:hanging="360" w:left="720"/>
      </w:pPr>
      <w:rPr>
        <w:rFonts w:ascii="Symbol" w:cstheme="minorBidi" w:eastAsiaTheme="minorEastAsia"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9">
    <w:nsid w:val="7F4309EC"/>
    <w:multiLevelType w:val="multilevel"/>
    <w:tmpl w:val="8516445A"/>
    <w:lvl w:ilvl="0">
      <w:start w:val="2"/>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189223673" w:numId="1">
    <w:abstractNumId w:val="2"/>
  </w:num>
  <w:num w16cid:durableId="208542659" w:numId="2">
    <w:abstractNumId w:val="4"/>
  </w:num>
  <w:num w16cid:durableId="1810319019" w:numId="3">
    <w:abstractNumId w:val="0"/>
  </w:num>
  <w:num w16cid:durableId="653996606" w:numId="4">
    <w:abstractNumId w:val="5"/>
  </w:num>
  <w:num w16cid:durableId="1055080170" w:numId="5">
    <w:abstractNumId w:val="9"/>
  </w:num>
  <w:num w16cid:durableId="1047140956" w:numId="6">
    <w:abstractNumId w:val="6"/>
  </w:num>
  <w:num w16cid:durableId="1897160239" w:numId="7">
    <w:abstractNumId w:val="8"/>
  </w:num>
  <w:num w16cid:durableId="876745476" w:numId="8">
    <w:abstractNumId w:val="7"/>
  </w:num>
  <w:num w16cid:durableId="2004233221" w:numId="9">
    <w:abstractNumId w:val="1"/>
  </w:num>
  <w:num w16cid:durableId="446003891" w:numId="10">
    <w:abstractNumId w:val="3"/>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embedSystemFonts/>
  <w:stylePaneFormatFilter w:val="0004"/>
  <w:footnotePr>
    <w:footnote w:id="-1"/>
    <w:footnote w:id="0"/>
  </w:footnotePr>
  <w:doNotTrackMoves/>
  <w:drawingGridHorizontalSpacing w:val="360"/>
  <w:drawingGridVerticalSpacing w:val="360"/>
  <w:displayHorizontalDrawingGridEvery w:val="0"/>
  <w:displayVerticalDrawingGridEvery w:val="0"/>
  <w:savePreviewPicture/>
  <w:rsids>
  </w:rsids>
  <w:clrSchemeMapping w:accent1="accent1" w:accent2="accent2" w:accent3="accent3" w:accent4="accent4" w:accent5="accent5" w:accent6="accent6" w:bg1="light1" w:bg2="light2" w:followedHyperlink="followedHyperlink" w:hyperlink="hyperlink" w:t1="dark1" w:t2="dark2"/>
  <w:zoom w:percent="130"/>
  <w:proofState w:grammar="clean"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bidi="ar-SA" w:eastAsia="zh-CN" w:val="de-CH"/>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EastAsia" w:hAnsiTheme="minorHAnsi"/>
        <w:sz w:val="24"/>
        <w:szCs w:val="24"/>
        <w:lang w:bidi="ar-SA" w:eastAsia="zh-CN" w:val="de-CH"/>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6C633F"/>
    <w:pPr>
      <w:spacing w:line="480" w:lineRule="auto"/>
    </w:pPr>
    <w:rPr>
      <w:rFonts w:ascii="Arial" w:hAnsi="Arial"/>
    </w:rPr>
  </w:style>
  <w:style w:styleId="Heading1" w:type="paragraph">
    <w:name w:val="heading 1"/>
    <w:basedOn w:val="Normal"/>
    <w:link w:val="Heading1Char"/>
    <w:uiPriority w:val="9"/>
    <w:qFormat/>
    <w:rsid w:val="006C633F"/>
    <w:pPr>
      <w:spacing w:after="100" w:afterAutospacing="1" w:before="100" w:beforeAutospacing="1" w:line="240" w:lineRule="auto"/>
      <w:outlineLvl w:val="0"/>
    </w:pPr>
    <w:rPr>
      <w:rFonts w:cs="Times New Roman" w:eastAsia="Times New Roman"/>
      <w:b/>
      <w:bCs/>
      <w:kern w:val="36"/>
      <w:sz w:val="28"/>
      <w:szCs w:val="48"/>
    </w:rPr>
  </w:style>
  <w:style w:styleId="Heading2" w:type="paragraph">
    <w:name w:val="heading 2"/>
    <w:basedOn w:val="Normal"/>
    <w:next w:val="Normal"/>
    <w:link w:val="Heading2Char"/>
    <w:uiPriority w:val="9"/>
    <w:unhideWhenUsed/>
    <w:qFormat/>
    <w:rsid w:val="006C633F"/>
    <w:pPr>
      <w:keepNext/>
      <w:keepLines/>
      <w:spacing w:before="40"/>
      <w:outlineLvl w:val="1"/>
    </w:pPr>
    <w:rPr>
      <w:rFonts w:cstheme="majorBidi" w:eastAsiaTheme="majorEastAsia"/>
      <w:b/>
      <w:szCs w:val="26"/>
    </w:rPr>
  </w:style>
  <w:style w:styleId="Heading3" w:type="paragraph">
    <w:name w:val="heading 3"/>
    <w:basedOn w:val="Normal"/>
    <w:next w:val="Normal"/>
    <w:link w:val="Heading3Char"/>
    <w:uiPriority w:val="9"/>
    <w:unhideWhenUsed/>
    <w:qFormat/>
    <w:rsid w:val="00BA2A42"/>
    <w:pPr>
      <w:keepNext/>
      <w:keepLines/>
      <w:spacing w:after="120" w:before="160" w:line="360" w:lineRule="auto"/>
      <w:outlineLvl w:val="2"/>
    </w:pPr>
    <w:rPr>
      <w:rFonts w:cstheme="majorBidi" w:eastAsiaTheme="majorEastAsia"/>
      <w:color w:themeColor="text1" w:val="000000"/>
      <w:sz w:val="28"/>
    </w:rPr>
  </w:style>
  <w:style w:styleId="Heading4" w:type="paragraph">
    <w:name w:val="heading 4"/>
    <w:basedOn w:val="Normal"/>
    <w:next w:val="Normal"/>
    <w:link w:val="Heading4Char"/>
    <w:uiPriority w:val="9"/>
    <w:unhideWhenUsed/>
    <w:qFormat/>
    <w:rsid w:val="00CF39AD"/>
    <w:pPr>
      <w:keepNext/>
      <w:keepLines/>
      <w:spacing w:before="40"/>
      <w:outlineLvl w:val="3"/>
    </w:pPr>
    <w:rPr>
      <w:rFonts w:asciiTheme="majorHAnsi" w:cstheme="majorBidi" w:eastAsiaTheme="majorEastAsia" w:hAnsiTheme="majorHAnsi"/>
      <w:i/>
      <w:iCs/>
      <w:color w:themeColor="accent1" w:themeShade="BF" w:val="2F5496"/>
    </w:rPr>
  </w:style>
  <w:style w:styleId="Heading5" w:type="paragraph">
    <w:name w:val="heading 5"/>
    <w:basedOn w:val="Normal"/>
    <w:next w:val="Normal"/>
    <w:link w:val="Heading5Char"/>
    <w:uiPriority w:val="9"/>
    <w:unhideWhenUsed/>
    <w:qFormat/>
    <w:rsid w:val="00CF39AD"/>
    <w:pPr>
      <w:keepNext/>
      <w:keepLines/>
      <w:spacing w:before="40"/>
      <w:outlineLvl w:val="4"/>
    </w:pPr>
    <w:rPr>
      <w:rFonts w:asciiTheme="majorHAnsi" w:cstheme="majorBidi" w:eastAsiaTheme="majorEastAsia" w:hAnsiTheme="majorHAnsi"/>
      <w:color w:themeColor="accent1" w:themeShade="BF" w:val="2F5496"/>
    </w:rPr>
  </w:style>
  <w:style w:styleId="Heading6" w:type="paragraph">
    <w:name w:val="heading 6"/>
    <w:basedOn w:val="Normal"/>
    <w:next w:val="Normal"/>
    <w:link w:val="Heading6Char"/>
    <w:uiPriority w:val="9"/>
    <w:unhideWhenUsed/>
    <w:qFormat/>
    <w:rsid w:val="00CF39AD"/>
    <w:pPr>
      <w:keepNext/>
      <w:keepLines/>
      <w:spacing w:before="40"/>
      <w:outlineLvl w:val="5"/>
    </w:pPr>
    <w:rPr>
      <w:rFonts w:asciiTheme="majorHAnsi" w:cstheme="majorBidi" w:eastAsiaTheme="majorEastAsia" w:hAnsiTheme="majorHAnsi"/>
      <w:color w:themeColor="accent1" w:themeShade="7F" w:val="1F3763"/>
    </w:rPr>
  </w:style>
  <w:style w:styleId="Heading7" w:type="paragraph">
    <w:name w:val="heading 7"/>
    <w:basedOn w:val="Normal"/>
    <w:next w:val="Normal"/>
    <w:link w:val="Heading7Char"/>
    <w:uiPriority w:val="9"/>
    <w:unhideWhenUsed/>
    <w:qFormat/>
    <w:rsid w:val="00CF39AD"/>
    <w:pPr>
      <w:keepNext/>
      <w:keepLines/>
      <w:spacing w:before="40"/>
      <w:outlineLvl w:val="6"/>
    </w:pPr>
    <w:rPr>
      <w:rFonts w:asciiTheme="majorHAnsi" w:cstheme="majorBidi" w:eastAsiaTheme="majorEastAsia" w:hAnsiTheme="majorHAnsi"/>
      <w:i/>
      <w:iCs/>
      <w:color w:themeColor="accent1" w:themeShade="7F" w:val="1F3763"/>
    </w:rPr>
  </w:style>
  <w:style w:styleId="Heading8" w:type="paragraph">
    <w:name w:val="heading 8"/>
    <w:basedOn w:val="Normal"/>
    <w:next w:val="Normal"/>
    <w:link w:val="Heading8Char"/>
    <w:uiPriority w:val="9"/>
    <w:unhideWhenUsed/>
    <w:qFormat/>
    <w:rsid w:val="00CF39AD"/>
    <w:pPr>
      <w:keepNext/>
      <w:keepLines/>
      <w:spacing w:before="40"/>
      <w:outlineLvl w:val="7"/>
    </w:pPr>
    <w:rPr>
      <w:rFonts w:asciiTheme="majorHAnsi" w:cstheme="majorBidi" w:eastAsiaTheme="majorEastAsia" w:hAnsiTheme="majorHAnsi"/>
      <w:color w:themeColor="text1" w:themeTint="D8" w:val="272727"/>
      <w:sz w:val="21"/>
      <w:szCs w:val="21"/>
    </w:rPr>
  </w:style>
  <w:style w:styleId="Heading9" w:type="paragraph">
    <w:name w:val="heading 9"/>
    <w:basedOn w:val="Normal"/>
    <w:next w:val="Normal"/>
    <w:link w:val="Heading9Char"/>
    <w:uiPriority w:val="9"/>
    <w:unhideWhenUsed/>
    <w:qFormat/>
    <w:rsid w:val="00CF39AD"/>
    <w:pPr>
      <w:keepNext/>
      <w:keepLines/>
      <w:spacing w:before="40"/>
      <w:outlineLvl w:val="8"/>
    </w:pPr>
    <w:rPr>
      <w:rFonts w:asciiTheme="majorHAnsi" w:cstheme="majorBidi" w:eastAsiaTheme="majorEastAsia" w:hAnsiTheme="majorHAnsi"/>
      <w:i/>
      <w:iCs/>
      <w:color w:themeColor="text1" w:themeTint="D8" w:val="272727"/>
      <w:sz w:val="21"/>
      <w:szCs w:val="21"/>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ListParagraph" w:type="paragraph">
    <w:name w:val="List Paragraph"/>
    <w:basedOn w:val="Normal"/>
    <w:uiPriority w:val="34"/>
    <w:qFormat/>
    <w:rsid w:val="00E67ADA"/>
    <w:pPr>
      <w:ind w:left="720"/>
      <w:contextualSpacing/>
    </w:pPr>
  </w:style>
  <w:style w:styleId="TableGrid" w:type="table">
    <w:name w:val="Table Grid"/>
    <w:basedOn w:val="TableNormal"/>
    <w:uiPriority w:val="39"/>
    <w:rsid w:val="00E2687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CommentReference" w:type="character">
    <w:name w:val="annotation reference"/>
    <w:basedOn w:val="DefaultParagraphFont"/>
    <w:uiPriority w:val="99"/>
    <w:semiHidden/>
    <w:unhideWhenUsed/>
    <w:rsid w:val="00703896"/>
    <w:rPr>
      <w:sz w:val="16"/>
      <w:szCs w:val="16"/>
    </w:rPr>
  </w:style>
  <w:style w:styleId="CommentText" w:type="paragraph">
    <w:name w:val="annotation text"/>
    <w:basedOn w:val="Normal"/>
    <w:link w:val="CommentTextChar"/>
    <w:uiPriority w:val="99"/>
    <w:unhideWhenUsed/>
    <w:rsid w:val="00703896"/>
    <w:rPr>
      <w:sz w:val="20"/>
      <w:szCs w:val="20"/>
    </w:rPr>
  </w:style>
  <w:style w:customStyle="1" w:styleId="CommentTextChar" w:type="character">
    <w:name w:val="Comment Text Char"/>
    <w:basedOn w:val="DefaultParagraphFont"/>
    <w:link w:val="CommentText"/>
    <w:uiPriority w:val="99"/>
    <w:rsid w:val="00703896"/>
    <w:rPr>
      <w:sz w:val="20"/>
      <w:szCs w:val="20"/>
    </w:rPr>
  </w:style>
  <w:style w:styleId="CommentSubject" w:type="paragraph">
    <w:name w:val="annotation subject"/>
    <w:basedOn w:val="CommentText"/>
    <w:next w:val="CommentText"/>
    <w:link w:val="CommentSubjectChar"/>
    <w:uiPriority w:val="99"/>
    <w:semiHidden/>
    <w:unhideWhenUsed/>
    <w:rsid w:val="00703896"/>
    <w:rPr>
      <w:b/>
      <w:bCs/>
    </w:rPr>
  </w:style>
  <w:style w:customStyle="1" w:styleId="CommentSubjectChar" w:type="character">
    <w:name w:val="Comment Subject Char"/>
    <w:basedOn w:val="CommentTextChar"/>
    <w:link w:val="CommentSubject"/>
    <w:uiPriority w:val="99"/>
    <w:semiHidden/>
    <w:rsid w:val="00703896"/>
    <w:rPr>
      <w:b/>
      <w:bCs/>
      <w:sz w:val="20"/>
      <w:szCs w:val="20"/>
    </w:rPr>
  </w:style>
  <w:style w:styleId="Revision" w:type="paragraph">
    <w:name w:val="Revision"/>
    <w:hidden/>
    <w:uiPriority w:val="99"/>
    <w:semiHidden/>
    <w:rsid w:val="000700C7"/>
  </w:style>
  <w:style w:styleId="Header" w:type="paragraph">
    <w:name w:val="header"/>
    <w:basedOn w:val="Normal"/>
    <w:link w:val="HeaderChar"/>
    <w:uiPriority w:val="99"/>
    <w:unhideWhenUsed/>
    <w:rsid w:val="00EE7DEA"/>
    <w:pPr>
      <w:tabs>
        <w:tab w:pos="4513" w:val="center"/>
        <w:tab w:pos="9026" w:val="right"/>
      </w:tabs>
    </w:pPr>
  </w:style>
  <w:style w:customStyle="1" w:styleId="HeaderChar" w:type="character">
    <w:name w:val="Header Char"/>
    <w:basedOn w:val="DefaultParagraphFont"/>
    <w:link w:val="Header"/>
    <w:uiPriority w:val="99"/>
    <w:rsid w:val="00EE7DEA"/>
  </w:style>
  <w:style w:styleId="Footer" w:type="paragraph">
    <w:name w:val="footer"/>
    <w:basedOn w:val="Normal"/>
    <w:link w:val="FooterChar"/>
    <w:uiPriority w:val="99"/>
    <w:unhideWhenUsed/>
    <w:rsid w:val="00EE7DEA"/>
    <w:pPr>
      <w:tabs>
        <w:tab w:pos="4513" w:val="center"/>
        <w:tab w:pos="9026" w:val="right"/>
      </w:tabs>
    </w:pPr>
  </w:style>
  <w:style w:customStyle="1" w:styleId="FooterChar" w:type="character">
    <w:name w:val="Footer Char"/>
    <w:basedOn w:val="DefaultParagraphFont"/>
    <w:link w:val="Footer"/>
    <w:uiPriority w:val="99"/>
    <w:rsid w:val="00EE7DEA"/>
  </w:style>
  <w:style w:styleId="NormalWeb" w:type="paragraph">
    <w:name w:val="Normal (Web)"/>
    <w:basedOn w:val="Normal"/>
    <w:uiPriority w:val="99"/>
    <w:unhideWhenUsed/>
    <w:rsid w:val="00BC4D45"/>
    <w:pPr>
      <w:spacing w:after="100" w:afterAutospacing="1" w:before="100" w:beforeAutospacing="1"/>
    </w:pPr>
    <w:rPr>
      <w:rFonts w:ascii="Times New Roman" w:cs="Times New Roman" w:eastAsia="Times New Roman" w:hAnsi="Times New Roman"/>
    </w:rPr>
  </w:style>
  <w:style w:styleId="Hyperlink" w:type="character">
    <w:name w:val="Hyperlink"/>
    <w:basedOn w:val="DefaultParagraphFont"/>
    <w:uiPriority w:val="99"/>
    <w:unhideWhenUsed/>
    <w:rsid w:val="00A60E15"/>
    <w:rPr>
      <w:color w:themeColor="hyperlink" w:val="0563C1"/>
      <w:u w:val="single"/>
    </w:rPr>
  </w:style>
  <w:style w:customStyle="1" w:styleId="Ulstomtale1" w:type="character">
    <w:name w:val="Uløst omtale1"/>
    <w:basedOn w:val="DefaultParagraphFont"/>
    <w:uiPriority w:val="99"/>
    <w:semiHidden/>
    <w:unhideWhenUsed/>
    <w:rsid w:val="00A60E15"/>
    <w:rPr>
      <w:color w:val="605E5C"/>
      <w:shd w:color="auto" w:fill="E1DFDD" w:val="clear"/>
    </w:rPr>
  </w:style>
  <w:style w:styleId="LineNumber" w:type="character">
    <w:name w:val="line number"/>
    <w:basedOn w:val="DefaultParagraphFont"/>
    <w:uiPriority w:val="99"/>
    <w:semiHidden/>
    <w:unhideWhenUsed/>
    <w:rsid w:val="00E23BC2"/>
  </w:style>
  <w:style w:styleId="FollowedHyperlink" w:type="character">
    <w:name w:val="FollowedHyperlink"/>
    <w:basedOn w:val="DefaultParagraphFont"/>
    <w:uiPriority w:val="99"/>
    <w:semiHidden/>
    <w:unhideWhenUsed/>
    <w:rsid w:val="005E5111"/>
    <w:rPr>
      <w:color w:themeColor="followedHyperlink" w:val="954F72"/>
      <w:u w:val="single"/>
    </w:rPr>
  </w:style>
  <w:style w:customStyle="1" w:styleId="highwire-citation-authors" w:type="character">
    <w:name w:val="highwire-citation-authors"/>
    <w:basedOn w:val="DefaultParagraphFont"/>
    <w:rsid w:val="0060417B"/>
  </w:style>
  <w:style w:customStyle="1" w:styleId="highwire-citation-author" w:type="character">
    <w:name w:val="highwire-citation-author"/>
    <w:basedOn w:val="DefaultParagraphFont"/>
    <w:rsid w:val="0060417B"/>
  </w:style>
  <w:style w:customStyle="1" w:styleId="nlm-surname" w:type="character">
    <w:name w:val="nlm-surname"/>
    <w:basedOn w:val="DefaultParagraphFont"/>
    <w:rsid w:val="0060417B"/>
  </w:style>
  <w:style w:customStyle="1" w:styleId="apple-converted-space" w:type="character">
    <w:name w:val="apple-converted-space"/>
    <w:basedOn w:val="DefaultParagraphFont"/>
    <w:rsid w:val="0060417B"/>
  </w:style>
  <w:style w:customStyle="1" w:styleId="citation-et" w:type="character">
    <w:name w:val="citation-et"/>
    <w:basedOn w:val="DefaultParagraphFont"/>
    <w:rsid w:val="0060417B"/>
  </w:style>
  <w:style w:customStyle="1" w:styleId="highwire-cite-metadata-journal" w:type="character">
    <w:name w:val="highwire-cite-metadata-journal"/>
    <w:basedOn w:val="DefaultParagraphFont"/>
    <w:rsid w:val="0060417B"/>
  </w:style>
  <w:style w:customStyle="1" w:styleId="highwire-cite-metadata-year" w:type="character">
    <w:name w:val="highwire-cite-metadata-year"/>
    <w:basedOn w:val="DefaultParagraphFont"/>
    <w:rsid w:val="0060417B"/>
  </w:style>
  <w:style w:customStyle="1" w:styleId="highwire-cite-metadata-volume" w:type="character">
    <w:name w:val="highwire-cite-metadata-volume"/>
    <w:basedOn w:val="DefaultParagraphFont"/>
    <w:rsid w:val="0060417B"/>
  </w:style>
  <w:style w:customStyle="1" w:styleId="highwire-cite-metadata-pages" w:type="character">
    <w:name w:val="highwire-cite-metadata-pages"/>
    <w:basedOn w:val="DefaultParagraphFont"/>
    <w:rsid w:val="0060417B"/>
  </w:style>
  <w:style w:styleId="HTMLPreformatted" w:type="paragraph">
    <w:name w:val="HTML Preformatted"/>
    <w:basedOn w:val="Normal"/>
    <w:link w:val="HTMLPreformattedChar"/>
    <w:uiPriority w:val="99"/>
    <w:semiHidden/>
    <w:unhideWhenUsed/>
    <w:rsid w:val="0072535F"/>
    <w:pPr>
      <w:tabs>
        <w:tab w:pos="916" w:val="left"/>
        <w:tab w:pos="1832" w:val="left"/>
        <w:tab w:pos="2748" w:val="left"/>
        <w:tab w:pos="3664" w:val="left"/>
        <w:tab w:pos="4580" w:val="left"/>
        <w:tab w:pos="5496" w:val="left"/>
        <w:tab w:pos="6412" w:val="left"/>
        <w:tab w:pos="7328" w:val="left"/>
        <w:tab w:pos="8244" w:val="left"/>
        <w:tab w:pos="9160" w:val="left"/>
        <w:tab w:pos="10076" w:val="left"/>
        <w:tab w:pos="10992" w:val="left"/>
        <w:tab w:pos="11908" w:val="left"/>
        <w:tab w:pos="12824" w:val="left"/>
        <w:tab w:pos="13740" w:val="left"/>
        <w:tab w:pos="14656" w:val="left"/>
      </w:tabs>
    </w:pPr>
    <w:rPr>
      <w:rFonts w:ascii="Courier New" w:cs="Courier New" w:eastAsia="Times New Roman" w:hAnsi="Courier New"/>
      <w:sz w:val="20"/>
      <w:szCs w:val="20"/>
    </w:rPr>
  </w:style>
  <w:style w:customStyle="1" w:styleId="HTMLPreformattedChar" w:type="character">
    <w:name w:val="HTML Preformatted Char"/>
    <w:basedOn w:val="DefaultParagraphFont"/>
    <w:link w:val="HTMLPreformatted"/>
    <w:uiPriority w:val="99"/>
    <w:semiHidden/>
    <w:rsid w:val="0072535F"/>
    <w:rPr>
      <w:rFonts w:ascii="Courier New" w:cs="Courier New" w:eastAsia="Times New Roman" w:hAnsi="Courier New"/>
      <w:sz w:val="20"/>
      <w:szCs w:val="20"/>
    </w:rPr>
  </w:style>
  <w:style w:styleId="HTMLCode" w:type="character">
    <w:name w:val="HTML Code"/>
    <w:basedOn w:val="DefaultParagraphFont"/>
    <w:uiPriority w:val="99"/>
    <w:semiHidden/>
    <w:unhideWhenUsed/>
    <w:rsid w:val="0072535F"/>
    <w:rPr>
      <w:rFonts w:ascii="Courier New" w:cs="Courier New" w:eastAsia="Times New Roman" w:hAnsi="Courier New"/>
      <w:sz w:val="20"/>
      <w:szCs w:val="20"/>
    </w:rPr>
  </w:style>
  <w:style w:customStyle="1" w:styleId="do" w:type="character">
    <w:name w:val="do"/>
    <w:basedOn w:val="DefaultParagraphFont"/>
    <w:rsid w:val="0072535F"/>
  </w:style>
  <w:style w:customStyle="1" w:styleId="Heading1Char" w:type="character">
    <w:name w:val="Heading 1 Char"/>
    <w:basedOn w:val="DefaultParagraphFont"/>
    <w:link w:val="Heading1"/>
    <w:uiPriority w:val="9"/>
    <w:rsid w:val="006C633F"/>
    <w:rPr>
      <w:rFonts w:ascii="Arial" w:cs="Times New Roman" w:eastAsia="Times New Roman" w:hAnsi="Arial"/>
      <w:b/>
      <w:bCs/>
      <w:kern w:val="36"/>
      <w:sz w:val="28"/>
      <w:szCs w:val="48"/>
    </w:rPr>
  </w:style>
  <w:style w:customStyle="1" w:styleId="highwire-cite-authors" w:type="character">
    <w:name w:val="highwire-cite-authors"/>
    <w:basedOn w:val="DefaultParagraphFont"/>
    <w:rsid w:val="00011F1F"/>
  </w:style>
  <w:style w:customStyle="1" w:styleId="nlm-given-names" w:type="character">
    <w:name w:val="nlm-given-names"/>
    <w:basedOn w:val="DefaultParagraphFont"/>
    <w:rsid w:val="00011F1F"/>
  </w:style>
  <w:style w:customStyle="1" w:styleId="highwire-cite-title" w:type="character">
    <w:name w:val="highwire-cite-title"/>
    <w:basedOn w:val="DefaultParagraphFont"/>
    <w:rsid w:val="00011F1F"/>
  </w:style>
  <w:style w:customStyle="1" w:styleId="highwire-cite-metadata-date" w:type="character">
    <w:name w:val="highwire-cite-metadata-date"/>
    <w:basedOn w:val="DefaultParagraphFont"/>
    <w:rsid w:val="00011F1F"/>
  </w:style>
  <w:style w:customStyle="1" w:styleId="article-doi" w:type="character">
    <w:name w:val="article-doi"/>
    <w:basedOn w:val="DefaultParagraphFont"/>
    <w:rsid w:val="00011F1F"/>
  </w:style>
  <w:style w:styleId="BalloonText" w:type="paragraph">
    <w:name w:val="Balloon Text"/>
    <w:basedOn w:val="Normal"/>
    <w:link w:val="BalloonTextChar"/>
    <w:uiPriority w:val="99"/>
    <w:semiHidden/>
    <w:unhideWhenUsed/>
    <w:rsid w:val="00F76F13"/>
    <w:rPr>
      <w:rFonts w:ascii="Segoe UI" w:cs="Segoe UI" w:hAnsi="Segoe UI"/>
      <w:sz w:val="18"/>
      <w:szCs w:val="18"/>
    </w:rPr>
  </w:style>
  <w:style w:customStyle="1" w:styleId="BalloonTextChar" w:type="character">
    <w:name w:val="Balloon Text Char"/>
    <w:basedOn w:val="DefaultParagraphFont"/>
    <w:link w:val="BalloonText"/>
    <w:uiPriority w:val="99"/>
    <w:semiHidden/>
    <w:rsid w:val="00F76F13"/>
    <w:rPr>
      <w:rFonts w:ascii="Segoe UI" w:cs="Segoe UI" w:hAnsi="Segoe UI"/>
      <w:sz w:val="18"/>
      <w:szCs w:val="18"/>
    </w:rPr>
  </w:style>
  <w:style w:customStyle="1" w:styleId="docsum-authors" w:type="character">
    <w:name w:val="docsum-authors"/>
    <w:basedOn w:val="DefaultParagraphFont"/>
    <w:rsid w:val="000B30FA"/>
  </w:style>
  <w:style w:customStyle="1" w:styleId="docsum-journal-citation" w:type="character">
    <w:name w:val="docsum-journal-citation"/>
    <w:basedOn w:val="DefaultParagraphFont"/>
    <w:rsid w:val="000B30FA"/>
  </w:style>
  <w:style w:customStyle="1" w:styleId="il" w:type="character">
    <w:name w:val="il"/>
    <w:basedOn w:val="DefaultParagraphFont"/>
    <w:rsid w:val="006F0C2A"/>
  </w:style>
  <w:style w:styleId="UnresolvedMention" w:type="character">
    <w:name w:val="Unresolved Mention"/>
    <w:basedOn w:val="DefaultParagraphFont"/>
    <w:uiPriority w:val="99"/>
    <w:semiHidden/>
    <w:unhideWhenUsed/>
    <w:rsid w:val="00C60D32"/>
    <w:rPr>
      <w:color w:val="605E5C"/>
      <w:shd w:color="auto" w:fill="E1DFDD" w:val="clear"/>
    </w:rPr>
  </w:style>
  <w:style w:styleId="Title" w:type="paragraph">
    <w:name w:val="Title"/>
    <w:basedOn w:val="Normal"/>
    <w:next w:val="Normal"/>
    <w:link w:val="TitleChar"/>
    <w:uiPriority w:val="10"/>
    <w:qFormat/>
    <w:rsid w:val="00A704A7"/>
    <w:pPr>
      <w:spacing w:after="600" w:before="600"/>
      <w:contextualSpacing/>
      <w:jc w:val="center"/>
    </w:pPr>
    <w:rPr>
      <w:rFonts w:cstheme="majorBidi" w:eastAsiaTheme="majorEastAsia"/>
      <w:spacing w:val="-10"/>
      <w:kern w:val="28"/>
      <w:sz w:val="32"/>
      <w:szCs w:val="56"/>
    </w:rPr>
  </w:style>
  <w:style w:customStyle="1" w:styleId="TitleChar" w:type="character">
    <w:name w:val="Title Char"/>
    <w:basedOn w:val="DefaultParagraphFont"/>
    <w:link w:val="Title"/>
    <w:uiPriority w:val="10"/>
    <w:rsid w:val="00A704A7"/>
    <w:rPr>
      <w:rFonts w:ascii="Arial" w:cstheme="majorBidi" w:eastAsiaTheme="majorEastAsia" w:hAnsi="Arial"/>
      <w:spacing w:val="-10"/>
      <w:kern w:val="28"/>
      <w:sz w:val="32"/>
      <w:szCs w:val="56"/>
    </w:rPr>
  </w:style>
  <w:style w:styleId="Subtitle" w:type="paragraph">
    <w:name w:val="Subtitle"/>
    <w:basedOn w:val="Normal"/>
    <w:next w:val="Normal"/>
    <w:link w:val="SubtitleChar"/>
    <w:uiPriority w:val="11"/>
    <w:qFormat/>
    <w:rsid w:val="00CF39AD"/>
    <w:pPr>
      <w:numPr>
        <w:ilvl w:val="1"/>
      </w:numPr>
      <w:spacing w:after="160"/>
    </w:pPr>
    <w:rPr>
      <w:color w:themeColor="text1" w:val="000000"/>
      <w:spacing w:val="15"/>
      <w:sz w:val="22"/>
      <w:szCs w:val="22"/>
    </w:rPr>
  </w:style>
  <w:style w:customStyle="1" w:styleId="SubtitleChar" w:type="character">
    <w:name w:val="Subtitle Char"/>
    <w:basedOn w:val="DefaultParagraphFont"/>
    <w:link w:val="Subtitle"/>
    <w:uiPriority w:val="11"/>
    <w:rsid w:val="00CF39AD"/>
    <w:rPr>
      <w:color w:themeColor="text1" w:val="000000"/>
      <w:spacing w:val="15"/>
      <w:sz w:val="22"/>
      <w:szCs w:val="22"/>
    </w:rPr>
  </w:style>
  <w:style w:styleId="NoSpacing" w:type="paragraph">
    <w:name w:val="No Spacing"/>
    <w:uiPriority w:val="1"/>
    <w:qFormat/>
    <w:rsid w:val="00BA76BD"/>
    <w:rPr>
      <w:b/>
    </w:rPr>
  </w:style>
  <w:style w:customStyle="1" w:styleId="Heading2Char" w:type="character">
    <w:name w:val="Heading 2 Char"/>
    <w:basedOn w:val="DefaultParagraphFont"/>
    <w:link w:val="Heading2"/>
    <w:uiPriority w:val="9"/>
    <w:rsid w:val="006C633F"/>
    <w:rPr>
      <w:rFonts w:ascii="Arial" w:cstheme="majorBidi" w:eastAsiaTheme="majorEastAsia" w:hAnsi="Arial"/>
      <w:b/>
      <w:szCs w:val="26"/>
    </w:rPr>
  </w:style>
  <w:style w:customStyle="1" w:styleId="Heading3Char" w:type="character">
    <w:name w:val="Heading 3 Char"/>
    <w:basedOn w:val="DefaultParagraphFont"/>
    <w:link w:val="Heading3"/>
    <w:uiPriority w:val="9"/>
    <w:rsid w:val="00BA2A42"/>
    <w:rPr>
      <w:rFonts w:ascii="Arial" w:cstheme="majorBidi" w:eastAsiaTheme="majorEastAsia" w:hAnsi="Arial"/>
      <w:color w:themeColor="text1" w:val="000000"/>
      <w:sz w:val="28"/>
    </w:rPr>
  </w:style>
  <w:style w:customStyle="1" w:styleId="Heading4Char" w:type="character">
    <w:name w:val="Heading 4 Char"/>
    <w:basedOn w:val="DefaultParagraphFont"/>
    <w:link w:val="Heading4"/>
    <w:uiPriority w:val="9"/>
    <w:rsid w:val="00CF39AD"/>
    <w:rPr>
      <w:rFonts w:asciiTheme="majorHAnsi" w:cstheme="majorBidi" w:eastAsiaTheme="majorEastAsia" w:hAnsiTheme="majorHAnsi"/>
      <w:i/>
      <w:iCs/>
      <w:color w:themeColor="accent1" w:themeShade="BF" w:val="2F5496"/>
    </w:rPr>
  </w:style>
  <w:style w:customStyle="1" w:styleId="Heading5Char" w:type="character">
    <w:name w:val="Heading 5 Char"/>
    <w:basedOn w:val="DefaultParagraphFont"/>
    <w:link w:val="Heading5"/>
    <w:uiPriority w:val="9"/>
    <w:rsid w:val="00CF39AD"/>
    <w:rPr>
      <w:rFonts w:asciiTheme="majorHAnsi" w:cstheme="majorBidi" w:eastAsiaTheme="majorEastAsia" w:hAnsiTheme="majorHAnsi"/>
      <w:color w:themeColor="accent1" w:themeShade="BF" w:val="2F5496"/>
    </w:rPr>
  </w:style>
  <w:style w:styleId="SubtleEmphasis" w:type="character">
    <w:name w:val="Subtle Emphasis"/>
    <w:basedOn w:val="DefaultParagraphFont"/>
    <w:uiPriority w:val="19"/>
    <w:qFormat/>
    <w:rsid w:val="00CF39AD"/>
    <w:rPr>
      <w:i/>
      <w:iCs/>
      <w:color w:themeColor="text1" w:themeTint="BF" w:val="404040"/>
    </w:rPr>
  </w:style>
  <w:style w:styleId="Emphasis" w:type="character">
    <w:name w:val="Emphasis"/>
    <w:basedOn w:val="DefaultParagraphFont"/>
    <w:uiPriority w:val="20"/>
    <w:qFormat/>
    <w:rsid w:val="00D664A3"/>
    <w:rPr>
      <w:rFonts w:ascii="Arial" w:hAnsi="Arial"/>
      <w:b/>
      <w:i w:val="0"/>
      <w:iCs/>
      <w:sz w:val="24"/>
    </w:rPr>
  </w:style>
  <w:style w:customStyle="1" w:styleId="Heading6Char" w:type="character">
    <w:name w:val="Heading 6 Char"/>
    <w:basedOn w:val="DefaultParagraphFont"/>
    <w:link w:val="Heading6"/>
    <w:uiPriority w:val="9"/>
    <w:rsid w:val="00CF39AD"/>
    <w:rPr>
      <w:rFonts w:asciiTheme="majorHAnsi" w:cstheme="majorBidi" w:eastAsiaTheme="majorEastAsia" w:hAnsiTheme="majorHAnsi"/>
      <w:color w:themeColor="accent1" w:themeShade="7F" w:val="1F3763"/>
    </w:rPr>
  </w:style>
  <w:style w:customStyle="1" w:styleId="Heading7Char" w:type="character">
    <w:name w:val="Heading 7 Char"/>
    <w:basedOn w:val="DefaultParagraphFont"/>
    <w:link w:val="Heading7"/>
    <w:uiPriority w:val="9"/>
    <w:rsid w:val="00CF39AD"/>
    <w:rPr>
      <w:rFonts w:asciiTheme="majorHAnsi" w:cstheme="majorBidi" w:eastAsiaTheme="majorEastAsia" w:hAnsiTheme="majorHAnsi"/>
      <w:i/>
      <w:iCs/>
      <w:color w:themeColor="accent1" w:themeShade="7F" w:val="1F3763"/>
    </w:rPr>
  </w:style>
  <w:style w:customStyle="1" w:styleId="Heading8Char" w:type="character">
    <w:name w:val="Heading 8 Char"/>
    <w:basedOn w:val="DefaultParagraphFont"/>
    <w:link w:val="Heading8"/>
    <w:uiPriority w:val="9"/>
    <w:rsid w:val="00CF39AD"/>
    <w:rPr>
      <w:rFonts w:asciiTheme="majorHAnsi" w:cstheme="majorBidi" w:eastAsiaTheme="majorEastAsia" w:hAnsiTheme="majorHAnsi"/>
      <w:color w:themeColor="text1" w:themeTint="D8" w:val="272727"/>
      <w:sz w:val="21"/>
      <w:szCs w:val="21"/>
    </w:rPr>
  </w:style>
  <w:style w:customStyle="1" w:styleId="Heading9Char" w:type="character">
    <w:name w:val="Heading 9 Char"/>
    <w:basedOn w:val="DefaultParagraphFont"/>
    <w:link w:val="Heading9"/>
    <w:uiPriority w:val="9"/>
    <w:rsid w:val="00CF39AD"/>
    <w:rPr>
      <w:rFonts w:asciiTheme="majorHAnsi" w:cstheme="majorBidi" w:eastAsiaTheme="majorEastAsia" w:hAnsiTheme="majorHAnsi"/>
      <w:i/>
      <w:iCs/>
      <w:color w:themeColor="text1" w:themeTint="D8" w:val="272727"/>
      <w:sz w:val="21"/>
      <w:szCs w:val="21"/>
    </w:rPr>
  </w:style>
  <w:style w:styleId="Strong" w:type="character">
    <w:name w:val="Strong"/>
    <w:basedOn w:val="DefaultParagraphFont"/>
    <w:uiPriority w:val="22"/>
    <w:qFormat/>
    <w:rsid w:val="00D664A3"/>
    <w:rPr>
      <w:bCs/>
    </w:rPr>
  </w:style>
  <w:style w:styleId="BookTitle" w:type="character">
    <w:name w:val="Book Title"/>
    <w:basedOn w:val="DefaultParagraphFont"/>
    <w:uiPriority w:val="33"/>
    <w:qFormat/>
    <w:rsid w:val="00BA76BD"/>
    <w:rPr>
      <w:b/>
      <w:bCs/>
      <w:i/>
      <w:iCs/>
      <w:spacing w:val="5"/>
    </w:rPr>
  </w:style>
  <w:style w:customStyle="1" w:styleId="subsection" w:type="paragraph">
    <w:name w:val="subsection"/>
    <w:basedOn w:val="Normal"/>
    <w:next w:val="Normal"/>
    <w:qFormat/>
    <w:rsid w:val="00017754"/>
    <w:pPr>
      <w:spacing w:before="120"/>
    </w:pPr>
    <w:rPr>
      <w:rFonts w:asciiTheme="minorBidi" w:hAnsiTheme="minorBidi"/>
      <w:b/>
      <w:lang w:val="en-US"/>
    </w:rPr>
  </w:style>
  <w:style w:styleId="PageNumber" w:type="character">
    <w:name w:val="page number"/>
    <w:basedOn w:val="DefaultParagraphFont"/>
    <w:uiPriority w:val="99"/>
    <w:semiHidden/>
    <w:unhideWhenUsed/>
    <w:rsid w:val="008370C1"/>
  </w:style>
  <w:style w:styleId="Caption" w:type="paragraph">
    <w:name w:val="caption"/>
    <w:basedOn w:val="Normal"/>
    <w:next w:val="Normal"/>
    <w:uiPriority w:val="35"/>
    <w:unhideWhenUsed/>
    <w:qFormat/>
    <w:rsid w:val="004E220C"/>
    <w:pPr>
      <w:spacing w:after="200" w:line="240" w:lineRule="auto"/>
    </w:pPr>
    <w:rPr>
      <w:iCs/>
      <w:color w:themeColor="text1" w:val="000000"/>
      <w:szCs w:val="18"/>
    </w:rPr>
  </w:style>
  <w:style w:customStyle="1" w:styleId="TableCaption" w:type="paragraph">
    <w:name w:val="Table Caption"/>
    <w:qFormat/>
    <w:rsid w:val="00F84356"/>
    <w:rPr>
      <w:rFonts w:ascii="Arial" w:hAnsi="Arial"/>
    </w:rPr>
  </w:style>
  <w:style w:type="paragraph" w:customStyle="1" w:styleId="SourceCode">
    <w:name w:val="Source Code"/>
    <w:basedOn w:val="Normal"/>
    <w:link w:val="VerbatimChar"/>
    <w:pPr>
      <w:wordWrap w:val="off"/>
      <w:shd w:val="clear" w:fill="f8f8f8"/>
    </w:pPr>
  </w:style>
  <w:style w:type="character" w:customStyle="1" w:styleId="KeywordTok">
    <w:name w:val="KeywordTok"/>
    <w:basedOn w:val="VerbatimChar"/>
    <w:rPr>
      <w:color w:val="204a87"/>
      <w:shd w:val="clear" w:fill="f8f8f8"/>
      <w:b/>
    </w:rPr>
  </w:style>
  <w:style w:type="character" w:customStyle="1" w:styleId="DataTypeTok">
    <w:name w:val="DataTypeTok"/>
    <w:basedOn w:val="VerbatimChar"/>
    <w:rPr>
      <w:color w:val="204a87"/>
      <w:shd w:val="clear" w:fill="f8f8f8"/>
    </w:rPr>
  </w:style>
  <w:style w:type="character" w:customStyle="1" w:styleId="DecValTok">
    <w:name w:val="DecValTok"/>
    <w:basedOn w:val="VerbatimChar"/>
    <w:rPr>
      <w:color w:val="0000cf"/>
      <w:shd w:val="clear" w:fill="f8f8f8"/>
    </w:rPr>
  </w:style>
  <w:style w:type="character" w:customStyle="1" w:styleId="BaseNTok">
    <w:name w:val="BaseNTok"/>
    <w:basedOn w:val="VerbatimChar"/>
    <w:rPr>
      <w:color w:val="0000cf"/>
      <w:shd w:val="clear" w:fill="f8f8f8"/>
    </w:rPr>
  </w:style>
  <w:style w:type="character" w:customStyle="1" w:styleId="FloatTok">
    <w:name w:val="FloatTok"/>
    <w:basedOn w:val="VerbatimChar"/>
    <w:rPr>
      <w:color w:val="0000cf"/>
      <w:shd w:val="clear" w:fill="f8f8f8"/>
    </w:rPr>
  </w:style>
  <w:style w:type="character" w:customStyle="1" w:styleId="ConstantTok">
    <w:name w:val="ConstantTok"/>
    <w:basedOn w:val="VerbatimChar"/>
    <w:rPr>
      <w:color w:val="000000"/>
      <w:shd w:val="clear" w:fill="f8f8f8"/>
    </w:rPr>
  </w:style>
  <w:style w:type="character" w:customStyle="1" w:styleId="CharTok">
    <w:name w:val="CharTok"/>
    <w:basedOn w:val="VerbatimChar"/>
    <w:rPr>
      <w:color w:val="4e9a06"/>
      <w:shd w:val="clear" w:fill="f8f8f8"/>
    </w:rPr>
  </w:style>
  <w:style w:type="character" w:customStyle="1" w:styleId="SpecialCharTok">
    <w:name w:val="SpecialCharTok"/>
    <w:basedOn w:val="VerbatimChar"/>
    <w:rPr>
      <w:color w:val="000000"/>
      <w:shd w:val="clear" w:fill="f8f8f8"/>
    </w:rPr>
  </w:style>
  <w:style w:type="character" w:customStyle="1" w:styleId="StringTok">
    <w:name w:val="StringTok"/>
    <w:basedOn w:val="VerbatimChar"/>
    <w:rPr>
      <w:color w:val="4e9a06"/>
      <w:shd w:val="clear" w:fill="f8f8f8"/>
    </w:rPr>
  </w:style>
  <w:style w:type="character" w:customStyle="1" w:styleId="VerbatimStringTok">
    <w:name w:val="VerbatimStringTok"/>
    <w:basedOn w:val="VerbatimChar"/>
    <w:rPr>
      <w:color w:val="4e9a06"/>
      <w:shd w:val="clear" w:fill="f8f8f8"/>
    </w:rPr>
  </w:style>
  <w:style w:type="character" w:customStyle="1" w:styleId="SpecialStringTok">
    <w:name w:val="SpecialStringTok"/>
    <w:basedOn w:val="VerbatimChar"/>
    <w:rPr>
      <w:color w:val="4e9a06"/>
      <w:shd w:val="clear" w:fill="f8f8f8"/>
    </w:rPr>
  </w:style>
  <w:style w:type="character" w:customStyle="1" w:styleId="ImportTok">
    <w:name w:val="ImportTok"/>
    <w:basedOn w:val="VerbatimChar"/>
    <w:rPr>
      <w:shd w:val="clear" w:fill="f8f8f8"/>
    </w:rPr>
  </w:style>
  <w:style w:type="character" w:customStyle="1" w:styleId="CommentTok">
    <w:name w:val="CommentTok"/>
    <w:basedOn w:val="VerbatimChar"/>
    <w:rPr>
      <w:color w:val="8f5902"/>
      <w:shd w:val="clear" w:fill="f8f8f8"/>
      <w:i/>
    </w:rPr>
  </w:style>
  <w:style w:type="character" w:customStyle="1" w:styleId="DocumentationTok">
    <w:name w:val="DocumentationTok"/>
    <w:basedOn w:val="VerbatimChar"/>
    <w:rPr>
      <w:color w:val="8f5902"/>
      <w:shd w:val="clear" w:fill="f8f8f8"/>
      <w:b/>
      <w:i/>
    </w:rPr>
  </w:style>
  <w:style w:type="character" w:customStyle="1" w:styleId="AnnotationTok">
    <w:name w:val="AnnotationTok"/>
    <w:basedOn w:val="VerbatimChar"/>
    <w:rPr>
      <w:color w:val="8f5902"/>
      <w:shd w:val="clear" w:fill="f8f8f8"/>
      <w:b/>
      <w:i/>
    </w:rPr>
  </w:style>
  <w:style w:type="character" w:customStyle="1" w:styleId="CommentVarTok">
    <w:name w:val="CommentVarTok"/>
    <w:basedOn w:val="VerbatimChar"/>
    <w:rPr>
      <w:color w:val="8f5902"/>
      <w:shd w:val="clear" w:fill="f8f8f8"/>
      <w:b/>
      <w:i/>
    </w:rPr>
  </w:style>
  <w:style w:type="character" w:customStyle="1" w:styleId="OtherTok">
    <w:name w:val="OtherTok"/>
    <w:basedOn w:val="VerbatimChar"/>
    <w:rPr>
      <w:color w:val="8f5902"/>
      <w:shd w:val="clear" w:fill="f8f8f8"/>
    </w:rPr>
  </w:style>
  <w:style w:type="character" w:customStyle="1" w:styleId="FunctionTok">
    <w:name w:val="FunctionTok"/>
    <w:basedOn w:val="VerbatimChar"/>
    <w:rPr>
      <w:color w:val="000000"/>
      <w:shd w:val="clear" w:fill="f8f8f8"/>
    </w:rPr>
  </w:style>
  <w:style w:type="character" w:customStyle="1" w:styleId="VariableTok">
    <w:name w:val="VariableTok"/>
    <w:basedOn w:val="VerbatimChar"/>
    <w:rPr>
      <w:color w:val="000000"/>
      <w:shd w:val="clear" w:fill="f8f8f8"/>
    </w:rPr>
  </w:style>
  <w:style w:type="character" w:customStyle="1" w:styleId="ControlFlowTok">
    <w:name w:val="ControlFlowTok"/>
    <w:basedOn w:val="VerbatimChar"/>
    <w:rPr>
      <w:color w:val="204a87"/>
      <w:shd w:val="clear" w:fill="f8f8f8"/>
      <w:b/>
    </w:rPr>
  </w:style>
  <w:style w:type="character" w:customStyle="1" w:styleId="OperatorTok">
    <w:name w:val="OperatorTok"/>
    <w:basedOn w:val="VerbatimChar"/>
    <w:rPr>
      <w:color w:val="ce5c00"/>
      <w:shd w:val="clear" w:fill="f8f8f8"/>
      <w:b/>
    </w:rPr>
  </w:style>
  <w:style w:type="character" w:customStyle="1" w:styleId="BuiltInTok">
    <w:name w:val="BuiltInTok"/>
    <w:basedOn w:val="VerbatimChar"/>
    <w:rPr>
      <w:shd w:val="clear" w:fill="f8f8f8"/>
    </w:rPr>
  </w:style>
  <w:style w:type="character" w:customStyle="1" w:styleId="ExtensionTok">
    <w:name w:val="ExtensionTok"/>
    <w:basedOn w:val="VerbatimChar"/>
    <w:rPr>
      <w:shd w:val="clear" w:fill="f8f8f8"/>
    </w:rPr>
  </w:style>
  <w:style w:type="character" w:customStyle="1" w:styleId="PreprocessorTok">
    <w:name w:val="PreprocessorTok"/>
    <w:basedOn w:val="VerbatimChar"/>
    <w:rPr>
      <w:color w:val="8f5902"/>
      <w:shd w:val="clear" w:fill="f8f8f8"/>
      <w:i/>
    </w:rPr>
  </w:style>
  <w:style w:type="character" w:customStyle="1" w:styleId="AttributeTok">
    <w:name w:val="AttributeTok"/>
    <w:basedOn w:val="VerbatimChar"/>
    <w:rPr>
      <w:color w:val="c4a000"/>
      <w:shd w:val="clear" w:fill="f8f8f8"/>
    </w:rPr>
  </w:style>
  <w:style w:type="character" w:customStyle="1" w:styleId="RegionMarkerTok">
    <w:name w:val="RegionMarkerTok"/>
    <w:basedOn w:val="VerbatimChar"/>
    <w:rPr>
      <w:shd w:val="clear" w:fill="f8f8f8"/>
    </w:rPr>
  </w:style>
  <w:style w:type="character" w:customStyle="1" w:styleId="InformationTok">
    <w:name w:val="InformationTok"/>
    <w:basedOn w:val="VerbatimChar"/>
    <w:rPr>
      <w:color w:val="8f5902"/>
      <w:shd w:val="clear" w:fill="f8f8f8"/>
      <w:b/>
      <w:i/>
    </w:rPr>
  </w:style>
  <w:style w:type="character" w:customStyle="1" w:styleId="WarningTok">
    <w:name w:val="WarningTok"/>
    <w:basedOn w:val="VerbatimChar"/>
    <w:rPr>
      <w:color w:val="8f5902"/>
      <w:shd w:val="clear" w:fill="f8f8f8"/>
      <w:b/>
      <w:i/>
    </w:rPr>
  </w:style>
  <w:style w:type="character" w:customStyle="1" w:styleId="AlertTok">
    <w:name w:val="AlertTok"/>
    <w:basedOn w:val="VerbatimChar"/>
    <w:rPr>
      <w:color w:val="ef2929"/>
      <w:shd w:val="clear" w:fill="f8f8f8"/>
    </w:rPr>
  </w:style>
  <w:style w:type="character" w:customStyle="1" w:styleId="ErrorTok">
    <w:name w:val="ErrorTok"/>
    <w:basedOn w:val="VerbatimChar"/>
    <w:rPr>
      <w:color w:val="a40000"/>
      <w:shd w:val="clear" w:fill="f8f8f8"/>
      <w:b/>
    </w:rPr>
  </w:style>
  <w:style w:type="character" w:customStyle="1" w:styleId="NormalTok">
    <w:name w:val="NormalTok"/>
    <w:basedOn w:val="VerbatimChar"/>
    <w:rPr>
      <w:shd w:val="clear"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698391">
      <w:bodyDiv w:val="1"/>
      <w:marLeft w:val="0"/>
      <w:marRight w:val="0"/>
      <w:marTop w:val="0"/>
      <w:marBottom w:val="0"/>
      <w:divBdr>
        <w:top w:val="none" w:sz="0" w:space="0" w:color="auto"/>
        <w:left w:val="none" w:sz="0" w:space="0" w:color="auto"/>
        <w:bottom w:val="none" w:sz="0" w:space="0" w:color="auto"/>
        <w:right w:val="none" w:sz="0" w:space="0" w:color="auto"/>
      </w:divBdr>
    </w:div>
    <w:div w:id="204368250">
      <w:bodyDiv w:val="1"/>
      <w:marLeft w:val="0"/>
      <w:marRight w:val="0"/>
      <w:marTop w:val="0"/>
      <w:marBottom w:val="0"/>
      <w:divBdr>
        <w:top w:val="none" w:sz="0" w:space="0" w:color="auto"/>
        <w:left w:val="none" w:sz="0" w:space="0" w:color="auto"/>
        <w:bottom w:val="none" w:sz="0" w:space="0" w:color="auto"/>
        <w:right w:val="none" w:sz="0" w:space="0" w:color="auto"/>
      </w:divBdr>
    </w:div>
    <w:div w:id="506335729">
      <w:bodyDiv w:val="1"/>
      <w:marLeft w:val="0"/>
      <w:marRight w:val="0"/>
      <w:marTop w:val="0"/>
      <w:marBottom w:val="0"/>
      <w:divBdr>
        <w:top w:val="none" w:sz="0" w:space="0" w:color="auto"/>
        <w:left w:val="none" w:sz="0" w:space="0" w:color="auto"/>
        <w:bottom w:val="none" w:sz="0" w:space="0" w:color="auto"/>
        <w:right w:val="none" w:sz="0" w:space="0" w:color="auto"/>
      </w:divBdr>
    </w:div>
    <w:div w:id="567377602">
      <w:bodyDiv w:val="1"/>
      <w:marLeft w:val="0"/>
      <w:marRight w:val="0"/>
      <w:marTop w:val="0"/>
      <w:marBottom w:val="0"/>
      <w:divBdr>
        <w:top w:val="none" w:sz="0" w:space="0" w:color="auto"/>
        <w:left w:val="none" w:sz="0" w:space="0" w:color="auto"/>
        <w:bottom w:val="none" w:sz="0" w:space="0" w:color="auto"/>
        <w:right w:val="none" w:sz="0" w:space="0" w:color="auto"/>
      </w:divBdr>
    </w:div>
    <w:div w:id="675501009">
      <w:bodyDiv w:val="1"/>
      <w:marLeft w:val="0"/>
      <w:marRight w:val="0"/>
      <w:marTop w:val="0"/>
      <w:marBottom w:val="0"/>
      <w:divBdr>
        <w:top w:val="none" w:sz="0" w:space="0" w:color="auto"/>
        <w:left w:val="none" w:sz="0" w:space="0" w:color="auto"/>
        <w:bottom w:val="none" w:sz="0" w:space="0" w:color="auto"/>
        <w:right w:val="none" w:sz="0" w:space="0" w:color="auto"/>
      </w:divBdr>
      <w:divsChild>
        <w:div w:id="412165230">
          <w:marLeft w:val="0"/>
          <w:marRight w:val="0"/>
          <w:marTop w:val="0"/>
          <w:marBottom w:val="0"/>
          <w:divBdr>
            <w:top w:val="none" w:sz="0" w:space="0" w:color="auto"/>
            <w:left w:val="none" w:sz="0" w:space="0" w:color="auto"/>
            <w:bottom w:val="none" w:sz="0" w:space="0" w:color="auto"/>
            <w:right w:val="none" w:sz="0" w:space="0" w:color="auto"/>
          </w:divBdr>
          <w:divsChild>
            <w:div w:id="1942519450">
              <w:marLeft w:val="0"/>
              <w:marRight w:val="0"/>
              <w:marTop w:val="0"/>
              <w:marBottom w:val="0"/>
              <w:divBdr>
                <w:top w:val="none" w:sz="0" w:space="0" w:color="auto"/>
                <w:left w:val="none" w:sz="0" w:space="0" w:color="auto"/>
                <w:bottom w:val="none" w:sz="0" w:space="0" w:color="auto"/>
                <w:right w:val="none" w:sz="0" w:space="0" w:color="auto"/>
              </w:divBdr>
              <w:divsChild>
                <w:div w:id="271859414">
                  <w:marLeft w:val="0"/>
                  <w:marRight w:val="0"/>
                  <w:marTop w:val="0"/>
                  <w:marBottom w:val="0"/>
                  <w:divBdr>
                    <w:top w:val="none" w:sz="0" w:space="0" w:color="auto"/>
                    <w:left w:val="none" w:sz="0" w:space="0" w:color="auto"/>
                    <w:bottom w:val="none" w:sz="0" w:space="0" w:color="auto"/>
                    <w:right w:val="none" w:sz="0" w:space="0" w:color="auto"/>
                  </w:divBdr>
                </w:div>
                <w:div w:id="796264922">
                  <w:marLeft w:val="0"/>
                  <w:marRight w:val="0"/>
                  <w:marTop w:val="0"/>
                  <w:marBottom w:val="0"/>
                  <w:divBdr>
                    <w:top w:val="none" w:sz="0" w:space="0" w:color="auto"/>
                    <w:left w:val="none" w:sz="0" w:space="0" w:color="auto"/>
                    <w:bottom w:val="none" w:sz="0" w:space="0" w:color="auto"/>
                    <w:right w:val="none" w:sz="0" w:space="0" w:color="auto"/>
                  </w:divBdr>
                </w:div>
                <w:div w:id="18240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56228">
      <w:bodyDiv w:val="1"/>
      <w:marLeft w:val="0"/>
      <w:marRight w:val="0"/>
      <w:marTop w:val="0"/>
      <w:marBottom w:val="0"/>
      <w:divBdr>
        <w:top w:val="none" w:sz="0" w:space="0" w:color="auto"/>
        <w:left w:val="none" w:sz="0" w:space="0" w:color="auto"/>
        <w:bottom w:val="none" w:sz="0" w:space="0" w:color="auto"/>
        <w:right w:val="none" w:sz="0" w:space="0" w:color="auto"/>
      </w:divBdr>
      <w:divsChild>
        <w:div w:id="1040325024">
          <w:marLeft w:val="0"/>
          <w:marRight w:val="0"/>
          <w:marTop w:val="0"/>
          <w:marBottom w:val="0"/>
          <w:divBdr>
            <w:top w:val="none" w:sz="0" w:space="0" w:color="auto"/>
            <w:left w:val="none" w:sz="0" w:space="0" w:color="auto"/>
            <w:bottom w:val="none" w:sz="0" w:space="0" w:color="auto"/>
            <w:right w:val="none" w:sz="0" w:space="0" w:color="auto"/>
          </w:divBdr>
          <w:divsChild>
            <w:div w:id="211694197">
              <w:marLeft w:val="0"/>
              <w:marRight w:val="0"/>
              <w:marTop w:val="0"/>
              <w:marBottom w:val="0"/>
              <w:divBdr>
                <w:top w:val="none" w:sz="0" w:space="0" w:color="auto"/>
                <w:left w:val="none" w:sz="0" w:space="0" w:color="auto"/>
                <w:bottom w:val="none" w:sz="0" w:space="0" w:color="auto"/>
                <w:right w:val="none" w:sz="0" w:space="0" w:color="auto"/>
              </w:divBdr>
              <w:divsChild>
                <w:div w:id="103195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53470">
      <w:bodyDiv w:val="1"/>
      <w:marLeft w:val="0"/>
      <w:marRight w:val="0"/>
      <w:marTop w:val="0"/>
      <w:marBottom w:val="0"/>
      <w:divBdr>
        <w:top w:val="none" w:sz="0" w:space="0" w:color="auto"/>
        <w:left w:val="none" w:sz="0" w:space="0" w:color="auto"/>
        <w:bottom w:val="none" w:sz="0" w:space="0" w:color="auto"/>
        <w:right w:val="none" w:sz="0" w:space="0" w:color="auto"/>
      </w:divBdr>
    </w:div>
    <w:div w:id="1097943603">
      <w:bodyDiv w:val="1"/>
      <w:marLeft w:val="0"/>
      <w:marRight w:val="0"/>
      <w:marTop w:val="0"/>
      <w:marBottom w:val="0"/>
      <w:divBdr>
        <w:top w:val="none" w:sz="0" w:space="0" w:color="auto"/>
        <w:left w:val="none" w:sz="0" w:space="0" w:color="auto"/>
        <w:bottom w:val="none" w:sz="0" w:space="0" w:color="auto"/>
        <w:right w:val="none" w:sz="0" w:space="0" w:color="auto"/>
      </w:divBdr>
      <w:divsChild>
        <w:div w:id="162742889">
          <w:marLeft w:val="0"/>
          <w:marRight w:val="0"/>
          <w:marTop w:val="0"/>
          <w:marBottom w:val="0"/>
          <w:divBdr>
            <w:top w:val="none" w:sz="0" w:space="0" w:color="auto"/>
            <w:left w:val="none" w:sz="0" w:space="0" w:color="auto"/>
            <w:bottom w:val="none" w:sz="0" w:space="0" w:color="auto"/>
            <w:right w:val="none" w:sz="0" w:space="0" w:color="auto"/>
          </w:divBdr>
        </w:div>
      </w:divsChild>
    </w:div>
    <w:div w:id="1262563405">
      <w:bodyDiv w:val="1"/>
      <w:marLeft w:val="0"/>
      <w:marRight w:val="0"/>
      <w:marTop w:val="0"/>
      <w:marBottom w:val="0"/>
      <w:divBdr>
        <w:top w:val="none" w:sz="0" w:space="0" w:color="auto"/>
        <w:left w:val="none" w:sz="0" w:space="0" w:color="auto"/>
        <w:bottom w:val="none" w:sz="0" w:space="0" w:color="auto"/>
        <w:right w:val="none" w:sz="0" w:space="0" w:color="auto"/>
      </w:divBdr>
    </w:div>
    <w:div w:id="1278950735">
      <w:bodyDiv w:val="1"/>
      <w:marLeft w:val="0"/>
      <w:marRight w:val="0"/>
      <w:marTop w:val="0"/>
      <w:marBottom w:val="0"/>
      <w:divBdr>
        <w:top w:val="none" w:sz="0" w:space="0" w:color="auto"/>
        <w:left w:val="none" w:sz="0" w:space="0" w:color="auto"/>
        <w:bottom w:val="none" w:sz="0" w:space="0" w:color="auto"/>
        <w:right w:val="none" w:sz="0" w:space="0" w:color="auto"/>
      </w:divBdr>
      <w:divsChild>
        <w:div w:id="1991398795">
          <w:marLeft w:val="0"/>
          <w:marRight w:val="0"/>
          <w:marTop w:val="0"/>
          <w:marBottom w:val="0"/>
          <w:divBdr>
            <w:top w:val="none" w:sz="0" w:space="0" w:color="auto"/>
            <w:left w:val="none" w:sz="0" w:space="0" w:color="auto"/>
            <w:bottom w:val="none" w:sz="0" w:space="0" w:color="auto"/>
            <w:right w:val="none" w:sz="0" w:space="0" w:color="auto"/>
          </w:divBdr>
          <w:divsChild>
            <w:div w:id="726495383">
              <w:marLeft w:val="0"/>
              <w:marRight w:val="0"/>
              <w:marTop w:val="0"/>
              <w:marBottom w:val="0"/>
              <w:divBdr>
                <w:top w:val="none" w:sz="0" w:space="0" w:color="auto"/>
                <w:left w:val="none" w:sz="0" w:space="0" w:color="auto"/>
                <w:bottom w:val="none" w:sz="0" w:space="0" w:color="auto"/>
                <w:right w:val="none" w:sz="0" w:space="0" w:color="auto"/>
              </w:divBdr>
              <w:divsChild>
                <w:div w:id="1669940984">
                  <w:marLeft w:val="0"/>
                  <w:marRight w:val="0"/>
                  <w:marTop w:val="0"/>
                  <w:marBottom w:val="0"/>
                  <w:divBdr>
                    <w:top w:val="none" w:sz="0" w:space="0" w:color="auto"/>
                    <w:left w:val="none" w:sz="0" w:space="0" w:color="auto"/>
                    <w:bottom w:val="none" w:sz="0" w:space="0" w:color="auto"/>
                    <w:right w:val="none" w:sz="0" w:space="0" w:color="auto"/>
                  </w:divBdr>
                  <w:divsChild>
                    <w:div w:id="15587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3439">
      <w:bodyDiv w:val="1"/>
      <w:marLeft w:val="0"/>
      <w:marRight w:val="0"/>
      <w:marTop w:val="0"/>
      <w:marBottom w:val="0"/>
      <w:divBdr>
        <w:top w:val="none" w:sz="0" w:space="0" w:color="auto"/>
        <w:left w:val="none" w:sz="0" w:space="0" w:color="auto"/>
        <w:bottom w:val="none" w:sz="0" w:space="0" w:color="auto"/>
        <w:right w:val="none" w:sz="0" w:space="0" w:color="auto"/>
      </w:divBdr>
      <w:divsChild>
        <w:div w:id="421679876">
          <w:marLeft w:val="0"/>
          <w:marRight w:val="0"/>
          <w:marTop w:val="0"/>
          <w:marBottom w:val="0"/>
          <w:divBdr>
            <w:top w:val="none" w:sz="0" w:space="0" w:color="auto"/>
            <w:left w:val="none" w:sz="0" w:space="0" w:color="auto"/>
            <w:bottom w:val="none" w:sz="0" w:space="0" w:color="auto"/>
            <w:right w:val="none" w:sz="0" w:space="0" w:color="auto"/>
          </w:divBdr>
          <w:divsChild>
            <w:div w:id="479201808">
              <w:marLeft w:val="0"/>
              <w:marRight w:val="0"/>
              <w:marTop w:val="0"/>
              <w:marBottom w:val="0"/>
              <w:divBdr>
                <w:top w:val="none" w:sz="0" w:space="0" w:color="auto"/>
                <w:left w:val="none" w:sz="0" w:space="0" w:color="auto"/>
                <w:bottom w:val="none" w:sz="0" w:space="0" w:color="auto"/>
                <w:right w:val="none" w:sz="0" w:space="0" w:color="auto"/>
              </w:divBdr>
              <w:divsChild>
                <w:div w:id="152031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60297">
      <w:bodyDiv w:val="1"/>
      <w:marLeft w:val="0"/>
      <w:marRight w:val="0"/>
      <w:marTop w:val="0"/>
      <w:marBottom w:val="0"/>
      <w:divBdr>
        <w:top w:val="none" w:sz="0" w:space="0" w:color="auto"/>
        <w:left w:val="none" w:sz="0" w:space="0" w:color="auto"/>
        <w:bottom w:val="none" w:sz="0" w:space="0" w:color="auto"/>
        <w:right w:val="none" w:sz="0" w:space="0" w:color="auto"/>
      </w:divBdr>
    </w:div>
    <w:div w:id="1480418098">
      <w:bodyDiv w:val="1"/>
      <w:marLeft w:val="0"/>
      <w:marRight w:val="0"/>
      <w:marTop w:val="0"/>
      <w:marBottom w:val="0"/>
      <w:divBdr>
        <w:top w:val="none" w:sz="0" w:space="0" w:color="auto"/>
        <w:left w:val="none" w:sz="0" w:space="0" w:color="auto"/>
        <w:bottom w:val="none" w:sz="0" w:space="0" w:color="auto"/>
        <w:right w:val="none" w:sz="0" w:space="0" w:color="auto"/>
      </w:divBdr>
    </w:div>
    <w:div w:id="1618831980">
      <w:bodyDiv w:val="1"/>
      <w:marLeft w:val="0"/>
      <w:marRight w:val="0"/>
      <w:marTop w:val="0"/>
      <w:marBottom w:val="0"/>
      <w:divBdr>
        <w:top w:val="none" w:sz="0" w:space="0" w:color="auto"/>
        <w:left w:val="none" w:sz="0" w:space="0" w:color="auto"/>
        <w:bottom w:val="none" w:sz="0" w:space="0" w:color="auto"/>
        <w:right w:val="none" w:sz="0" w:space="0" w:color="auto"/>
      </w:divBdr>
      <w:divsChild>
        <w:div w:id="221332621">
          <w:marLeft w:val="0"/>
          <w:marRight w:val="0"/>
          <w:marTop w:val="0"/>
          <w:marBottom w:val="0"/>
          <w:divBdr>
            <w:top w:val="none" w:sz="0" w:space="0" w:color="auto"/>
            <w:left w:val="none" w:sz="0" w:space="0" w:color="auto"/>
            <w:bottom w:val="none" w:sz="0" w:space="0" w:color="auto"/>
            <w:right w:val="none" w:sz="0" w:space="0" w:color="auto"/>
          </w:divBdr>
          <w:divsChild>
            <w:div w:id="1370957630">
              <w:marLeft w:val="0"/>
              <w:marRight w:val="0"/>
              <w:marTop w:val="0"/>
              <w:marBottom w:val="0"/>
              <w:divBdr>
                <w:top w:val="none" w:sz="0" w:space="0" w:color="auto"/>
                <w:left w:val="none" w:sz="0" w:space="0" w:color="auto"/>
                <w:bottom w:val="none" w:sz="0" w:space="0" w:color="auto"/>
                <w:right w:val="none" w:sz="0" w:space="0" w:color="auto"/>
              </w:divBdr>
              <w:divsChild>
                <w:div w:id="61645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862877">
      <w:bodyDiv w:val="1"/>
      <w:marLeft w:val="0"/>
      <w:marRight w:val="0"/>
      <w:marTop w:val="0"/>
      <w:marBottom w:val="0"/>
      <w:divBdr>
        <w:top w:val="none" w:sz="0" w:space="0" w:color="auto"/>
        <w:left w:val="none" w:sz="0" w:space="0" w:color="auto"/>
        <w:bottom w:val="none" w:sz="0" w:space="0" w:color="auto"/>
        <w:right w:val="none" w:sz="0" w:space="0" w:color="auto"/>
      </w:divBdr>
    </w:div>
    <w:div w:id="1749695082">
      <w:bodyDiv w:val="1"/>
      <w:marLeft w:val="0"/>
      <w:marRight w:val="0"/>
      <w:marTop w:val="0"/>
      <w:marBottom w:val="0"/>
      <w:divBdr>
        <w:top w:val="none" w:sz="0" w:space="0" w:color="auto"/>
        <w:left w:val="none" w:sz="0" w:space="0" w:color="auto"/>
        <w:bottom w:val="none" w:sz="0" w:space="0" w:color="auto"/>
        <w:right w:val="none" w:sz="0" w:space="0" w:color="auto"/>
      </w:divBdr>
      <w:divsChild>
        <w:div w:id="1107000451">
          <w:marLeft w:val="0"/>
          <w:marRight w:val="0"/>
          <w:marTop w:val="0"/>
          <w:marBottom w:val="0"/>
          <w:divBdr>
            <w:top w:val="none" w:sz="0" w:space="0" w:color="auto"/>
            <w:left w:val="none" w:sz="0" w:space="0" w:color="auto"/>
            <w:bottom w:val="none" w:sz="0" w:space="0" w:color="auto"/>
            <w:right w:val="none" w:sz="0" w:space="0" w:color="auto"/>
          </w:divBdr>
          <w:divsChild>
            <w:div w:id="235627175">
              <w:marLeft w:val="0"/>
              <w:marRight w:val="0"/>
              <w:marTop w:val="0"/>
              <w:marBottom w:val="0"/>
              <w:divBdr>
                <w:top w:val="none" w:sz="0" w:space="0" w:color="auto"/>
                <w:left w:val="none" w:sz="0" w:space="0" w:color="auto"/>
                <w:bottom w:val="none" w:sz="0" w:space="0" w:color="auto"/>
                <w:right w:val="none" w:sz="0" w:space="0" w:color="auto"/>
              </w:divBdr>
              <w:divsChild>
                <w:div w:id="95251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Id="rId10" Target="footer2.xml" Type="http://schemas.openxmlformats.org/officeDocument/2006/relationships/footer" /><Relationship Type="http://schemas.openxmlformats.org/officeDocument/2006/relationships/image" Id="rId33" Target="media/rId33.png" /><Relationship Type="http://schemas.openxmlformats.org/officeDocument/2006/relationships/hyperlink" Id="rId39" Target="https://arxiv.org/abs/1508.06749" TargetMode="External" /><Relationship Type="http://schemas.openxmlformats.org/officeDocument/2006/relationships/hyperlink" Id="rId41" Target="https://cran.r-project.org/package=tram" TargetMode="External" /><Relationship Type="http://schemas.openxmlformats.org/officeDocument/2006/relationships/hyperlink" Id="rId37" Target="https://doi.org/10.1002/sim.8086" TargetMode="External" /></Relationships>
</file>

<file path=word/_rels/footnotes.xml.rels><?xml version="1.0" encoding="UTF-8"?><Relationships xmlns="http://schemas.openxmlformats.org/package/2006/relationships"><Relationship Type="http://schemas.openxmlformats.org/officeDocument/2006/relationships/hyperlink" Id="rId39" Target="https://arxiv.org/abs/1508.06749" TargetMode="External" /><Relationship Type="http://schemas.openxmlformats.org/officeDocument/2006/relationships/hyperlink" Id="rId41" Target="https://cran.r-project.org/package=tram" TargetMode="External" /><Relationship Type="http://schemas.openxmlformats.org/officeDocument/2006/relationships/hyperlink" Id="rId37" Target="https://doi.org/10.1002/sim.8086"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1153</Words>
  <Characters>6574</Characters>
  <Application>Microsoft Office Word</Application>
  <DocSecurity>0</DocSecurity>
  <Lines>54</Lines>
  <Paragraphs>15</Paragraphs>
  <ScaleCrop>false</ScaleCrop>
  <HeadingPairs>
    <vt:vector size="8" baseType="variant">
      <vt:variant>
        <vt:lpstr>Title</vt:lpstr>
      </vt:variant>
      <vt:variant>
        <vt:i4>1</vt:i4>
      </vt:variant>
      <vt:variant>
        <vt:lpstr>Titel</vt:lpstr>
      </vt:variant>
      <vt:variant>
        <vt:i4>1</vt:i4>
      </vt:variant>
      <vt:variant>
        <vt:lpstr>Rubrik</vt:lpstr>
      </vt:variant>
      <vt:variant>
        <vt:i4>1</vt:i4>
      </vt:variant>
      <vt:variant>
        <vt:lpstr>Tittel</vt:lpstr>
      </vt:variant>
      <vt:variant>
        <vt:i4>1</vt:i4>
      </vt:variant>
    </vt:vector>
  </HeadingPairs>
  <TitlesOfParts>
    <vt:vector size="4" baseType="lpstr">
      <vt:lpstr/>
      <vt:lpstr/>
      <vt:lpstr/>
      <vt:lpstr/>
    </vt:vector>
  </TitlesOfParts>
  <Manager/>
  <Company/>
  <LinksUpToDate>false</LinksUpToDate>
  <CharactersWithSpaces>7712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Additional file 1 - Supplementary methods for ‘Impact of treatment discontinuation definitions on comparative retention studies: a simulation-based case study in spondyloarthritis’.</dc:title>
  <dc:creator/>
  <cp:keywords/>
  <dcterms:created xsi:type="dcterms:W3CDTF">2024-09-20T13:52:29Z</dcterms:created>
  <dcterms:modified xsi:type="dcterms:W3CDTF">2024-09-20T13:52:29Z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EuroSpA_D7_references.bib</vt:lpwstr>
  </property>
  <property fmtid="{D5CDD505-2E9C-101B-9397-08002B2CF9AE}" pid="3" name="csl">
    <vt:lpwstr>vancouver.csl</vt:lpwstr>
  </property>
  <property fmtid="{D5CDD505-2E9C-101B-9397-08002B2CF9AE}" pid="4" name="output">
    <vt:lpwstr/>
  </property>
</Properties>
</file>