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02F79" w14:textId="77777777" w:rsidR="00480BAB" w:rsidRPr="000759C7" w:rsidRDefault="00480BAB" w:rsidP="00480BAB">
      <w:pPr>
        <w:spacing w:after="200" w:line="276" w:lineRule="auto"/>
        <w:rPr>
          <w:color w:val="000000" w:themeColor="text1"/>
          <w:lang w:val="en-GB"/>
        </w:rPr>
      </w:pPr>
      <w:r w:rsidRPr="000759C7">
        <w:rPr>
          <w:color w:val="000000" w:themeColor="text1"/>
          <w:lang w:val="en-GB"/>
        </w:rPr>
        <w:t>Appendix 1</w:t>
      </w:r>
    </w:p>
    <w:p w14:paraId="0579F121" w14:textId="77777777" w:rsidR="00480BAB" w:rsidRPr="000759C7" w:rsidRDefault="00480BAB" w:rsidP="00480BAB">
      <w:pPr>
        <w:spacing w:after="200" w:line="276" w:lineRule="auto"/>
        <w:rPr>
          <w:color w:val="000000" w:themeColor="text1"/>
          <w:lang w:val="en-GB"/>
        </w:rPr>
      </w:pPr>
    </w:p>
    <w:p w14:paraId="32242CFF" w14:textId="77777777" w:rsidR="00480BAB" w:rsidRPr="000759C7" w:rsidRDefault="00480BAB" w:rsidP="00480BAB">
      <w:pPr>
        <w:spacing w:before="100" w:beforeAutospacing="1" w:after="100" w:afterAutospacing="1"/>
        <w:ind w:left="720"/>
        <w:rPr>
          <w:rFonts w:ascii="TimesNewRoman" w:hAnsi="TimesNewRoman"/>
          <w:lang w:val="en-GB" w:eastAsia="zh-CN"/>
        </w:rPr>
      </w:pPr>
      <w:r w:rsidRPr="000759C7">
        <w:rPr>
          <w:color w:val="000000" w:themeColor="text1"/>
          <w:lang w:val="en-GB"/>
        </w:rPr>
        <w:t>Inclusio</w:t>
      </w:r>
      <w:r w:rsidRPr="000759C7">
        <w:rPr>
          <w:rFonts w:ascii="TimesNewRoman" w:hAnsi="TimesNewRoman"/>
          <w:lang w:val="en-GB" w:eastAsia="zh-CN"/>
        </w:rPr>
        <w:t xml:space="preserve">n criteria: </w:t>
      </w:r>
    </w:p>
    <w:p w14:paraId="30DEFA58"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Healthy Subjects age 20-50 inclusive. </w:t>
      </w:r>
    </w:p>
    <w:p w14:paraId="7536D549"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Body mass index (BMI) of #19 to </w:t>
      </w:r>
      <w:r w:rsidRPr="000759C7">
        <w:rPr>
          <w:rFonts w:ascii="Cambria Math" w:hAnsi="Cambria Math" w:cs="Cambria Math"/>
          <w:lang w:val="en-GB" w:eastAsia="zh-CN"/>
        </w:rPr>
        <w:t>∃</w:t>
      </w:r>
      <w:r w:rsidRPr="000759C7">
        <w:rPr>
          <w:rFonts w:ascii="TimesNewRoman" w:hAnsi="TimesNewRoman"/>
          <w:lang w:val="en-GB" w:eastAsia="zh-CN"/>
        </w:rPr>
        <w:t xml:space="preserve">30 kg/m2. </w:t>
      </w:r>
    </w:p>
    <w:p w14:paraId="53A1511F"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Normal sMRI scan performed within 3 months, as judged by the investigator. </w:t>
      </w:r>
    </w:p>
    <w:p w14:paraId="6EB1F8FC"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is, in the opinion of the investigator, generally healthy based on assessment of medical history, physical examination, vital signs, ECG, and the results of the hematology, clinical chemistry, urinalysis, serology, and other laboratory tests. </w:t>
      </w:r>
    </w:p>
    <w:p w14:paraId="3CA9DCE0"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Women of childbearing potential and men whose partner is of childbearing. potential must be willing to ensure that they or their partner use effective contraception (see section 5.6.8) during the trial and for 3 months thereafter. </w:t>
      </w:r>
    </w:p>
    <w:p w14:paraId="5B8B44A1"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A propensity to tolerate confined spaces for prolonged periods. </w:t>
      </w:r>
    </w:p>
    <w:p w14:paraId="08D4CABB" w14:textId="77777777" w:rsidR="00480BAB" w:rsidRPr="000759C7" w:rsidRDefault="00480BAB" w:rsidP="00480BAB">
      <w:pPr>
        <w:numPr>
          <w:ilvl w:val="0"/>
          <w:numId w:val="1"/>
        </w:numPr>
        <w:spacing w:before="100" w:beforeAutospacing="1" w:after="100" w:afterAutospacing="1"/>
        <w:rPr>
          <w:color w:val="000000" w:themeColor="text1"/>
          <w:lang w:val="en-GB"/>
        </w:rPr>
      </w:pPr>
      <w:r w:rsidRPr="000759C7">
        <w:rPr>
          <w:rFonts w:ascii="TimesNewRoman" w:hAnsi="TimesNewRoman"/>
          <w:lang w:val="en-GB" w:eastAsia="zh-CN"/>
        </w:rPr>
        <w:t>Suitability</w:t>
      </w:r>
      <w:r w:rsidRPr="000759C7">
        <w:rPr>
          <w:color w:val="000000" w:themeColor="text1"/>
          <w:lang w:val="en-GB"/>
        </w:rPr>
        <w:t xml:space="preserve"> for radial and/or brachial artery blood sampling and cannulation. </w:t>
      </w:r>
    </w:p>
    <w:p w14:paraId="66720D2C" w14:textId="77777777" w:rsidR="00480BAB" w:rsidRPr="000759C7" w:rsidRDefault="00480BAB" w:rsidP="00480BAB">
      <w:pPr>
        <w:spacing w:after="200" w:line="276" w:lineRule="auto"/>
        <w:rPr>
          <w:color w:val="000000" w:themeColor="text1"/>
          <w:lang w:val="en-GB"/>
        </w:rPr>
      </w:pPr>
    </w:p>
    <w:p w14:paraId="40703563" w14:textId="77777777" w:rsidR="00480BAB" w:rsidRPr="000759C7" w:rsidRDefault="00480BAB" w:rsidP="00480BAB">
      <w:pPr>
        <w:spacing w:after="200" w:line="276" w:lineRule="auto"/>
        <w:rPr>
          <w:rFonts w:ascii="TimesNewRoman" w:hAnsi="TimesNewRoman"/>
          <w:lang w:val="en-GB" w:eastAsia="zh-CN"/>
        </w:rPr>
      </w:pPr>
      <w:r w:rsidRPr="000759C7">
        <w:rPr>
          <w:color w:val="000000" w:themeColor="text1"/>
          <w:lang w:val="en-GB"/>
        </w:rPr>
        <w:t>Exclusion criteria:</w:t>
      </w:r>
      <w:r w:rsidRPr="000759C7">
        <w:rPr>
          <w:rFonts w:ascii="TimesNewRoman" w:hAnsi="TimesNewRoman"/>
          <w:lang w:val="en-GB" w:eastAsia="zh-CN"/>
        </w:rPr>
        <w:t xml:space="preserve">Involvement in the planning and/or conduct of the study. </w:t>
      </w:r>
    </w:p>
    <w:p w14:paraId="2BBD0017"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Previous enrolment (subject dosed) in the present study. </w:t>
      </w:r>
    </w:p>
    <w:p w14:paraId="0CB94621"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History of clinically significant cardio-or cerebrovascular, pulmonary, renal, hepatic, neurological, mental or gastrointestinal disorder or any other major disorder that may interfere with the objectives of the study, as judged by the investigator. </w:t>
      </w:r>
    </w:p>
    <w:p w14:paraId="3AC41650"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1 or more clinical laboratory test values outside the reference range, which in the opinion of the investigator are of clinical significance. </w:t>
      </w:r>
    </w:p>
    <w:p w14:paraId="0F98C8FE"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Any finding of significance on sMRI scans as judged by the investigator. </w:t>
      </w:r>
    </w:p>
    <w:p w14:paraId="73636826"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Screening supine blood pressure #140 mm Hg (systolic) or #90 mm Hg (diastolic), following at least 5 minutes of supine rest. If blood pressure (BP) is #140 mm Hg (systolic) or #90 mm Hg (diastolic), the BP should be repeated two more times and the average of the three BP values should be used to determine the subject’s eligibility. </w:t>
      </w:r>
    </w:p>
    <w:p w14:paraId="479F7CA1"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a resting pulse </w:t>
      </w:r>
      <w:r w:rsidRPr="000759C7">
        <w:rPr>
          <w:rFonts w:ascii="Cambria Math" w:hAnsi="Cambria Math" w:cs="Cambria Math"/>
          <w:lang w:val="en-GB" w:eastAsia="zh-CN"/>
        </w:rPr>
        <w:t>∃</w:t>
      </w:r>
      <w:r w:rsidRPr="000759C7">
        <w:rPr>
          <w:rFonts w:ascii="TimesNewRoman" w:hAnsi="TimesNewRoman"/>
          <w:lang w:val="en-GB" w:eastAsia="zh-CN"/>
        </w:rPr>
        <w:t xml:space="preserve">50 or #100 bpm at the Screening Visit. </w:t>
      </w:r>
    </w:p>
    <w:p w14:paraId="4C7D0C05"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a QTc interval &gt;430 ms (Bazett’s or Fridericia’s correction) at the </w:t>
      </w:r>
    </w:p>
    <w:p w14:paraId="74430C5B"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Screening Visit or at the Baseline Visit, as calculated by the ECG equipment and evaluated by the investigator. The ECG may be repeated if any of the values are out-of-range or abnormal. </w:t>
      </w:r>
    </w:p>
    <w:p w14:paraId="4B3DF884"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Inability to perform sMRI as judged by the investigator, e.g, due to a metal object in the body or claustrophobia. </w:t>
      </w:r>
    </w:p>
    <w:p w14:paraId="2373CABA"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History of psychiatric, neurological and any acute or chronic disease/condition or surgery that may interfere with the objectives of the study, as judged by the investigator. </w:t>
      </w:r>
    </w:p>
    <w:p w14:paraId="2C351531"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Administration of any investigational product within 3 months before the start of the present study. </w:t>
      </w:r>
    </w:p>
    <w:p w14:paraId="0B7AC78E"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Habitual use of nicotine products and addictive substances (see 5.6.3) </w:t>
      </w:r>
    </w:p>
    <w:p w14:paraId="00464265"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lastRenderedPageBreak/>
        <w:t xml:space="preserve">Known or suspected drug, alcohol or other abuse, or positive Serum drug screen which may interfere with the study objective. </w:t>
      </w:r>
    </w:p>
    <w:p w14:paraId="226DCBD3"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Use of CNS active drugs and/or NSAIDs (Non-Steroidal Anti-Inflammatory Drugs) 1 month prior to the first PET examination. </w:t>
      </w:r>
    </w:p>
    <w:p w14:paraId="69311ACB"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trains/exercises intensively, for example, for a marathon or triathlon, or at a competitive level. </w:t>
      </w:r>
    </w:p>
    <w:p w14:paraId="1BDDCE5E"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worked shifts, including night duty, or has travelled across </w:t>
      </w:r>
      <w:r w:rsidRPr="000759C7">
        <w:rPr>
          <w:rFonts w:ascii="Cambria Math" w:hAnsi="Cambria Math" w:cs="Cambria Math"/>
          <w:lang w:val="en-GB" w:eastAsia="zh-CN"/>
        </w:rPr>
        <w:t>∋</w:t>
      </w:r>
      <w:r w:rsidRPr="000759C7">
        <w:rPr>
          <w:rFonts w:ascii="TimesNewRoman" w:hAnsi="TimesNewRoman"/>
          <w:lang w:val="en-GB" w:eastAsia="zh-CN"/>
        </w:rPr>
        <w:t xml:space="preserve">3 time zones &lt;2 weeks prior to the first dose administration </w:t>
      </w:r>
    </w:p>
    <w:p w14:paraId="27429FDA"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History of severe allergy/hypersensitivity or ongoing allergy/hypersensitivity as judged by the investigator. </w:t>
      </w:r>
    </w:p>
    <w:p w14:paraId="41FB2E69"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Any previous PET measurements for scientific purposes. </w:t>
      </w:r>
    </w:p>
    <w:p w14:paraId="5C303F2B"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The subject is exposed to significant levels of ionizing radiation at work.</w:t>
      </w:r>
    </w:p>
    <w:p w14:paraId="41F44A55"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undergone any clinical procedures involving significant exposure to radiation (excluding dental X-ray and common X-rays of the chest or extremities). </w:t>
      </w:r>
    </w:p>
    <w:p w14:paraId="53D4866E"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received radiolabelled material &lt;12 months prior to the Screening Visit. </w:t>
      </w:r>
    </w:p>
    <w:p w14:paraId="1B3604DA"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suffers from claustrophobia or needle phobia. </w:t>
      </w:r>
    </w:p>
    <w:p w14:paraId="0264DF57"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has implanted or embedded metal objects, prostheses, or fragments in the head or body that would present a risk during the sMRI scanning procedure or have worked with ferrous metals either as a vocation or hobby (for example, as a sheet metal worker, welder, or machinist) in such a way that might have led to unknown, indwelling metal fragments that could cause injury if they moved in response to placement in the magnetic field. </w:t>
      </w:r>
    </w:p>
    <w:p w14:paraId="72D8AC4C"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is, in the opinion of the investigator, unlikely to comply with the protocol or is unsuitable for any reason. </w:t>
      </w:r>
    </w:p>
    <w:p w14:paraId="7D56D971" w14:textId="77777777" w:rsidR="00480BAB" w:rsidRPr="000759C7" w:rsidRDefault="00480BAB" w:rsidP="00480BAB">
      <w:pPr>
        <w:numPr>
          <w:ilvl w:val="0"/>
          <w:numId w:val="1"/>
        </w:numPr>
        <w:spacing w:before="100" w:beforeAutospacing="1" w:after="100" w:afterAutospacing="1"/>
        <w:rPr>
          <w:rFonts w:ascii="TimesNewRoman" w:hAnsi="TimesNewRoman"/>
          <w:lang w:val="en-GB" w:eastAsia="zh-CN"/>
        </w:rPr>
      </w:pPr>
      <w:r w:rsidRPr="000759C7">
        <w:rPr>
          <w:rFonts w:ascii="TimesNewRoman" w:hAnsi="TimesNewRoman"/>
          <w:lang w:val="en-GB" w:eastAsia="zh-CN"/>
        </w:rPr>
        <w:t xml:space="preserve">The subject is pregnant or breastfeeding. </w:t>
      </w:r>
    </w:p>
    <w:p w14:paraId="6333EA8B"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
    <w:altName w:val="Times New Roman"/>
    <w:panose1 w:val="00000000000000000000"/>
    <w:charset w:val="00"/>
    <w:family w:val="roman"/>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0F4B4F"/>
    <w:multiLevelType w:val="multilevel"/>
    <w:tmpl w:val="D5B07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6421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BAB"/>
    <w:rsid w:val="002A5090"/>
    <w:rsid w:val="003F36CB"/>
    <w:rsid w:val="00480BAB"/>
    <w:rsid w:val="005C6F5D"/>
    <w:rsid w:val="008C374B"/>
    <w:rsid w:val="00954821"/>
    <w:rsid w:val="00AF416B"/>
    <w:rsid w:val="00E459B1"/>
    <w:rsid w:val="00E910FB"/>
    <w:rsid w:val="00F379EE"/>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73D29"/>
  <w15:chartTrackingRefBased/>
  <w15:docId w15:val="{841464A3-3213-4876-970B-BB3713344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5"/>
    <w:qFormat/>
    <w:rsid w:val="00480BAB"/>
    <w:pPr>
      <w:spacing w:after="0" w:line="240" w:lineRule="auto"/>
    </w:pPr>
    <w:rPr>
      <w:rFonts w:ascii="Times New Roman" w:eastAsia="Times New Roman" w:hAnsi="Times New Roman" w:cs="Times New Roman"/>
      <w:kern w:val="0"/>
      <w:sz w:val="24"/>
      <w:szCs w:val="24"/>
      <w:lang w:val="sv-SE" w:eastAsia="sv-SE"/>
      <w14:ligatures w14:val="none"/>
    </w:rPr>
  </w:style>
  <w:style w:type="paragraph" w:styleId="Heading1">
    <w:name w:val="heading 1"/>
    <w:basedOn w:val="Normal"/>
    <w:next w:val="Normal"/>
    <w:link w:val="Heading1Char"/>
    <w:uiPriority w:val="9"/>
    <w:qFormat/>
    <w:rsid w:val="00480B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0B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0B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0B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0B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0B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0B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0B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0B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0B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0B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0B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0B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0B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0B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0B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0B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0BAB"/>
    <w:rPr>
      <w:rFonts w:eastAsiaTheme="majorEastAsia" w:cstheme="majorBidi"/>
      <w:color w:val="272727" w:themeColor="text1" w:themeTint="D8"/>
    </w:rPr>
  </w:style>
  <w:style w:type="paragraph" w:styleId="Title">
    <w:name w:val="Title"/>
    <w:basedOn w:val="Normal"/>
    <w:next w:val="Normal"/>
    <w:link w:val="TitleChar"/>
    <w:uiPriority w:val="10"/>
    <w:qFormat/>
    <w:rsid w:val="00480B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0B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0B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0B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0BAB"/>
    <w:pPr>
      <w:spacing w:before="160"/>
      <w:jc w:val="center"/>
    </w:pPr>
    <w:rPr>
      <w:i/>
      <w:iCs/>
      <w:color w:val="404040" w:themeColor="text1" w:themeTint="BF"/>
    </w:rPr>
  </w:style>
  <w:style w:type="character" w:customStyle="1" w:styleId="QuoteChar">
    <w:name w:val="Quote Char"/>
    <w:basedOn w:val="DefaultParagraphFont"/>
    <w:link w:val="Quote"/>
    <w:uiPriority w:val="29"/>
    <w:rsid w:val="00480BAB"/>
    <w:rPr>
      <w:i/>
      <w:iCs/>
      <w:color w:val="404040" w:themeColor="text1" w:themeTint="BF"/>
    </w:rPr>
  </w:style>
  <w:style w:type="paragraph" w:styleId="ListParagraph">
    <w:name w:val="List Paragraph"/>
    <w:basedOn w:val="Normal"/>
    <w:uiPriority w:val="34"/>
    <w:qFormat/>
    <w:rsid w:val="00480BAB"/>
    <w:pPr>
      <w:ind w:left="720"/>
      <w:contextualSpacing/>
    </w:pPr>
  </w:style>
  <w:style w:type="character" w:styleId="IntenseEmphasis">
    <w:name w:val="Intense Emphasis"/>
    <w:basedOn w:val="DefaultParagraphFont"/>
    <w:uiPriority w:val="21"/>
    <w:qFormat/>
    <w:rsid w:val="00480BAB"/>
    <w:rPr>
      <w:i/>
      <w:iCs/>
      <w:color w:val="0F4761" w:themeColor="accent1" w:themeShade="BF"/>
    </w:rPr>
  </w:style>
  <w:style w:type="paragraph" w:styleId="IntenseQuote">
    <w:name w:val="Intense Quote"/>
    <w:basedOn w:val="Normal"/>
    <w:next w:val="Normal"/>
    <w:link w:val="IntenseQuoteChar"/>
    <w:uiPriority w:val="30"/>
    <w:qFormat/>
    <w:rsid w:val="00480B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0BAB"/>
    <w:rPr>
      <w:i/>
      <w:iCs/>
      <w:color w:val="0F4761" w:themeColor="accent1" w:themeShade="BF"/>
    </w:rPr>
  </w:style>
  <w:style w:type="character" w:styleId="IntenseReference">
    <w:name w:val="Intense Reference"/>
    <w:basedOn w:val="DefaultParagraphFont"/>
    <w:uiPriority w:val="32"/>
    <w:qFormat/>
    <w:rsid w:val="00480B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636</Words>
  <Characters>3627</Characters>
  <Application>Microsoft Office Word</Application>
  <DocSecurity>0</DocSecurity>
  <Lines>30</Lines>
  <Paragraphs>8</Paragraphs>
  <ScaleCrop>false</ScaleCrop>
  <Company>Springer Nature</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2025-04-08T07:10:00Z</dcterms:created>
  <dcterms:modified xsi:type="dcterms:W3CDTF">2025-04-08T07:10:00Z</dcterms:modified>
</cp:coreProperties>
</file>