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38CADC" w14:textId="1A646E95" w:rsidR="007C6C06" w:rsidRPr="00FD5BCC" w:rsidRDefault="007C6C06" w:rsidP="007C6C06">
      <w:pPr>
        <w:spacing w:line="240" w:lineRule="auto"/>
        <w:jc w:val="center"/>
        <w:rPr>
          <w:rFonts w:ascii="Times New Roman" w:eastAsia="Times New Roman" w:hAnsi="Times New Roman" w:cs="Times New Roman"/>
          <w:b/>
          <w:color w:val="000000"/>
          <w:sz w:val="28"/>
          <w:szCs w:val="28"/>
        </w:rPr>
      </w:pPr>
      <w:r w:rsidRPr="00FD5BCC">
        <w:rPr>
          <w:rFonts w:ascii="Times New Roman" w:eastAsia="Times New Roman" w:hAnsi="Times New Roman" w:cs="Times New Roman"/>
          <w:b/>
          <w:color w:val="000000"/>
          <w:sz w:val="28"/>
          <w:szCs w:val="28"/>
        </w:rPr>
        <w:t xml:space="preserve">Supplementary material </w:t>
      </w:r>
      <w:r>
        <w:rPr>
          <w:rFonts w:ascii="Times New Roman" w:eastAsia="Times New Roman" w:hAnsi="Times New Roman" w:cs="Times New Roman"/>
          <w:b/>
          <w:color w:val="000000"/>
          <w:sz w:val="28"/>
          <w:szCs w:val="28"/>
        </w:rPr>
        <w:t>A</w:t>
      </w:r>
    </w:p>
    <w:p w14:paraId="50CB272C" w14:textId="77777777" w:rsidR="007C6C06" w:rsidRDefault="007C6C06" w:rsidP="007C6C06">
      <w:pPr>
        <w:spacing w:line="240" w:lineRule="auto"/>
        <w:jc w:val="center"/>
        <w:rPr>
          <w:rFonts w:ascii="Times New Roman" w:eastAsia="Times New Roman" w:hAnsi="Times New Roman" w:cs="Times New Roman"/>
          <w:szCs w:val="24"/>
        </w:rPr>
      </w:pPr>
    </w:p>
    <w:p w14:paraId="1CAAA73E" w14:textId="77777777" w:rsidR="007C6C06" w:rsidRPr="00FB032E" w:rsidRDefault="007C6C06" w:rsidP="007C6C06">
      <w:pPr>
        <w:spacing w:line="240" w:lineRule="auto"/>
        <w:jc w:val="center"/>
        <w:rPr>
          <w:rFonts w:eastAsia="Times New Roman" w:cstheme="majorBidi"/>
          <w:b/>
          <w:sz w:val="28"/>
          <w:szCs w:val="28"/>
        </w:rPr>
      </w:pPr>
      <w:bookmarkStart w:id="0" w:name="_Hlk174457088"/>
      <w:bookmarkEnd w:id="0"/>
      <w:r w:rsidRPr="00FB032E">
        <w:rPr>
          <w:rFonts w:eastAsia="Times New Roman" w:cstheme="majorBidi"/>
          <w:b/>
          <w:bCs/>
          <w:sz w:val="28"/>
          <w:szCs w:val="28"/>
        </w:rPr>
        <w:t>Evaluating Cognitive Decline Detection in Aging Populations with Single-Channel EEG Features: Insights from Studies and Meta-Analysis</w:t>
      </w:r>
    </w:p>
    <w:p w14:paraId="59DEAA59" w14:textId="77777777" w:rsidR="007C6C06" w:rsidRPr="00FB032E" w:rsidRDefault="007C6C06" w:rsidP="007C6C06">
      <w:pPr>
        <w:spacing w:before="240" w:after="240" w:line="240" w:lineRule="auto"/>
        <w:rPr>
          <w:rFonts w:eastAsia="Times New Roman" w:cstheme="majorBidi"/>
          <w:b/>
          <w:szCs w:val="24"/>
        </w:rPr>
      </w:pPr>
      <w:r w:rsidRPr="00FB032E">
        <w:rPr>
          <w:rFonts w:eastAsia="Times New Roman" w:cstheme="majorBidi"/>
          <w:b/>
          <w:szCs w:val="24"/>
        </w:rPr>
        <w:t>Lior Molcho</w:t>
      </w:r>
      <w:r w:rsidRPr="00FB032E">
        <w:rPr>
          <w:rFonts w:eastAsia="Arial" w:cstheme="majorBidi"/>
          <w:b/>
          <w:vertAlign w:val="superscript"/>
        </w:rPr>
        <w:t>†</w:t>
      </w:r>
      <w:r w:rsidRPr="00FB032E">
        <w:rPr>
          <w:rFonts w:eastAsia="Times New Roman" w:cstheme="majorBidi"/>
          <w:b/>
          <w:szCs w:val="24"/>
          <w:vertAlign w:val="superscript"/>
        </w:rPr>
        <w:t>1*</w:t>
      </w:r>
      <w:r w:rsidRPr="00FB032E">
        <w:rPr>
          <w:rFonts w:eastAsia="Times New Roman" w:cstheme="majorBidi"/>
          <w:b/>
          <w:szCs w:val="24"/>
        </w:rPr>
        <w:t>, Neta B. Maimon</w:t>
      </w:r>
      <w:r w:rsidRPr="00FB032E">
        <w:rPr>
          <w:rFonts w:eastAsia="Arial" w:cstheme="majorBidi"/>
          <w:b/>
          <w:vertAlign w:val="superscript"/>
        </w:rPr>
        <w:t>†</w:t>
      </w:r>
      <w:r w:rsidRPr="00FB032E">
        <w:rPr>
          <w:rFonts w:eastAsia="Times New Roman" w:cstheme="majorBidi"/>
          <w:b/>
          <w:szCs w:val="24"/>
          <w:vertAlign w:val="superscript"/>
        </w:rPr>
        <w:t>1,2</w:t>
      </w:r>
      <w:r w:rsidRPr="00FB032E">
        <w:rPr>
          <w:rFonts w:eastAsia="Times New Roman" w:cstheme="majorBidi"/>
          <w:b/>
          <w:szCs w:val="24"/>
        </w:rPr>
        <w:t>, Talya Zeimer</w:t>
      </w:r>
      <w:r w:rsidRPr="00FB032E">
        <w:rPr>
          <w:rFonts w:eastAsia="Times New Roman" w:cstheme="majorBidi"/>
          <w:b/>
          <w:szCs w:val="24"/>
          <w:vertAlign w:val="superscript"/>
        </w:rPr>
        <w:t>1</w:t>
      </w:r>
      <w:r w:rsidRPr="00FB032E">
        <w:rPr>
          <w:rFonts w:eastAsia="Times New Roman" w:cstheme="majorBidi"/>
          <w:b/>
          <w:szCs w:val="24"/>
        </w:rPr>
        <w:t>, Ofir Chibotero</w:t>
      </w:r>
      <w:r w:rsidRPr="00FB032E">
        <w:rPr>
          <w:rFonts w:eastAsia="Times New Roman" w:cstheme="majorBidi"/>
          <w:b/>
          <w:szCs w:val="24"/>
          <w:vertAlign w:val="superscript"/>
        </w:rPr>
        <w:t>1</w:t>
      </w:r>
      <w:r w:rsidRPr="00FB032E">
        <w:rPr>
          <w:rFonts w:eastAsia="Times New Roman" w:cstheme="majorBidi"/>
          <w:b/>
          <w:szCs w:val="24"/>
        </w:rPr>
        <w:t>, Sarit Rabinowicz</w:t>
      </w:r>
      <w:r w:rsidRPr="00FB032E">
        <w:rPr>
          <w:rFonts w:eastAsia="Times New Roman" w:cstheme="majorBidi"/>
          <w:b/>
          <w:szCs w:val="24"/>
          <w:vertAlign w:val="superscript"/>
        </w:rPr>
        <w:t>4</w:t>
      </w:r>
      <w:r w:rsidRPr="00FB032E">
        <w:rPr>
          <w:rFonts w:eastAsia="Times New Roman" w:cstheme="majorBidi"/>
          <w:b/>
          <w:szCs w:val="24"/>
        </w:rPr>
        <w:t>, Vered Armoni</w:t>
      </w:r>
      <w:r w:rsidRPr="00FB032E">
        <w:rPr>
          <w:rFonts w:eastAsia="Times New Roman" w:cstheme="majorBidi"/>
          <w:b/>
          <w:szCs w:val="24"/>
          <w:vertAlign w:val="superscript"/>
        </w:rPr>
        <w:t>4</w:t>
      </w:r>
      <w:r w:rsidRPr="00FB032E">
        <w:rPr>
          <w:rFonts w:eastAsia="Times New Roman" w:cstheme="majorBidi"/>
          <w:b/>
          <w:szCs w:val="24"/>
        </w:rPr>
        <w:t>, Noa Bar On</w:t>
      </w:r>
      <w:r w:rsidRPr="00FB032E">
        <w:rPr>
          <w:rFonts w:eastAsia="Times New Roman" w:cstheme="majorBidi"/>
          <w:b/>
          <w:szCs w:val="24"/>
          <w:vertAlign w:val="superscript"/>
        </w:rPr>
        <w:t>4</w:t>
      </w:r>
      <w:r w:rsidRPr="00FB032E">
        <w:rPr>
          <w:rFonts w:eastAsia="Times New Roman" w:cstheme="majorBidi"/>
          <w:b/>
          <w:szCs w:val="24"/>
        </w:rPr>
        <w:t>, Nathan Intrator</w:t>
      </w:r>
      <w:r w:rsidRPr="00FB032E">
        <w:rPr>
          <w:rFonts w:eastAsia="Times New Roman" w:cstheme="majorBidi"/>
          <w:b/>
          <w:szCs w:val="24"/>
          <w:vertAlign w:val="superscript"/>
        </w:rPr>
        <w:t>1,3</w:t>
      </w:r>
      <w:r w:rsidRPr="00FB032E">
        <w:rPr>
          <w:rFonts w:eastAsia="Times New Roman" w:cstheme="majorBidi"/>
          <w:b/>
          <w:szCs w:val="24"/>
        </w:rPr>
        <w:t>, Ady Sasson</w:t>
      </w:r>
      <w:r w:rsidRPr="00FB032E">
        <w:rPr>
          <w:rFonts w:eastAsia="Times New Roman" w:cstheme="majorBidi"/>
          <w:b/>
          <w:szCs w:val="24"/>
          <w:vertAlign w:val="superscript"/>
        </w:rPr>
        <w:t>4</w:t>
      </w:r>
    </w:p>
    <w:p w14:paraId="4E39F458" w14:textId="77777777" w:rsidR="007C6C06" w:rsidRPr="00FB032E" w:rsidRDefault="007C6C06" w:rsidP="007C6C06">
      <w:pPr>
        <w:spacing w:before="240" w:after="0" w:line="240" w:lineRule="auto"/>
        <w:rPr>
          <w:rFonts w:eastAsia="Times New Roman" w:cstheme="majorBidi"/>
          <w:b/>
          <w:szCs w:val="24"/>
        </w:rPr>
      </w:pPr>
      <w:r w:rsidRPr="00FB032E">
        <w:rPr>
          <w:rFonts w:eastAsia="Times New Roman" w:cstheme="majorBidi"/>
          <w:szCs w:val="24"/>
          <w:vertAlign w:val="superscript"/>
        </w:rPr>
        <w:t>1</w:t>
      </w:r>
      <w:r w:rsidRPr="00FB032E">
        <w:rPr>
          <w:rFonts w:eastAsia="Times New Roman" w:cstheme="majorBidi"/>
          <w:szCs w:val="24"/>
        </w:rPr>
        <w:t xml:space="preserve"> Neurosteer Inc, NYC, New York, USA</w:t>
      </w:r>
    </w:p>
    <w:p w14:paraId="205FAFE8" w14:textId="77777777" w:rsidR="007C6C06" w:rsidRPr="00FB032E" w:rsidRDefault="007C6C06" w:rsidP="007C6C06">
      <w:pPr>
        <w:spacing w:before="120" w:after="0" w:line="240" w:lineRule="auto"/>
        <w:rPr>
          <w:rFonts w:eastAsia="Times New Roman" w:cstheme="majorBidi"/>
          <w:szCs w:val="24"/>
        </w:rPr>
      </w:pPr>
      <w:r w:rsidRPr="00FB032E">
        <w:rPr>
          <w:rFonts w:eastAsia="Times New Roman" w:cstheme="majorBidi"/>
          <w:szCs w:val="24"/>
          <w:vertAlign w:val="superscript"/>
        </w:rPr>
        <w:t xml:space="preserve">2 </w:t>
      </w:r>
      <w:r w:rsidRPr="00FB032E">
        <w:rPr>
          <w:rFonts w:eastAsia="Times New Roman" w:cstheme="majorBidi"/>
          <w:szCs w:val="24"/>
        </w:rPr>
        <w:t>School of Psychological Sciences, Tel Aviv University, Tel Aviv, Israel</w:t>
      </w:r>
    </w:p>
    <w:p w14:paraId="11EC2C41" w14:textId="77777777" w:rsidR="007C6C06" w:rsidRPr="00FB032E" w:rsidRDefault="007C6C06" w:rsidP="007C6C06">
      <w:pPr>
        <w:spacing w:before="120" w:after="0" w:line="240" w:lineRule="auto"/>
        <w:rPr>
          <w:rFonts w:eastAsia="Times New Roman" w:cstheme="majorBidi"/>
          <w:szCs w:val="24"/>
        </w:rPr>
      </w:pPr>
      <w:r w:rsidRPr="00FB032E">
        <w:rPr>
          <w:rFonts w:eastAsia="Times New Roman" w:cstheme="majorBidi"/>
          <w:szCs w:val="24"/>
          <w:vertAlign w:val="superscript"/>
        </w:rPr>
        <w:t xml:space="preserve">3 </w:t>
      </w:r>
      <w:r w:rsidRPr="00FB032E">
        <w:rPr>
          <w:rFonts w:eastAsia="Times New Roman" w:cstheme="majorBidi"/>
          <w:szCs w:val="24"/>
        </w:rPr>
        <w:t>Blavatnik School of Computer Science, Tel-Aviv University, Tel-Aviv, Israel; Sagol School of Neuroscience, Tel Aviv University, Tel Aviv, Israel</w:t>
      </w:r>
    </w:p>
    <w:p w14:paraId="2C6A6C57" w14:textId="77777777" w:rsidR="007C6C06" w:rsidRPr="00FB032E" w:rsidRDefault="007C6C06" w:rsidP="007C6C06">
      <w:pPr>
        <w:spacing w:before="120" w:after="0" w:line="240" w:lineRule="auto"/>
        <w:rPr>
          <w:rFonts w:eastAsia="Times New Roman" w:cstheme="majorBidi"/>
          <w:szCs w:val="24"/>
        </w:rPr>
      </w:pPr>
      <w:r w:rsidRPr="00FB032E">
        <w:rPr>
          <w:rFonts w:eastAsia="Times New Roman" w:cstheme="majorBidi"/>
          <w:szCs w:val="24"/>
          <w:vertAlign w:val="superscript"/>
        </w:rPr>
        <w:t xml:space="preserve">4 </w:t>
      </w:r>
      <w:r w:rsidRPr="00FB032E">
        <w:rPr>
          <w:rFonts w:eastAsia="Times New Roman" w:cstheme="majorBidi"/>
          <w:szCs w:val="24"/>
        </w:rPr>
        <w:t xml:space="preserve">Dorot Geriatric Medical Center, Netanya, Israel </w:t>
      </w:r>
    </w:p>
    <w:p w14:paraId="09CB1E53" w14:textId="77777777" w:rsidR="007C6C06" w:rsidRPr="00FB032E" w:rsidRDefault="007C6C06" w:rsidP="007C6C06">
      <w:pPr>
        <w:spacing w:before="120" w:after="0" w:line="240" w:lineRule="auto"/>
        <w:rPr>
          <w:rFonts w:eastAsia="Times New Roman" w:cstheme="majorBidi"/>
          <w:szCs w:val="24"/>
        </w:rPr>
      </w:pPr>
      <w:r w:rsidRPr="00FB032E">
        <w:rPr>
          <w:rFonts w:eastAsia="Times New Roman" w:cstheme="majorBidi"/>
          <w:szCs w:val="24"/>
        </w:rPr>
        <w:t>*lior@neurosteer.com</w:t>
      </w:r>
    </w:p>
    <w:p w14:paraId="468EB45E" w14:textId="25E62E47" w:rsidR="00204CD5" w:rsidRPr="00884E5E" w:rsidRDefault="007C6C06" w:rsidP="00884E5E">
      <w:pPr>
        <w:spacing w:before="120" w:after="240" w:line="480" w:lineRule="auto"/>
        <w:rPr>
          <w:rFonts w:eastAsia="Times New Roman" w:cstheme="majorBidi"/>
          <w:sz w:val="22"/>
          <w:szCs w:val="24"/>
        </w:rPr>
      </w:pPr>
      <w:r w:rsidRPr="00FB032E">
        <w:rPr>
          <w:rFonts w:eastAsia="Times New Roman" w:cstheme="majorBidi"/>
          <w:szCs w:val="24"/>
          <w:vertAlign w:val="superscript"/>
        </w:rPr>
        <w:t>†</w:t>
      </w:r>
      <w:r w:rsidRPr="00FB032E">
        <w:rPr>
          <w:rFonts w:eastAsia="Times New Roman" w:cstheme="majorBidi"/>
          <w:szCs w:val="24"/>
        </w:rPr>
        <w:t>These authors contributed equally to this work.</w:t>
      </w:r>
    </w:p>
    <w:p w14:paraId="03889A0F" w14:textId="35AC61DA" w:rsidR="00893B61" w:rsidRPr="00054230" w:rsidRDefault="00000000">
      <w:pPr>
        <w:rPr>
          <w:rFonts w:ascii="Times New Roman" w:eastAsia="Times New Roman" w:hAnsi="Times New Roman" w:cs="Times New Roman"/>
          <w:b/>
          <w:szCs w:val="24"/>
        </w:rPr>
      </w:pPr>
      <w:r w:rsidRPr="00054230">
        <w:rPr>
          <w:rFonts w:ascii="Times New Roman" w:eastAsia="Times New Roman" w:hAnsi="Times New Roman" w:cs="Times New Roman"/>
          <w:b/>
          <w:szCs w:val="24"/>
        </w:rPr>
        <w:t xml:space="preserve">Group distributions </w:t>
      </w:r>
    </w:p>
    <w:p w14:paraId="5F8ACAC5" w14:textId="6439EC1F" w:rsidR="004E4115" w:rsidRDefault="00000000" w:rsidP="004E4115">
      <w:pPr>
        <w:rPr>
          <w:rFonts w:ascii="Times New Roman" w:eastAsia="Times New Roman" w:hAnsi="Times New Roman" w:cs="Times New Roman"/>
          <w:szCs w:val="24"/>
        </w:rPr>
      </w:pPr>
      <w:r>
        <w:rPr>
          <w:rFonts w:ascii="Times New Roman" w:eastAsia="Times New Roman" w:hAnsi="Times New Roman" w:cs="Times New Roman"/>
          <w:szCs w:val="24"/>
        </w:rPr>
        <w:t xml:space="preserve">Figures 1 and 2 </w:t>
      </w:r>
      <w:r w:rsidR="004E4115" w:rsidRPr="004E4115">
        <w:rPr>
          <w:rFonts w:ascii="Times New Roman" w:eastAsia="Times New Roman" w:hAnsi="Times New Roman" w:cs="Times New Roman"/>
          <w:szCs w:val="24"/>
        </w:rPr>
        <w:t xml:space="preserve">depict </w:t>
      </w:r>
      <w:r>
        <w:rPr>
          <w:rFonts w:ascii="Times New Roman" w:eastAsia="Times New Roman" w:hAnsi="Times New Roman" w:cs="Times New Roman"/>
          <w:szCs w:val="24"/>
        </w:rPr>
        <w:t xml:space="preserve">the distributions of </w:t>
      </w:r>
      <w:r w:rsidR="008B2E0E">
        <w:rPr>
          <w:rFonts w:ascii="Times New Roman" w:eastAsia="Times New Roman" w:hAnsi="Times New Roman" w:cs="Times New Roman"/>
          <w:szCs w:val="24"/>
        </w:rPr>
        <w:t xml:space="preserve">mean </w:t>
      </w:r>
      <w:r>
        <w:rPr>
          <w:rFonts w:ascii="Times New Roman" w:eastAsia="Times New Roman" w:hAnsi="Times New Roman" w:cs="Times New Roman"/>
          <w:szCs w:val="24"/>
        </w:rPr>
        <w:t xml:space="preserve">A0 activity levels during </w:t>
      </w:r>
      <w:r w:rsidR="004E4115" w:rsidRPr="004E4115">
        <w:rPr>
          <w:rFonts w:ascii="Times New Roman" w:eastAsia="Times New Roman" w:hAnsi="Times New Roman" w:cs="Times New Roman"/>
          <w:szCs w:val="24"/>
        </w:rPr>
        <w:t xml:space="preserve">both </w:t>
      </w:r>
      <w:r>
        <w:rPr>
          <w:rFonts w:ascii="Times New Roman" w:eastAsia="Times New Roman" w:hAnsi="Times New Roman" w:cs="Times New Roman"/>
          <w:szCs w:val="24"/>
        </w:rPr>
        <w:t>resting state and cognitive resource allocation</w:t>
      </w:r>
      <w:r w:rsidR="00BD3EBE">
        <w:rPr>
          <w:rFonts w:ascii="Times New Roman" w:eastAsia="Times New Roman" w:hAnsi="Times New Roman" w:cs="Times New Roman"/>
          <w:szCs w:val="24"/>
        </w:rPr>
        <w:t xml:space="preserve"> tasks</w:t>
      </w:r>
      <w:r>
        <w:rPr>
          <w:rFonts w:ascii="Times New Roman" w:eastAsia="Times New Roman" w:hAnsi="Times New Roman" w:cs="Times New Roman"/>
          <w:szCs w:val="24"/>
        </w:rPr>
        <w:t xml:space="preserve">, respectively. </w:t>
      </w:r>
      <w:r w:rsidR="004E4115" w:rsidRPr="004E4115">
        <w:rPr>
          <w:rFonts w:ascii="Times New Roman" w:eastAsia="Times New Roman" w:hAnsi="Times New Roman" w:cs="Times New Roman"/>
          <w:szCs w:val="24"/>
        </w:rPr>
        <w:t>During</w:t>
      </w:r>
      <w:r w:rsidR="004E4115">
        <w:rPr>
          <w:rFonts w:ascii="Times New Roman" w:eastAsia="Times New Roman" w:hAnsi="Times New Roman" w:cs="Times New Roman"/>
          <w:szCs w:val="24"/>
        </w:rPr>
        <w:t xml:space="preserve"> the</w:t>
      </w:r>
      <w:r w:rsidR="004E4115" w:rsidRPr="004E4115">
        <w:rPr>
          <w:rFonts w:ascii="Times New Roman" w:eastAsia="Times New Roman" w:hAnsi="Times New Roman" w:cs="Times New Roman"/>
          <w:szCs w:val="24"/>
        </w:rPr>
        <w:t xml:space="preserve"> </w:t>
      </w:r>
      <w:r>
        <w:rPr>
          <w:rFonts w:ascii="Times New Roman" w:eastAsia="Times New Roman" w:hAnsi="Times New Roman" w:cs="Times New Roman"/>
          <w:szCs w:val="24"/>
        </w:rPr>
        <w:t>resting state</w:t>
      </w:r>
      <w:r w:rsidR="004E4115">
        <w:rPr>
          <w:rFonts w:ascii="Times New Roman" w:eastAsia="Times New Roman" w:hAnsi="Times New Roman" w:cs="Times New Roman"/>
          <w:szCs w:val="24"/>
        </w:rPr>
        <w:t xml:space="preserve"> condition</w:t>
      </w:r>
      <w:r>
        <w:rPr>
          <w:rFonts w:ascii="Times New Roman" w:eastAsia="Times New Roman" w:hAnsi="Times New Roman" w:cs="Times New Roman"/>
          <w:szCs w:val="24"/>
        </w:rPr>
        <w:t xml:space="preserve">, participants were instructed to relax as much as they </w:t>
      </w:r>
      <w:r w:rsidR="00D06F63">
        <w:rPr>
          <w:rFonts w:ascii="Times New Roman" w:eastAsia="Times New Roman" w:hAnsi="Times New Roman" w:cs="Times New Roman"/>
          <w:szCs w:val="24"/>
        </w:rPr>
        <w:t>could</w:t>
      </w:r>
      <w:r>
        <w:rPr>
          <w:rFonts w:ascii="Times New Roman" w:eastAsia="Times New Roman" w:hAnsi="Times New Roman" w:cs="Times New Roman"/>
          <w:szCs w:val="24"/>
        </w:rPr>
        <w:t xml:space="preserve">. In the cognitive resource allocation condition, </w:t>
      </w:r>
      <w:r w:rsidR="004E4115" w:rsidRPr="004E4115">
        <w:rPr>
          <w:rFonts w:ascii="Times New Roman" w:eastAsia="Times New Roman" w:hAnsi="Times New Roman" w:cs="Times New Roman"/>
          <w:szCs w:val="24"/>
        </w:rPr>
        <w:t xml:space="preserve">participants </w:t>
      </w:r>
      <w:r>
        <w:rPr>
          <w:rFonts w:ascii="Times New Roman" w:eastAsia="Times New Roman" w:hAnsi="Times New Roman" w:cs="Times New Roman"/>
          <w:szCs w:val="24"/>
        </w:rPr>
        <w:t xml:space="preserve">performed a </w:t>
      </w:r>
      <w:r w:rsidR="004E4115" w:rsidRPr="004E4115">
        <w:rPr>
          <w:rFonts w:ascii="Times New Roman" w:eastAsia="Times New Roman" w:hAnsi="Times New Roman" w:cs="Times New Roman"/>
          <w:szCs w:val="24"/>
        </w:rPr>
        <w:t xml:space="preserve">high-load </w:t>
      </w:r>
      <w:r>
        <w:rPr>
          <w:rFonts w:ascii="Times New Roman" w:eastAsia="Times New Roman" w:hAnsi="Times New Roman" w:cs="Times New Roman"/>
          <w:szCs w:val="24"/>
        </w:rPr>
        <w:t xml:space="preserve">detection task, </w:t>
      </w:r>
      <w:r w:rsidR="004E4115" w:rsidRPr="004E4115">
        <w:rPr>
          <w:rFonts w:ascii="Times New Roman" w:eastAsia="Times New Roman" w:hAnsi="Times New Roman" w:cs="Times New Roman"/>
          <w:szCs w:val="24"/>
        </w:rPr>
        <w:t>designed to assess attention and inhibition</w:t>
      </w:r>
      <w:r w:rsidR="004E4115" w:rsidRPr="008B2E0E">
        <w:rPr>
          <w:rFonts w:ascii="Times New Roman" w:eastAsia="Times New Roman" w:hAnsi="Times New Roman" w:cs="Times New Roman"/>
          <w:color w:val="000000"/>
          <w:szCs w:val="24"/>
          <w:vertAlign w:val="superscript"/>
        </w:rPr>
        <w:t xml:space="preserve"> </w:t>
      </w:r>
      <w:sdt>
        <w:sdtPr>
          <w:rPr>
            <w:rFonts w:ascii="Times New Roman" w:eastAsia="Times New Roman" w:hAnsi="Times New Roman" w:cs="Times New Roman"/>
            <w:color w:val="000000"/>
            <w:szCs w:val="24"/>
          </w:rPr>
          <w:tag w:val="MENDELEY_CITATION_v3_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"/>
          <w:id w:val="744532528"/>
          <w:placeholder>
            <w:docPart w:val="DefaultPlaceholder_-1854013440"/>
          </w:placeholder>
        </w:sdtPr>
        <w:sdtContent>
          <w:r w:rsidR="00E37352" w:rsidRPr="00E37352">
            <w:rPr>
              <w:rFonts w:ascii="Times New Roman" w:eastAsia="Times New Roman" w:hAnsi="Times New Roman" w:cs="Times New Roman"/>
              <w:color w:val="000000"/>
              <w:szCs w:val="24"/>
            </w:rPr>
            <w:t>[1]</w:t>
          </w:r>
        </w:sdtContent>
      </w:sdt>
      <w:r>
        <w:rPr>
          <w:rFonts w:ascii="Times New Roman" w:eastAsia="Times New Roman" w:hAnsi="Times New Roman" w:cs="Times New Roman"/>
          <w:szCs w:val="24"/>
        </w:rPr>
        <w:t>.</w:t>
      </w:r>
    </w:p>
    <w:p w14:paraId="08A47362" w14:textId="70BE0851" w:rsidR="004E4115" w:rsidRPr="00E925CC" w:rsidRDefault="00AC717F" w:rsidP="00E925CC">
      <w:pPr>
        <w:rPr>
          <w:rFonts w:ascii="Times New Roman" w:eastAsia="Times New Roman" w:hAnsi="Times New Roman" w:cs="Times New Roman"/>
          <w:szCs w:val="24"/>
        </w:rPr>
      </w:pPr>
      <w:r w:rsidRPr="00AC717F">
        <w:rPr>
          <w:rFonts w:ascii="Times New Roman" w:eastAsia="Times New Roman" w:hAnsi="Times New Roman" w:cs="Times New Roman"/>
          <w:szCs w:val="24"/>
        </w:rPr>
        <w:t xml:space="preserve">The </w:t>
      </w:r>
      <w:r w:rsidR="004E4115">
        <w:rPr>
          <w:rFonts w:ascii="Times New Roman" w:eastAsia="Times New Roman" w:hAnsi="Times New Roman" w:cs="Times New Roman"/>
          <w:szCs w:val="24"/>
        </w:rPr>
        <w:t>figures</w:t>
      </w:r>
      <w:r w:rsidRPr="00AC717F">
        <w:rPr>
          <w:rFonts w:ascii="Times New Roman" w:eastAsia="Times New Roman" w:hAnsi="Times New Roman" w:cs="Times New Roman"/>
          <w:szCs w:val="24"/>
        </w:rPr>
        <w:t xml:space="preserve"> illustrate the distribution of </w:t>
      </w:r>
      <w:r w:rsidR="004E4115" w:rsidRPr="004E4115">
        <w:rPr>
          <w:rFonts w:ascii="Times New Roman" w:eastAsia="Times New Roman" w:hAnsi="Times New Roman" w:cs="Times New Roman"/>
          <w:szCs w:val="24"/>
        </w:rPr>
        <w:t xml:space="preserve">participants </w:t>
      </w:r>
      <w:r w:rsidRPr="00AC717F">
        <w:rPr>
          <w:rFonts w:ascii="Times New Roman" w:eastAsia="Times New Roman" w:hAnsi="Times New Roman" w:cs="Times New Roman"/>
          <w:szCs w:val="24"/>
        </w:rPr>
        <w:t>across various A0 values, with the x-axis representing A0 biomarker values</w:t>
      </w:r>
      <w:r w:rsidR="004E4115" w:rsidRPr="004E4115">
        <w:rPr>
          <w:rFonts w:ascii="Times New Roman" w:eastAsia="Times New Roman" w:hAnsi="Times New Roman" w:cs="Times New Roman"/>
          <w:szCs w:val="24"/>
        </w:rPr>
        <w:t>—lower values indicating lower activity levels and higher values signifying higher activity levels</w:t>
      </w:r>
      <w:r w:rsidRPr="00AC717F">
        <w:rPr>
          <w:rFonts w:ascii="Times New Roman" w:eastAsia="Times New Roman" w:hAnsi="Times New Roman" w:cs="Times New Roman"/>
          <w:szCs w:val="24"/>
        </w:rPr>
        <w:t xml:space="preserve">. The y-axis </w:t>
      </w:r>
      <w:r w:rsidR="004E4115" w:rsidRPr="004E4115">
        <w:rPr>
          <w:rFonts w:ascii="Times New Roman" w:eastAsia="Times New Roman" w:hAnsi="Times New Roman" w:cs="Times New Roman"/>
          <w:szCs w:val="24"/>
        </w:rPr>
        <w:t xml:space="preserve">reflects </w:t>
      </w:r>
      <w:r w:rsidRPr="00AC717F">
        <w:rPr>
          <w:rFonts w:ascii="Times New Roman" w:eastAsia="Times New Roman" w:hAnsi="Times New Roman" w:cs="Times New Roman"/>
          <w:szCs w:val="24"/>
        </w:rPr>
        <w:t xml:space="preserve">the frequency of </w:t>
      </w:r>
      <w:r w:rsidR="004E4115" w:rsidRPr="004E4115">
        <w:rPr>
          <w:rFonts w:ascii="Times New Roman" w:eastAsia="Times New Roman" w:hAnsi="Times New Roman" w:cs="Times New Roman"/>
          <w:szCs w:val="24"/>
        </w:rPr>
        <w:t>participants</w:t>
      </w:r>
      <w:r w:rsidRPr="00AC717F">
        <w:rPr>
          <w:rFonts w:ascii="Times New Roman" w:eastAsia="Times New Roman" w:hAnsi="Times New Roman" w:cs="Times New Roman"/>
          <w:szCs w:val="24"/>
        </w:rPr>
        <w:t xml:space="preserve">, </w:t>
      </w:r>
      <w:r w:rsidR="004E4115" w:rsidRPr="004E4115">
        <w:rPr>
          <w:rFonts w:ascii="Times New Roman" w:eastAsia="Times New Roman" w:hAnsi="Times New Roman" w:cs="Times New Roman"/>
          <w:szCs w:val="24"/>
        </w:rPr>
        <w:t xml:space="preserve">indicating how many individuals correspond to each </w:t>
      </w:r>
      <w:r w:rsidRPr="00AC717F">
        <w:rPr>
          <w:rFonts w:ascii="Times New Roman" w:eastAsia="Times New Roman" w:hAnsi="Times New Roman" w:cs="Times New Roman"/>
          <w:szCs w:val="24"/>
        </w:rPr>
        <w:t>A0 value based on their average brain activity.</w:t>
      </w:r>
      <w:r>
        <w:rPr>
          <w:rFonts w:ascii="Times New Roman" w:eastAsia="Times New Roman" w:hAnsi="Times New Roman" w:cs="Times New Roman"/>
          <w:szCs w:val="24"/>
        </w:rPr>
        <w:t xml:space="preserve"> </w:t>
      </w:r>
      <w:r w:rsidR="004E4115">
        <w:rPr>
          <w:rFonts w:ascii="Times New Roman" w:eastAsia="Times New Roman" w:hAnsi="Times New Roman" w:cs="Times New Roman"/>
          <w:szCs w:val="24"/>
        </w:rPr>
        <w:t>Refer to</w:t>
      </w:r>
      <w:r>
        <w:rPr>
          <w:rFonts w:ascii="Times New Roman" w:eastAsia="Times New Roman" w:hAnsi="Times New Roman" w:cs="Times New Roman"/>
          <w:szCs w:val="24"/>
        </w:rPr>
        <w:t xml:space="preserve"> T</w:t>
      </w:r>
      <w:r w:rsidRPr="00AC717F">
        <w:rPr>
          <w:rFonts w:ascii="Times New Roman" w:eastAsia="Times New Roman" w:hAnsi="Times New Roman" w:cs="Times New Roman"/>
          <w:szCs w:val="24"/>
        </w:rPr>
        <w:t>able</w:t>
      </w:r>
      <w:r>
        <w:rPr>
          <w:rFonts w:ascii="Times New Roman" w:eastAsia="Times New Roman" w:hAnsi="Times New Roman" w:cs="Times New Roman"/>
          <w:szCs w:val="24"/>
        </w:rPr>
        <w:t xml:space="preserve"> </w:t>
      </w:r>
      <w:r w:rsidR="004944DD">
        <w:rPr>
          <w:rFonts w:ascii="Times New Roman" w:eastAsia="Times New Roman" w:hAnsi="Times New Roman" w:cs="Times New Roman"/>
          <w:szCs w:val="24"/>
        </w:rPr>
        <w:t>1</w:t>
      </w:r>
      <w:r w:rsidRPr="00AC717F">
        <w:rPr>
          <w:rFonts w:ascii="Times New Roman" w:eastAsia="Times New Roman" w:hAnsi="Times New Roman" w:cs="Times New Roman"/>
          <w:szCs w:val="24"/>
        </w:rPr>
        <w:t xml:space="preserve"> </w:t>
      </w:r>
      <w:r>
        <w:rPr>
          <w:rFonts w:ascii="Times New Roman" w:eastAsia="Times New Roman" w:hAnsi="Times New Roman" w:cs="Times New Roman"/>
          <w:szCs w:val="24"/>
        </w:rPr>
        <w:t>for the</w:t>
      </w:r>
      <w:r w:rsidRPr="00AC717F">
        <w:rPr>
          <w:rFonts w:ascii="Times New Roman" w:eastAsia="Times New Roman" w:hAnsi="Times New Roman" w:cs="Times New Roman"/>
          <w:szCs w:val="24"/>
        </w:rPr>
        <w:t xml:space="preserve"> demographic </w:t>
      </w:r>
      <w:r w:rsidR="00E925CC" w:rsidRPr="004E4115">
        <w:rPr>
          <w:rFonts w:ascii="Times New Roman" w:eastAsia="Times New Roman" w:hAnsi="Times New Roman" w:cs="Times New Roman"/>
          <w:szCs w:val="24"/>
        </w:rPr>
        <w:t xml:space="preserve">details </w:t>
      </w:r>
      <w:r w:rsidRPr="00AC717F">
        <w:rPr>
          <w:rFonts w:ascii="Times New Roman" w:eastAsia="Times New Roman" w:hAnsi="Times New Roman" w:cs="Times New Roman"/>
          <w:szCs w:val="24"/>
        </w:rPr>
        <w:t xml:space="preserve">and cognitive assessment scores </w:t>
      </w:r>
      <w:r w:rsidR="00E925CC" w:rsidRPr="004E4115">
        <w:rPr>
          <w:rFonts w:ascii="Times New Roman" w:eastAsia="Times New Roman" w:hAnsi="Times New Roman" w:cs="Times New Roman"/>
          <w:szCs w:val="24"/>
        </w:rPr>
        <w:t>of the four groups represented</w:t>
      </w:r>
      <w:r w:rsidR="00E925CC">
        <w:rPr>
          <w:rFonts w:ascii="Times New Roman" w:eastAsia="Times New Roman" w:hAnsi="Times New Roman" w:cs="Times New Roman"/>
          <w:szCs w:val="24"/>
        </w:rPr>
        <w:t xml:space="preserve"> </w:t>
      </w:r>
      <w:r>
        <w:rPr>
          <w:rFonts w:ascii="Times New Roman" w:eastAsia="Times New Roman" w:hAnsi="Times New Roman" w:cs="Times New Roman"/>
          <w:szCs w:val="24"/>
        </w:rPr>
        <w:t xml:space="preserve">in the </w:t>
      </w:r>
      <w:r>
        <w:rPr>
          <w:rFonts w:ascii="Times New Roman" w:eastAsia="Times New Roman" w:hAnsi="Times New Roman" w:cs="Times New Roman"/>
          <w:szCs w:val="24"/>
          <w:highlight w:val="white"/>
        </w:rPr>
        <w:t>distribution graphs</w:t>
      </w:r>
      <w:r w:rsidRPr="00AC717F">
        <w:rPr>
          <w:rFonts w:ascii="Times New Roman" w:eastAsia="Times New Roman" w:hAnsi="Times New Roman" w:cs="Times New Roman"/>
          <w:szCs w:val="24"/>
        </w:rPr>
        <w:t>: Healthy Young, Healthy Seniors, MCI-R, and MD.</w:t>
      </w:r>
    </w:p>
    <w:tbl>
      <w:tblPr>
        <w:tblW w:w="9348" w:type="dxa"/>
        <w:tblLayout w:type="fixed"/>
        <w:tblLook w:val="0400" w:firstRow="0" w:lastRow="0" w:firstColumn="0" w:lastColumn="0" w:noHBand="0" w:noVBand="1"/>
      </w:tblPr>
      <w:tblGrid>
        <w:gridCol w:w="2260"/>
        <w:gridCol w:w="1772"/>
        <w:gridCol w:w="1772"/>
        <w:gridCol w:w="1772"/>
        <w:gridCol w:w="1772"/>
      </w:tblGrid>
      <w:tr w:rsidR="00CF1921" w:rsidRPr="004B12B2" w14:paraId="6E9D2C2C" w14:textId="7E5B28F1" w:rsidTr="00CF1921">
        <w:trPr>
          <w:trHeight w:val="398"/>
        </w:trPr>
        <w:tc>
          <w:tcPr>
            <w:tcW w:w="2260" w:type="dxa"/>
            <w:tcBorders>
              <w:top w:val="single" w:sz="6" w:space="0" w:color="CCCCCC"/>
              <w:left w:val="single" w:sz="6" w:space="0" w:color="CCCCCC"/>
              <w:bottom w:val="single" w:sz="6" w:space="0" w:color="CCCCCC"/>
              <w:right w:val="single" w:sz="6" w:space="0" w:color="CCCCCC"/>
            </w:tcBorders>
            <w:vAlign w:val="center"/>
          </w:tcPr>
          <w:p w14:paraId="7F69083F" w14:textId="6F12F762" w:rsidR="00CF1921" w:rsidRPr="00CF1921" w:rsidRDefault="00CF1921" w:rsidP="00CF1921">
            <w:pPr>
              <w:spacing w:after="0" w:line="240" w:lineRule="auto"/>
              <w:jc w:val="center"/>
            </w:pPr>
            <w:r>
              <w:t>Measure</w:t>
            </w:r>
          </w:p>
        </w:tc>
        <w:tc>
          <w:tcPr>
            <w:tcW w:w="1772" w:type="dxa"/>
            <w:tcBorders>
              <w:top w:val="single" w:sz="6" w:space="0" w:color="CCCCCC"/>
              <w:left w:val="single" w:sz="6" w:space="0" w:color="CCCCCC"/>
              <w:bottom w:val="single" w:sz="6" w:space="0" w:color="CCCCCC"/>
              <w:right w:val="single" w:sz="6" w:space="0" w:color="CCCCCC"/>
            </w:tcBorders>
            <w:vAlign w:val="center"/>
          </w:tcPr>
          <w:p w14:paraId="7B6E47DA" w14:textId="7937511F" w:rsidR="00CF1921" w:rsidRPr="00CF1921" w:rsidRDefault="00CF1921" w:rsidP="00CF1921">
            <w:pPr>
              <w:spacing w:after="0" w:line="240" w:lineRule="auto"/>
              <w:jc w:val="center"/>
            </w:pPr>
            <w:r w:rsidRPr="00522703">
              <w:t>MD</w:t>
            </w:r>
          </w:p>
        </w:tc>
        <w:tc>
          <w:tcPr>
            <w:tcW w:w="1772" w:type="dxa"/>
            <w:tcBorders>
              <w:top w:val="single" w:sz="6" w:space="0" w:color="CCCCCC"/>
              <w:left w:val="single" w:sz="6" w:space="0" w:color="CCCCCC"/>
              <w:bottom w:val="single" w:sz="6" w:space="0" w:color="CCCCCC"/>
              <w:right w:val="single" w:sz="6" w:space="0" w:color="CCCCCC"/>
            </w:tcBorders>
            <w:vAlign w:val="center"/>
          </w:tcPr>
          <w:p w14:paraId="50C776D9" w14:textId="30F2B4E2" w:rsidR="00CF1921" w:rsidRPr="00CF1921" w:rsidRDefault="00CF1921" w:rsidP="00CF1921">
            <w:pPr>
              <w:spacing w:after="0" w:line="240" w:lineRule="auto"/>
              <w:jc w:val="center"/>
            </w:pPr>
            <w:r w:rsidRPr="00522703">
              <w:t>MCI-R</w:t>
            </w:r>
          </w:p>
        </w:tc>
        <w:tc>
          <w:tcPr>
            <w:tcW w:w="1772" w:type="dxa"/>
            <w:tcBorders>
              <w:top w:val="single" w:sz="6" w:space="0" w:color="CCCCCC"/>
              <w:left w:val="single" w:sz="6" w:space="0" w:color="CCCCCC"/>
              <w:bottom w:val="single" w:sz="6" w:space="0" w:color="CCCCCC"/>
              <w:right w:val="single" w:sz="6" w:space="0" w:color="CCCCCC"/>
            </w:tcBorders>
            <w:vAlign w:val="center"/>
          </w:tcPr>
          <w:p w14:paraId="0F273807" w14:textId="6644DCD3" w:rsidR="00CF1921" w:rsidRPr="00CF1921" w:rsidRDefault="00CF1921" w:rsidP="00CF1921">
            <w:pPr>
              <w:spacing w:after="0" w:line="240" w:lineRule="auto"/>
              <w:jc w:val="center"/>
            </w:pPr>
            <w:r w:rsidRPr="00522703">
              <w:t>Healthy</w:t>
            </w:r>
          </w:p>
        </w:tc>
        <w:tc>
          <w:tcPr>
            <w:tcW w:w="1772" w:type="dxa"/>
            <w:tcBorders>
              <w:top w:val="single" w:sz="6" w:space="0" w:color="CCCCCC"/>
              <w:left w:val="single" w:sz="6" w:space="0" w:color="CCCCCC"/>
              <w:bottom w:val="single" w:sz="6" w:space="0" w:color="CCCCCC"/>
              <w:right w:val="single" w:sz="6" w:space="0" w:color="CCCCCC"/>
            </w:tcBorders>
            <w:vAlign w:val="center"/>
          </w:tcPr>
          <w:p w14:paraId="0A3EA7DB" w14:textId="215210C7" w:rsidR="00CF1921" w:rsidRPr="00CF1921" w:rsidRDefault="00CF1921" w:rsidP="00CF1921">
            <w:pPr>
              <w:spacing w:after="0" w:line="240" w:lineRule="auto"/>
              <w:jc w:val="center"/>
            </w:pPr>
            <w:r w:rsidRPr="00CF1921">
              <w:t>Healthy Young</w:t>
            </w:r>
          </w:p>
        </w:tc>
      </w:tr>
      <w:tr w:rsidR="00CF1921" w:rsidRPr="004B12B2" w14:paraId="52181DCB" w14:textId="77777777" w:rsidTr="00CF1921">
        <w:trPr>
          <w:trHeight w:val="398"/>
        </w:trPr>
        <w:tc>
          <w:tcPr>
            <w:tcW w:w="2260" w:type="dxa"/>
            <w:tcBorders>
              <w:top w:val="single" w:sz="6" w:space="0" w:color="CCCCCC"/>
              <w:left w:val="single" w:sz="6" w:space="0" w:color="CCCCCC"/>
              <w:bottom w:val="single" w:sz="6" w:space="0" w:color="CCCCCC"/>
              <w:right w:val="single" w:sz="6" w:space="0" w:color="CCCCCC"/>
            </w:tcBorders>
            <w:vAlign w:val="center"/>
          </w:tcPr>
          <w:p w14:paraId="06DF4269" w14:textId="3CB24F78" w:rsidR="00CF1921" w:rsidRPr="00CF1921" w:rsidRDefault="00CF1921" w:rsidP="00CF1921">
            <w:pPr>
              <w:jc w:val="center"/>
            </w:pPr>
            <w:r>
              <w:t xml:space="preserve">Sample </w:t>
            </w:r>
            <w:r w:rsidR="006513CB">
              <w:t>s</w:t>
            </w:r>
            <w:r>
              <w:t>ize (</w:t>
            </w:r>
            <w:r w:rsidRPr="00CF1921">
              <w:t>n</w:t>
            </w:r>
            <w:r>
              <w:t>)</w:t>
            </w:r>
          </w:p>
        </w:tc>
        <w:tc>
          <w:tcPr>
            <w:tcW w:w="1772" w:type="dxa"/>
            <w:tcBorders>
              <w:top w:val="single" w:sz="6" w:space="0" w:color="CCCCCC"/>
              <w:left w:val="single" w:sz="6" w:space="0" w:color="CCCCCC"/>
              <w:bottom w:val="single" w:sz="6" w:space="0" w:color="CCCCCC"/>
              <w:right w:val="single" w:sz="6" w:space="0" w:color="CCCCCC"/>
            </w:tcBorders>
            <w:vAlign w:val="center"/>
          </w:tcPr>
          <w:p w14:paraId="3E037A54" w14:textId="5EA65B31" w:rsidR="00CF1921" w:rsidRPr="00CF1921" w:rsidRDefault="00CF1921" w:rsidP="00CF1921">
            <w:pPr>
              <w:spacing w:after="0" w:line="240" w:lineRule="auto"/>
              <w:jc w:val="center"/>
            </w:pPr>
            <w:r w:rsidRPr="00CF1921">
              <w:t>32</w:t>
            </w:r>
          </w:p>
        </w:tc>
        <w:tc>
          <w:tcPr>
            <w:tcW w:w="1772" w:type="dxa"/>
            <w:tcBorders>
              <w:top w:val="single" w:sz="6" w:space="0" w:color="CCCCCC"/>
              <w:left w:val="single" w:sz="6" w:space="0" w:color="CCCCCC"/>
              <w:bottom w:val="single" w:sz="6" w:space="0" w:color="CCCCCC"/>
              <w:right w:val="single" w:sz="6" w:space="0" w:color="CCCCCC"/>
            </w:tcBorders>
            <w:vAlign w:val="center"/>
          </w:tcPr>
          <w:p w14:paraId="2678CD99" w14:textId="2F0546C9" w:rsidR="00CF1921" w:rsidRPr="00CF1921" w:rsidRDefault="00CF1921" w:rsidP="00CF1921">
            <w:pPr>
              <w:spacing w:after="0" w:line="240" w:lineRule="auto"/>
              <w:jc w:val="center"/>
            </w:pPr>
            <w:r w:rsidRPr="00CF1921">
              <w:t>84</w:t>
            </w:r>
          </w:p>
        </w:tc>
        <w:tc>
          <w:tcPr>
            <w:tcW w:w="1772" w:type="dxa"/>
            <w:tcBorders>
              <w:top w:val="single" w:sz="6" w:space="0" w:color="CCCCCC"/>
              <w:left w:val="single" w:sz="6" w:space="0" w:color="CCCCCC"/>
              <w:bottom w:val="single" w:sz="6" w:space="0" w:color="CCCCCC"/>
              <w:right w:val="single" w:sz="6" w:space="0" w:color="CCCCCC"/>
            </w:tcBorders>
            <w:vAlign w:val="center"/>
          </w:tcPr>
          <w:p w14:paraId="03741B56" w14:textId="78795AA4" w:rsidR="00CF1921" w:rsidRPr="00CF1921" w:rsidRDefault="00CF1921" w:rsidP="00CF1921">
            <w:pPr>
              <w:spacing w:after="0" w:line="240" w:lineRule="auto"/>
              <w:jc w:val="center"/>
            </w:pPr>
            <w:r w:rsidRPr="00CF1921">
              <w:t>87</w:t>
            </w:r>
          </w:p>
        </w:tc>
        <w:tc>
          <w:tcPr>
            <w:tcW w:w="1772" w:type="dxa"/>
            <w:tcBorders>
              <w:top w:val="single" w:sz="6" w:space="0" w:color="CCCCCC"/>
              <w:left w:val="single" w:sz="6" w:space="0" w:color="CCCCCC"/>
              <w:bottom w:val="single" w:sz="6" w:space="0" w:color="CCCCCC"/>
              <w:right w:val="single" w:sz="6" w:space="0" w:color="CCCCCC"/>
            </w:tcBorders>
            <w:vAlign w:val="center"/>
          </w:tcPr>
          <w:p w14:paraId="184960ED" w14:textId="62974CAC" w:rsidR="00CF1921" w:rsidRPr="00CF1921" w:rsidRDefault="00CF1921" w:rsidP="00CF1921">
            <w:pPr>
              <w:spacing w:after="0" w:line="240" w:lineRule="auto"/>
              <w:jc w:val="center"/>
            </w:pPr>
            <w:r w:rsidRPr="00CF1921">
              <w:t>67</w:t>
            </w:r>
          </w:p>
        </w:tc>
      </w:tr>
      <w:tr w:rsidR="00CF1921" w:rsidRPr="004B12B2" w14:paraId="54B5241E" w14:textId="6F976FEF" w:rsidTr="00CF1921">
        <w:trPr>
          <w:trHeight w:val="398"/>
        </w:trPr>
        <w:tc>
          <w:tcPr>
            <w:tcW w:w="2260" w:type="dxa"/>
            <w:tcBorders>
              <w:top w:val="single" w:sz="6" w:space="0" w:color="CCCCCC"/>
              <w:left w:val="single" w:sz="6" w:space="0" w:color="CCCCCC"/>
              <w:bottom w:val="single" w:sz="6" w:space="0" w:color="CCCCCC"/>
              <w:right w:val="single" w:sz="6" w:space="0" w:color="CCCCCC"/>
            </w:tcBorders>
            <w:vAlign w:val="center"/>
          </w:tcPr>
          <w:p w14:paraId="6EB631A6" w14:textId="38081E71" w:rsidR="00CF1921" w:rsidRPr="00CF1921" w:rsidRDefault="00CF1921" w:rsidP="00CF1921">
            <w:pPr>
              <w:spacing w:after="0" w:line="240" w:lineRule="auto"/>
              <w:jc w:val="center"/>
            </w:pPr>
            <w:r w:rsidRPr="00CF1921">
              <w:t xml:space="preserve">Age </w:t>
            </w:r>
            <w:r w:rsidR="006513CB">
              <w:t>r</w:t>
            </w:r>
            <w:r w:rsidRPr="00CF1921">
              <w:t>ange</w:t>
            </w:r>
          </w:p>
        </w:tc>
        <w:tc>
          <w:tcPr>
            <w:tcW w:w="1772" w:type="dxa"/>
            <w:tcBorders>
              <w:top w:val="single" w:sz="6" w:space="0" w:color="CCCCCC"/>
              <w:left w:val="single" w:sz="6" w:space="0" w:color="CCCCCC"/>
              <w:bottom w:val="single" w:sz="6" w:space="0" w:color="CCCCCC"/>
              <w:right w:val="single" w:sz="6" w:space="0" w:color="CCCCCC"/>
            </w:tcBorders>
            <w:vAlign w:val="center"/>
          </w:tcPr>
          <w:p w14:paraId="5E9BA809" w14:textId="000F2518" w:rsidR="00CF1921" w:rsidRPr="00CF1921" w:rsidRDefault="00CF1921" w:rsidP="00CF1921">
            <w:pPr>
              <w:spacing w:after="0" w:line="240" w:lineRule="auto"/>
              <w:jc w:val="center"/>
            </w:pPr>
            <w:r w:rsidRPr="00CF1921">
              <w:t>61-94</w:t>
            </w:r>
          </w:p>
        </w:tc>
        <w:tc>
          <w:tcPr>
            <w:tcW w:w="1772" w:type="dxa"/>
            <w:tcBorders>
              <w:top w:val="single" w:sz="6" w:space="0" w:color="CCCCCC"/>
              <w:left w:val="single" w:sz="6" w:space="0" w:color="CCCCCC"/>
              <w:bottom w:val="single" w:sz="6" w:space="0" w:color="CCCCCC"/>
              <w:right w:val="single" w:sz="6" w:space="0" w:color="CCCCCC"/>
            </w:tcBorders>
            <w:vAlign w:val="center"/>
          </w:tcPr>
          <w:p w14:paraId="148A4F7E" w14:textId="600EBDA4" w:rsidR="00CF1921" w:rsidRPr="00CF1921" w:rsidRDefault="00CF1921" w:rsidP="00CF1921">
            <w:pPr>
              <w:spacing w:after="0" w:line="240" w:lineRule="auto"/>
              <w:jc w:val="center"/>
            </w:pPr>
            <w:r w:rsidRPr="00CF1921">
              <w:t>50-101</w:t>
            </w:r>
          </w:p>
        </w:tc>
        <w:tc>
          <w:tcPr>
            <w:tcW w:w="1772" w:type="dxa"/>
            <w:tcBorders>
              <w:top w:val="single" w:sz="6" w:space="0" w:color="CCCCCC"/>
              <w:left w:val="single" w:sz="6" w:space="0" w:color="CCCCCC"/>
              <w:bottom w:val="single" w:sz="6" w:space="0" w:color="CCCCCC"/>
              <w:right w:val="single" w:sz="6" w:space="0" w:color="CCCCCC"/>
            </w:tcBorders>
            <w:vAlign w:val="center"/>
          </w:tcPr>
          <w:p w14:paraId="19184FAB" w14:textId="308E3810" w:rsidR="00CF1921" w:rsidRPr="00CF1921" w:rsidRDefault="00CF1921" w:rsidP="00CF1921">
            <w:pPr>
              <w:spacing w:after="0" w:line="240" w:lineRule="auto"/>
              <w:jc w:val="center"/>
            </w:pPr>
            <w:r w:rsidRPr="00CF1921">
              <w:t>54-92</w:t>
            </w:r>
          </w:p>
        </w:tc>
        <w:tc>
          <w:tcPr>
            <w:tcW w:w="1772" w:type="dxa"/>
            <w:tcBorders>
              <w:top w:val="single" w:sz="6" w:space="0" w:color="CCCCCC"/>
              <w:left w:val="single" w:sz="6" w:space="0" w:color="CCCCCC"/>
              <w:bottom w:val="single" w:sz="6" w:space="0" w:color="CCCCCC"/>
              <w:right w:val="single" w:sz="6" w:space="0" w:color="CCCCCC"/>
            </w:tcBorders>
            <w:vAlign w:val="center"/>
          </w:tcPr>
          <w:p w14:paraId="1FAE26CD" w14:textId="5B098C1C" w:rsidR="00CF1921" w:rsidRPr="00CF1921" w:rsidRDefault="00CF1921" w:rsidP="00CF1921">
            <w:pPr>
              <w:spacing w:after="0" w:line="240" w:lineRule="auto"/>
              <w:jc w:val="center"/>
            </w:pPr>
            <w:r w:rsidRPr="00CF1921">
              <w:t>18-65</w:t>
            </w:r>
          </w:p>
        </w:tc>
      </w:tr>
      <w:tr w:rsidR="00CF1921" w:rsidRPr="004B12B2" w14:paraId="7C2C65C9" w14:textId="77134D6D" w:rsidTr="00CF1921">
        <w:trPr>
          <w:trHeight w:val="398"/>
        </w:trPr>
        <w:tc>
          <w:tcPr>
            <w:tcW w:w="2260" w:type="dxa"/>
            <w:tcBorders>
              <w:top w:val="single" w:sz="6" w:space="0" w:color="CCCCCC"/>
              <w:left w:val="single" w:sz="6" w:space="0" w:color="CCCCCC"/>
              <w:bottom w:val="single" w:sz="6" w:space="0" w:color="CCCCCC"/>
              <w:right w:val="single" w:sz="6" w:space="0" w:color="CCCCCC"/>
            </w:tcBorders>
            <w:vAlign w:val="center"/>
          </w:tcPr>
          <w:p w14:paraId="44377A4D" w14:textId="617658AA" w:rsidR="00CF1921" w:rsidRPr="00CF1921" w:rsidRDefault="00CF1921" w:rsidP="00CF1921">
            <w:pPr>
              <w:spacing w:after="0" w:line="240" w:lineRule="auto"/>
              <w:jc w:val="center"/>
            </w:pPr>
            <w:r w:rsidRPr="00CF1921">
              <w:t xml:space="preserve">Mean </w:t>
            </w:r>
            <w:r w:rsidR="006513CB">
              <w:t>a</w:t>
            </w:r>
            <w:r w:rsidRPr="00CF1921">
              <w:t xml:space="preserve">ge (± </w:t>
            </w:r>
            <w:r>
              <w:t>STD</w:t>
            </w:r>
            <w:r w:rsidRPr="00CF1921">
              <w:t>)</w:t>
            </w:r>
          </w:p>
        </w:tc>
        <w:tc>
          <w:tcPr>
            <w:tcW w:w="1772" w:type="dxa"/>
            <w:tcBorders>
              <w:top w:val="single" w:sz="6" w:space="0" w:color="CCCCCC"/>
              <w:left w:val="single" w:sz="6" w:space="0" w:color="CCCCCC"/>
              <w:bottom w:val="single" w:sz="6" w:space="0" w:color="CCCCCC"/>
              <w:right w:val="single" w:sz="6" w:space="0" w:color="CCCCCC"/>
            </w:tcBorders>
            <w:vAlign w:val="center"/>
          </w:tcPr>
          <w:p w14:paraId="1F5BA8ED" w14:textId="779036D4" w:rsidR="00CF1921" w:rsidRPr="00CF1921" w:rsidRDefault="00CF1921" w:rsidP="00CF1921">
            <w:pPr>
              <w:spacing w:after="0" w:line="240" w:lineRule="auto"/>
              <w:jc w:val="center"/>
            </w:pPr>
            <w:r w:rsidRPr="00CF1921">
              <w:t>79.09 (7.87)</w:t>
            </w:r>
          </w:p>
        </w:tc>
        <w:tc>
          <w:tcPr>
            <w:tcW w:w="1772" w:type="dxa"/>
            <w:tcBorders>
              <w:top w:val="single" w:sz="6" w:space="0" w:color="CCCCCC"/>
              <w:left w:val="single" w:sz="6" w:space="0" w:color="CCCCCC"/>
              <w:bottom w:val="single" w:sz="6" w:space="0" w:color="CCCCCC"/>
              <w:right w:val="single" w:sz="6" w:space="0" w:color="CCCCCC"/>
            </w:tcBorders>
            <w:vAlign w:val="center"/>
          </w:tcPr>
          <w:p w14:paraId="1A6C547B" w14:textId="21442F44" w:rsidR="00CF1921" w:rsidRPr="00CF1921" w:rsidRDefault="004027F8" w:rsidP="00CF1921">
            <w:pPr>
              <w:spacing w:after="0" w:line="240" w:lineRule="auto"/>
              <w:jc w:val="center"/>
            </w:pPr>
            <w:r>
              <w:t>74.36 (10.12)</w:t>
            </w:r>
          </w:p>
        </w:tc>
        <w:tc>
          <w:tcPr>
            <w:tcW w:w="1772" w:type="dxa"/>
            <w:tcBorders>
              <w:top w:val="single" w:sz="6" w:space="0" w:color="CCCCCC"/>
              <w:left w:val="single" w:sz="6" w:space="0" w:color="CCCCCC"/>
              <w:bottom w:val="single" w:sz="6" w:space="0" w:color="CCCCCC"/>
              <w:right w:val="single" w:sz="6" w:space="0" w:color="CCCCCC"/>
            </w:tcBorders>
            <w:vAlign w:val="center"/>
          </w:tcPr>
          <w:p w14:paraId="48F1B7FE" w14:textId="42CBC05D" w:rsidR="00CF1921" w:rsidRPr="00CF1921" w:rsidRDefault="00CF1921" w:rsidP="00CF1921">
            <w:pPr>
              <w:spacing w:after="0" w:line="240" w:lineRule="auto"/>
              <w:jc w:val="center"/>
            </w:pPr>
            <w:r w:rsidRPr="00CF1921">
              <w:t>72.9 (8.2)</w:t>
            </w:r>
          </w:p>
        </w:tc>
        <w:tc>
          <w:tcPr>
            <w:tcW w:w="1772" w:type="dxa"/>
            <w:tcBorders>
              <w:top w:val="single" w:sz="6" w:space="0" w:color="CCCCCC"/>
              <w:left w:val="single" w:sz="6" w:space="0" w:color="CCCCCC"/>
              <w:bottom w:val="single" w:sz="6" w:space="0" w:color="CCCCCC"/>
              <w:right w:val="single" w:sz="6" w:space="0" w:color="CCCCCC"/>
            </w:tcBorders>
            <w:vAlign w:val="center"/>
          </w:tcPr>
          <w:p w14:paraId="3A8E4F53" w14:textId="1D9F7ED6" w:rsidR="00CF1921" w:rsidRPr="00CF1921" w:rsidRDefault="00CF1921" w:rsidP="00CF1921">
            <w:pPr>
              <w:spacing w:after="0" w:line="240" w:lineRule="auto"/>
              <w:jc w:val="center"/>
            </w:pPr>
            <w:r w:rsidRPr="00CF1921">
              <w:t>22.5 (7.6)</w:t>
            </w:r>
          </w:p>
        </w:tc>
      </w:tr>
      <w:tr w:rsidR="00CF1921" w:rsidRPr="00522703" w14:paraId="125746F5" w14:textId="0085FF65" w:rsidTr="00CF1921">
        <w:trPr>
          <w:trHeight w:val="398"/>
        </w:trPr>
        <w:tc>
          <w:tcPr>
            <w:tcW w:w="2260" w:type="dxa"/>
            <w:tcBorders>
              <w:top w:val="single" w:sz="6" w:space="0" w:color="CCCCCC"/>
              <w:left w:val="single" w:sz="6" w:space="0" w:color="CCCCCC"/>
              <w:bottom w:val="single" w:sz="6" w:space="0" w:color="CCCCCC"/>
              <w:right w:val="single" w:sz="6" w:space="0" w:color="CCCCCC"/>
            </w:tcBorders>
            <w:vAlign w:val="center"/>
          </w:tcPr>
          <w:p w14:paraId="4E49BA0B" w14:textId="468C98A2" w:rsidR="00CF1921" w:rsidRPr="00CF1921" w:rsidRDefault="00CF1921" w:rsidP="00CF1921">
            <w:pPr>
              <w:spacing w:after="0" w:line="240" w:lineRule="auto"/>
              <w:jc w:val="center"/>
            </w:pPr>
            <w:r w:rsidRPr="00CF1921">
              <w:t xml:space="preserve">MMSE Score </w:t>
            </w:r>
            <w:r w:rsidR="006513CB">
              <w:t>r</w:t>
            </w:r>
            <w:r w:rsidRPr="00CF1921">
              <w:t>ange</w:t>
            </w:r>
          </w:p>
        </w:tc>
        <w:tc>
          <w:tcPr>
            <w:tcW w:w="1772" w:type="dxa"/>
            <w:tcBorders>
              <w:top w:val="single" w:sz="6" w:space="0" w:color="CCCCCC"/>
              <w:left w:val="single" w:sz="6" w:space="0" w:color="CCCCCC"/>
              <w:bottom w:val="single" w:sz="6" w:space="0" w:color="CCCCCC"/>
              <w:right w:val="single" w:sz="6" w:space="0" w:color="CCCCCC"/>
            </w:tcBorders>
            <w:vAlign w:val="center"/>
          </w:tcPr>
          <w:p w14:paraId="7D7312BB" w14:textId="27772B3F" w:rsidR="00CF1921" w:rsidRPr="00CF1921" w:rsidRDefault="00CF1921" w:rsidP="00CF1921">
            <w:pPr>
              <w:spacing w:after="0" w:line="240" w:lineRule="auto"/>
              <w:jc w:val="center"/>
            </w:pPr>
            <w:r w:rsidRPr="00CF1921">
              <w:t>10-23</w:t>
            </w:r>
          </w:p>
        </w:tc>
        <w:tc>
          <w:tcPr>
            <w:tcW w:w="1772" w:type="dxa"/>
            <w:tcBorders>
              <w:top w:val="single" w:sz="6" w:space="0" w:color="CCCCCC"/>
              <w:left w:val="single" w:sz="6" w:space="0" w:color="CCCCCC"/>
              <w:bottom w:val="single" w:sz="6" w:space="0" w:color="CCCCCC"/>
              <w:right w:val="single" w:sz="6" w:space="0" w:color="CCCCCC"/>
            </w:tcBorders>
            <w:vAlign w:val="center"/>
          </w:tcPr>
          <w:p w14:paraId="42A28EDD" w14:textId="21C2CE87" w:rsidR="00CF1921" w:rsidRPr="00CF1921" w:rsidRDefault="00CF1921" w:rsidP="00CF1921">
            <w:pPr>
              <w:spacing w:after="0" w:line="240" w:lineRule="auto"/>
              <w:jc w:val="center"/>
            </w:pPr>
            <w:r w:rsidRPr="00CF1921">
              <w:t>24-27</w:t>
            </w:r>
          </w:p>
        </w:tc>
        <w:tc>
          <w:tcPr>
            <w:tcW w:w="1772" w:type="dxa"/>
            <w:tcBorders>
              <w:top w:val="single" w:sz="6" w:space="0" w:color="CCCCCC"/>
              <w:left w:val="single" w:sz="6" w:space="0" w:color="CCCCCC"/>
              <w:bottom w:val="single" w:sz="6" w:space="0" w:color="CCCCCC"/>
              <w:right w:val="single" w:sz="6" w:space="0" w:color="CCCCCC"/>
            </w:tcBorders>
            <w:vAlign w:val="center"/>
          </w:tcPr>
          <w:p w14:paraId="714F82BB" w14:textId="4979E530" w:rsidR="00CF1921" w:rsidRPr="00CF1921" w:rsidRDefault="00CF1921" w:rsidP="00CF1921">
            <w:pPr>
              <w:spacing w:after="0" w:line="240" w:lineRule="auto"/>
              <w:jc w:val="center"/>
            </w:pPr>
            <w:r w:rsidRPr="00CF1921">
              <w:t>28-30</w:t>
            </w:r>
          </w:p>
        </w:tc>
        <w:tc>
          <w:tcPr>
            <w:tcW w:w="1772" w:type="dxa"/>
            <w:tcBorders>
              <w:top w:val="single" w:sz="6" w:space="0" w:color="CCCCCC"/>
              <w:left w:val="single" w:sz="6" w:space="0" w:color="CCCCCC"/>
              <w:bottom w:val="single" w:sz="6" w:space="0" w:color="CCCCCC"/>
              <w:right w:val="single" w:sz="6" w:space="0" w:color="CCCCCC"/>
            </w:tcBorders>
            <w:vAlign w:val="center"/>
          </w:tcPr>
          <w:p w14:paraId="2FA369CF" w14:textId="645A3B9A" w:rsidR="00CF1921" w:rsidRPr="00CF1921" w:rsidRDefault="00CF1921" w:rsidP="00CF1921">
            <w:pPr>
              <w:spacing w:after="0" w:line="240" w:lineRule="auto"/>
              <w:jc w:val="center"/>
            </w:pPr>
            <w:r w:rsidRPr="00CF1921">
              <w:t>N/A</w:t>
            </w:r>
          </w:p>
        </w:tc>
      </w:tr>
      <w:tr w:rsidR="00CF1921" w:rsidRPr="00522703" w14:paraId="6B990192" w14:textId="2B1EF2CF" w:rsidTr="00CF1921">
        <w:trPr>
          <w:trHeight w:val="398"/>
        </w:trPr>
        <w:tc>
          <w:tcPr>
            <w:tcW w:w="2260" w:type="dxa"/>
            <w:tcBorders>
              <w:top w:val="single" w:sz="6" w:space="0" w:color="CCCCCC"/>
              <w:left w:val="single" w:sz="6" w:space="0" w:color="CCCCCC"/>
              <w:bottom w:val="single" w:sz="6" w:space="0" w:color="CCCCCC"/>
              <w:right w:val="single" w:sz="6" w:space="0" w:color="CCCCCC"/>
            </w:tcBorders>
            <w:vAlign w:val="center"/>
          </w:tcPr>
          <w:p w14:paraId="14E2A87D" w14:textId="141EC30B" w:rsidR="00CF1921" w:rsidRDefault="00CF1921" w:rsidP="00CF1921">
            <w:pPr>
              <w:spacing w:after="0" w:line="240" w:lineRule="auto"/>
              <w:jc w:val="center"/>
            </w:pPr>
            <w:r w:rsidRPr="00CF1921">
              <w:t xml:space="preserve">Mean MMSE </w:t>
            </w:r>
            <w:r w:rsidR="006513CB">
              <w:t>s</w:t>
            </w:r>
            <w:r w:rsidRPr="00CF1921">
              <w:t xml:space="preserve">core (± </w:t>
            </w:r>
            <w:r>
              <w:t>STD</w:t>
            </w:r>
            <w:r w:rsidRPr="00CF1921">
              <w:t>)</w:t>
            </w:r>
          </w:p>
        </w:tc>
        <w:tc>
          <w:tcPr>
            <w:tcW w:w="1772" w:type="dxa"/>
            <w:tcBorders>
              <w:top w:val="single" w:sz="6" w:space="0" w:color="CCCCCC"/>
              <w:left w:val="single" w:sz="6" w:space="0" w:color="CCCCCC"/>
              <w:bottom w:val="single" w:sz="6" w:space="0" w:color="CCCCCC"/>
              <w:right w:val="single" w:sz="6" w:space="0" w:color="CCCCCC"/>
            </w:tcBorders>
            <w:vAlign w:val="center"/>
          </w:tcPr>
          <w:p w14:paraId="5666753D" w14:textId="3AAD929B" w:rsidR="00CF1921" w:rsidRPr="00E918F8" w:rsidRDefault="00CF1921" w:rsidP="00CF1921">
            <w:pPr>
              <w:spacing w:after="0" w:line="240" w:lineRule="auto"/>
              <w:jc w:val="center"/>
            </w:pPr>
            <w:r w:rsidRPr="00CF1921">
              <w:t>20.6 (2.13)</w:t>
            </w:r>
          </w:p>
        </w:tc>
        <w:tc>
          <w:tcPr>
            <w:tcW w:w="1772" w:type="dxa"/>
            <w:tcBorders>
              <w:top w:val="single" w:sz="6" w:space="0" w:color="CCCCCC"/>
              <w:left w:val="single" w:sz="6" w:space="0" w:color="CCCCCC"/>
              <w:bottom w:val="single" w:sz="6" w:space="0" w:color="CCCCCC"/>
              <w:right w:val="single" w:sz="6" w:space="0" w:color="CCCCCC"/>
            </w:tcBorders>
            <w:vAlign w:val="center"/>
          </w:tcPr>
          <w:p w14:paraId="33AC76FC" w14:textId="2FDE0F2A" w:rsidR="00CF1921" w:rsidRPr="00E918F8" w:rsidRDefault="00CF1921" w:rsidP="00CF1921">
            <w:pPr>
              <w:spacing w:after="0" w:line="240" w:lineRule="auto"/>
              <w:jc w:val="center"/>
            </w:pPr>
            <w:r w:rsidRPr="00CF1921">
              <w:t>25.4 (1.03)</w:t>
            </w:r>
          </w:p>
        </w:tc>
        <w:tc>
          <w:tcPr>
            <w:tcW w:w="1772" w:type="dxa"/>
            <w:tcBorders>
              <w:top w:val="single" w:sz="6" w:space="0" w:color="CCCCCC"/>
              <w:left w:val="single" w:sz="6" w:space="0" w:color="CCCCCC"/>
              <w:bottom w:val="single" w:sz="6" w:space="0" w:color="CCCCCC"/>
              <w:right w:val="single" w:sz="6" w:space="0" w:color="CCCCCC"/>
            </w:tcBorders>
            <w:vAlign w:val="center"/>
          </w:tcPr>
          <w:p w14:paraId="7A5D6282" w14:textId="74F88357" w:rsidR="00CF1921" w:rsidRPr="00E918F8" w:rsidRDefault="00CF1921" w:rsidP="00CF1921">
            <w:pPr>
              <w:spacing w:after="0" w:line="240" w:lineRule="auto"/>
              <w:jc w:val="center"/>
            </w:pPr>
            <w:r w:rsidRPr="00CF1921">
              <w:t>28.9 (0.8)</w:t>
            </w:r>
          </w:p>
        </w:tc>
        <w:tc>
          <w:tcPr>
            <w:tcW w:w="1772" w:type="dxa"/>
            <w:tcBorders>
              <w:top w:val="single" w:sz="6" w:space="0" w:color="CCCCCC"/>
              <w:left w:val="single" w:sz="6" w:space="0" w:color="CCCCCC"/>
              <w:bottom w:val="single" w:sz="6" w:space="0" w:color="CCCCCC"/>
              <w:right w:val="single" w:sz="6" w:space="0" w:color="CCCCCC"/>
            </w:tcBorders>
            <w:vAlign w:val="center"/>
          </w:tcPr>
          <w:p w14:paraId="5D55AE8D" w14:textId="7CD38C93" w:rsidR="00CF1921" w:rsidRPr="00E918F8" w:rsidRDefault="00CF1921" w:rsidP="00CF1921">
            <w:pPr>
              <w:spacing w:after="0" w:line="240" w:lineRule="auto"/>
              <w:jc w:val="center"/>
            </w:pPr>
            <w:r w:rsidRPr="00CF1921">
              <w:t>N/A</w:t>
            </w:r>
          </w:p>
        </w:tc>
      </w:tr>
    </w:tbl>
    <w:p w14:paraId="5DE24BF7" w14:textId="77777777" w:rsidR="000B160B" w:rsidRDefault="000B160B">
      <w:pPr>
        <w:rPr>
          <w:rFonts w:ascii="Times New Roman" w:eastAsia="Times New Roman" w:hAnsi="Times New Roman" w:cs="Times New Roman"/>
          <w:b/>
          <w:bCs/>
          <w:szCs w:val="24"/>
        </w:rPr>
      </w:pPr>
    </w:p>
    <w:p w14:paraId="1380B864" w14:textId="2DF5EF7B" w:rsidR="00AC717F" w:rsidRDefault="00AC717F">
      <w:pPr>
        <w:rPr>
          <w:rFonts w:ascii="Times New Roman" w:eastAsia="Times New Roman" w:hAnsi="Times New Roman" w:cs="Times New Roman"/>
          <w:szCs w:val="24"/>
        </w:rPr>
      </w:pPr>
      <w:r w:rsidRPr="00AC717F">
        <w:rPr>
          <w:rFonts w:ascii="Times New Roman" w:eastAsia="Times New Roman" w:hAnsi="Times New Roman" w:cs="Times New Roman"/>
          <w:b/>
          <w:bCs/>
          <w:szCs w:val="24"/>
        </w:rPr>
        <w:lastRenderedPageBreak/>
        <w:t xml:space="preserve">Table </w:t>
      </w:r>
      <w:r w:rsidR="004944DD">
        <w:rPr>
          <w:rFonts w:ascii="Times New Roman" w:eastAsia="Times New Roman" w:hAnsi="Times New Roman" w:cs="Times New Roman"/>
          <w:b/>
          <w:bCs/>
          <w:szCs w:val="24"/>
        </w:rPr>
        <w:t>1</w:t>
      </w:r>
      <w:r>
        <w:rPr>
          <w:rFonts w:ascii="Times New Roman" w:eastAsia="Times New Roman" w:hAnsi="Times New Roman" w:cs="Times New Roman"/>
          <w:szCs w:val="24"/>
        </w:rPr>
        <w:t>. S</w:t>
      </w:r>
      <w:r w:rsidRPr="00AC717F">
        <w:rPr>
          <w:rFonts w:ascii="Times New Roman" w:eastAsia="Times New Roman" w:hAnsi="Times New Roman" w:cs="Times New Roman"/>
          <w:szCs w:val="24"/>
        </w:rPr>
        <w:t>ample size (n), age range, mean age with standard deviation (± SD), Mini-Mental State Examination (MMSE) score range, and mean MMSE score with standard deviation (± SD) for each group.</w:t>
      </w:r>
    </w:p>
    <w:p w14:paraId="52A67092" w14:textId="77F2C88C" w:rsidR="00E925CC" w:rsidRPr="00E925CC" w:rsidRDefault="005C19B2" w:rsidP="00E925CC">
      <w:pPr>
        <w:rPr>
          <w:rFonts w:ascii="Times New Roman" w:eastAsia="Times New Roman" w:hAnsi="Times New Roman" w:cs="Times New Roman"/>
          <w:szCs w:val="24"/>
        </w:rPr>
      </w:pPr>
      <w:r w:rsidRPr="005C19B2">
        <w:rPr>
          <w:rFonts w:ascii="Times New Roman" w:eastAsia="Times New Roman" w:hAnsi="Times New Roman" w:cs="Times New Roman"/>
          <w:szCs w:val="24"/>
        </w:rPr>
        <w:t xml:space="preserve">The graphs </w:t>
      </w:r>
      <w:r w:rsidR="00E925CC" w:rsidRPr="00E925CC">
        <w:rPr>
          <w:rFonts w:ascii="Times New Roman" w:eastAsia="Times New Roman" w:hAnsi="Times New Roman" w:cs="Times New Roman"/>
          <w:szCs w:val="24"/>
        </w:rPr>
        <w:t xml:space="preserve">show </w:t>
      </w:r>
      <w:r w:rsidRPr="005C19B2">
        <w:rPr>
          <w:rFonts w:ascii="Times New Roman" w:eastAsia="Times New Roman" w:hAnsi="Times New Roman" w:cs="Times New Roman"/>
          <w:szCs w:val="24"/>
        </w:rPr>
        <w:t xml:space="preserve">that the Healthy Young group (blue line) </w:t>
      </w:r>
      <w:r w:rsidR="00E925CC" w:rsidRPr="00E925CC">
        <w:rPr>
          <w:rFonts w:ascii="Times New Roman" w:eastAsia="Times New Roman" w:hAnsi="Times New Roman" w:cs="Times New Roman"/>
          <w:szCs w:val="24"/>
        </w:rPr>
        <w:t xml:space="preserve">exhibits </w:t>
      </w:r>
      <w:r w:rsidRPr="005C19B2">
        <w:rPr>
          <w:rFonts w:ascii="Times New Roman" w:eastAsia="Times New Roman" w:hAnsi="Times New Roman" w:cs="Times New Roman"/>
          <w:szCs w:val="24"/>
        </w:rPr>
        <w:t xml:space="preserve">a concentrated distribution with a high density of individuals at lower A0 levels, contrasting with the broader distributions </w:t>
      </w:r>
      <w:r w:rsidR="00E925CC" w:rsidRPr="00E925CC">
        <w:rPr>
          <w:rFonts w:ascii="Times New Roman" w:eastAsia="Times New Roman" w:hAnsi="Times New Roman" w:cs="Times New Roman"/>
          <w:szCs w:val="24"/>
        </w:rPr>
        <w:t xml:space="preserve">observed in the </w:t>
      </w:r>
      <w:r w:rsidRPr="005C19B2">
        <w:rPr>
          <w:rFonts w:ascii="Times New Roman" w:eastAsia="Times New Roman" w:hAnsi="Times New Roman" w:cs="Times New Roman"/>
          <w:szCs w:val="24"/>
        </w:rPr>
        <w:t xml:space="preserve">Healthy Seniors (orange line), MCI-R (green line), and MD (red line) groups, which </w:t>
      </w:r>
      <w:r w:rsidR="00E925CC" w:rsidRPr="00E925CC">
        <w:rPr>
          <w:rFonts w:ascii="Times New Roman" w:eastAsia="Times New Roman" w:hAnsi="Times New Roman" w:cs="Times New Roman"/>
          <w:szCs w:val="24"/>
        </w:rPr>
        <w:t xml:space="preserve">extend </w:t>
      </w:r>
      <w:r w:rsidR="00E925CC">
        <w:rPr>
          <w:rFonts w:ascii="Times New Roman" w:eastAsia="Times New Roman" w:hAnsi="Times New Roman" w:cs="Times New Roman"/>
          <w:szCs w:val="24"/>
        </w:rPr>
        <w:t xml:space="preserve">to </w:t>
      </w:r>
      <w:r w:rsidRPr="005C19B2">
        <w:rPr>
          <w:rFonts w:ascii="Times New Roman" w:eastAsia="Times New Roman" w:hAnsi="Times New Roman" w:cs="Times New Roman"/>
          <w:szCs w:val="24"/>
        </w:rPr>
        <w:t xml:space="preserve">higher A0 levels. </w:t>
      </w:r>
      <w:r w:rsidR="00E925CC" w:rsidRPr="00E925CC">
        <w:rPr>
          <w:rFonts w:ascii="Times New Roman" w:eastAsia="Times New Roman" w:hAnsi="Times New Roman" w:cs="Times New Roman"/>
          <w:szCs w:val="24"/>
        </w:rPr>
        <w:t>On average, the Healthy Young group displays the lowest A0 values, while the MCI-R and MD groups show the highest averages.</w:t>
      </w:r>
    </w:p>
    <w:p w14:paraId="155DB876" w14:textId="67E46152" w:rsidR="00E925CC" w:rsidRPr="00A44629" w:rsidRDefault="00E925CC" w:rsidP="00A44629">
      <w:pPr>
        <w:rPr>
          <w:rFonts w:ascii="Times New Roman" w:eastAsia="Times New Roman" w:hAnsi="Times New Roman" w:cs="Times New Roman"/>
          <w:szCs w:val="24"/>
        </w:rPr>
      </w:pPr>
      <w:r w:rsidRPr="00E925CC">
        <w:rPr>
          <w:rFonts w:ascii="Times New Roman" w:eastAsia="Times New Roman" w:hAnsi="Times New Roman" w:cs="Times New Roman"/>
          <w:szCs w:val="24"/>
        </w:rPr>
        <w:t xml:space="preserve">In the Healthy </w:t>
      </w:r>
      <w:proofErr w:type="gramStart"/>
      <w:r>
        <w:rPr>
          <w:rFonts w:ascii="Times New Roman" w:eastAsia="Times New Roman" w:hAnsi="Times New Roman" w:cs="Times New Roman"/>
          <w:szCs w:val="24"/>
        </w:rPr>
        <w:t>s</w:t>
      </w:r>
      <w:r w:rsidRPr="00E925CC">
        <w:rPr>
          <w:rFonts w:ascii="Times New Roman" w:eastAsia="Times New Roman" w:hAnsi="Times New Roman" w:cs="Times New Roman"/>
          <w:szCs w:val="24"/>
        </w:rPr>
        <w:t>eniors</w:t>
      </w:r>
      <w:proofErr w:type="gramEnd"/>
      <w:r w:rsidRPr="00E925CC">
        <w:rPr>
          <w:rFonts w:ascii="Times New Roman" w:eastAsia="Times New Roman" w:hAnsi="Times New Roman" w:cs="Times New Roman"/>
          <w:szCs w:val="24"/>
        </w:rPr>
        <w:t xml:space="preserve"> group</w:t>
      </w:r>
      <w:r w:rsidR="005C19B2" w:rsidRPr="005C19B2">
        <w:rPr>
          <w:rFonts w:ascii="Times New Roman" w:eastAsia="Times New Roman" w:hAnsi="Times New Roman" w:cs="Times New Roman"/>
          <w:szCs w:val="24"/>
        </w:rPr>
        <w:t xml:space="preserve">, </w:t>
      </w:r>
      <w:r w:rsidRPr="00E925CC">
        <w:rPr>
          <w:rFonts w:ascii="Times New Roman" w:eastAsia="Times New Roman" w:hAnsi="Times New Roman" w:cs="Times New Roman"/>
          <w:szCs w:val="24"/>
        </w:rPr>
        <w:t>two peaks are evident</w:t>
      </w:r>
      <w:r>
        <w:rPr>
          <w:rFonts w:ascii="Times New Roman" w:eastAsia="Times New Roman" w:hAnsi="Times New Roman" w:cs="Times New Roman"/>
          <w:szCs w:val="24"/>
        </w:rPr>
        <w:t>,</w:t>
      </w:r>
      <w:r w:rsidR="005C19B2" w:rsidRPr="005C19B2">
        <w:rPr>
          <w:rFonts w:ascii="Times New Roman" w:eastAsia="Times New Roman" w:hAnsi="Times New Roman" w:cs="Times New Roman"/>
          <w:szCs w:val="24"/>
        </w:rPr>
        <w:t xml:space="preserve"> </w:t>
      </w:r>
      <w:r w:rsidRPr="00E925CC">
        <w:rPr>
          <w:rFonts w:ascii="Times New Roman" w:eastAsia="Times New Roman" w:hAnsi="Times New Roman" w:cs="Times New Roman"/>
          <w:szCs w:val="24"/>
        </w:rPr>
        <w:t>one aligning closely with the average of the Healthy Young group</w:t>
      </w:r>
      <w:r>
        <w:rPr>
          <w:rFonts w:ascii="Times New Roman" w:eastAsia="Times New Roman" w:hAnsi="Times New Roman" w:cs="Times New Roman"/>
          <w:szCs w:val="24"/>
        </w:rPr>
        <w:t xml:space="preserve">, and the other </w:t>
      </w:r>
      <w:r w:rsidR="00A44629" w:rsidRPr="00E925CC">
        <w:rPr>
          <w:rFonts w:ascii="Times New Roman" w:eastAsia="Times New Roman" w:hAnsi="Times New Roman" w:cs="Times New Roman"/>
          <w:szCs w:val="24"/>
        </w:rPr>
        <w:t>with the MCI-R and MD groups</w:t>
      </w:r>
      <w:r w:rsidR="005C19B2" w:rsidRPr="005C19B2">
        <w:rPr>
          <w:rFonts w:ascii="Times New Roman" w:eastAsia="Times New Roman" w:hAnsi="Times New Roman" w:cs="Times New Roman"/>
          <w:szCs w:val="24"/>
        </w:rPr>
        <w:t xml:space="preserve">. These results </w:t>
      </w:r>
      <w:r w:rsidRPr="00E925CC">
        <w:rPr>
          <w:rFonts w:ascii="Times New Roman" w:eastAsia="Times New Roman" w:hAnsi="Times New Roman" w:cs="Times New Roman"/>
          <w:szCs w:val="24"/>
        </w:rPr>
        <w:t xml:space="preserve">highlight </w:t>
      </w:r>
      <w:r w:rsidR="00A44629" w:rsidRPr="00E925CC">
        <w:rPr>
          <w:rFonts w:ascii="Times New Roman" w:eastAsia="Times New Roman" w:hAnsi="Times New Roman" w:cs="Times New Roman"/>
          <w:szCs w:val="24"/>
        </w:rPr>
        <w:t xml:space="preserve">differences </w:t>
      </w:r>
      <w:r w:rsidR="005C19B2" w:rsidRPr="005C19B2">
        <w:rPr>
          <w:rFonts w:ascii="Times New Roman" w:eastAsia="Times New Roman" w:hAnsi="Times New Roman" w:cs="Times New Roman"/>
          <w:szCs w:val="24"/>
        </w:rPr>
        <w:t xml:space="preserve">between young and elderly individuals, as well as between cognitively healthy and </w:t>
      </w:r>
      <w:r w:rsidRPr="00E925CC">
        <w:rPr>
          <w:rFonts w:ascii="Times New Roman" w:eastAsia="Times New Roman" w:hAnsi="Times New Roman" w:cs="Times New Roman"/>
          <w:szCs w:val="24"/>
        </w:rPr>
        <w:t xml:space="preserve">impaired </w:t>
      </w:r>
      <w:r w:rsidR="005C19B2" w:rsidRPr="005C19B2">
        <w:rPr>
          <w:rFonts w:ascii="Times New Roman" w:eastAsia="Times New Roman" w:hAnsi="Times New Roman" w:cs="Times New Roman"/>
          <w:szCs w:val="24"/>
        </w:rPr>
        <w:t>seniors, across both resting and cognitive load conditions.</w:t>
      </w:r>
      <w:r>
        <w:rPr>
          <w:rFonts w:ascii="Times New Roman" w:eastAsia="Times New Roman" w:hAnsi="Times New Roman" w:cs="Times New Roman"/>
          <w:szCs w:val="24"/>
        </w:rPr>
        <w:t xml:space="preserve"> </w:t>
      </w:r>
      <w:r>
        <w:rPr>
          <w:rFonts w:ascii="Times New Roman" w:eastAsia="Times New Roman" w:hAnsi="Times New Roman" w:cs="Times New Roman"/>
          <w:szCs w:val="24"/>
          <w:highlight w:val="white"/>
        </w:rPr>
        <w:t xml:space="preserve">Further </w:t>
      </w:r>
      <w:r w:rsidR="00A44629" w:rsidRPr="00E925CC">
        <w:rPr>
          <w:rFonts w:ascii="Times New Roman" w:eastAsia="Times New Roman" w:hAnsi="Times New Roman" w:cs="Times New Roman"/>
          <w:szCs w:val="24"/>
        </w:rPr>
        <w:t xml:space="preserve">research </w:t>
      </w:r>
      <w:r>
        <w:rPr>
          <w:rFonts w:ascii="Times New Roman" w:eastAsia="Times New Roman" w:hAnsi="Times New Roman" w:cs="Times New Roman"/>
          <w:szCs w:val="24"/>
          <w:highlight w:val="white"/>
        </w:rPr>
        <w:t xml:space="preserve">should </w:t>
      </w:r>
      <w:r w:rsidR="00A44629" w:rsidRPr="00E925CC">
        <w:rPr>
          <w:rFonts w:ascii="Times New Roman" w:eastAsia="Times New Roman" w:hAnsi="Times New Roman" w:cs="Times New Roman"/>
          <w:szCs w:val="24"/>
        </w:rPr>
        <w:t xml:space="preserve">explore </w:t>
      </w:r>
      <w:r>
        <w:rPr>
          <w:rFonts w:ascii="Times New Roman" w:eastAsia="Times New Roman" w:hAnsi="Times New Roman" w:cs="Times New Roman"/>
          <w:szCs w:val="24"/>
          <w:highlight w:val="white"/>
        </w:rPr>
        <w:t xml:space="preserve">whether A0 activity </w:t>
      </w:r>
      <w:r w:rsidR="00A44629" w:rsidRPr="00E925CC">
        <w:rPr>
          <w:rFonts w:ascii="Times New Roman" w:eastAsia="Times New Roman" w:hAnsi="Times New Roman" w:cs="Times New Roman"/>
          <w:szCs w:val="24"/>
        </w:rPr>
        <w:t xml:space="preserve">could serve as a potential predictor </w:t>
      </w:r>
      <w:r>
        <w:rPr>
          <w:rFonts w:ascii="Times New Roman" w:eastAsia="Times New Roman" w:hAnsi="Times New Roman" w:cs="Times New Roman"/>
          <w:szCs w:val="24"/>
          <w:highlight w:val="white"/>
        </w:rPr>
        <w:t xml:space="preserve">of MCI-R </w:t>
      </w:r>
      <w:r w:rsidR="00A44629" w:rsidRPr="00E925CC">
        <w:rPr>
          <w:rFonts w:ascii="Times New Roman" w:eastAsia="Times New Roman" w:hAnsi="Times New Roman" w:cs="Times New Roman"/>
          <w:szCs w:val="24"/>
        </w:rPr>
        <w:t xml:space="preserve">within </w:t>
      </w:r>
      <w:r>
        <w:rPr>
          <w:rFonts w:ascii="Times New Roman" w:eastAsia="Times New Roman" w:hAnsi="Times New Roman" w:cs="Times New Roman"/>
          <w:szCs w:val="24"/>
          <w:highlight w:val="white"/>
        </w:rPr>
        <w:t xml:space="preserve">the healthy senior </w:t>
      </w:r>
      <w:r w:rsidR="00A44629">
        <w:rPr>
          <w:rFonts w:ascii="Times New Roman" w:eastAsia="Times New Roman" w:hAnsi="Times New Roman" w:cs="Times New Roman"/>
          <w:szCs w:val="24"/>
          <w:highlight w:val="white"/>
        </w:rPr>
        <w:t>population</w:t>
      </w:r>
      <w:r>
        <w:rPr>
          <w:rFonts w:ascii="Times New Roman" w:eastAsia="Times New Roman" w:hAnsi="Times New Roman" w:cs="Times New Roman"/>
          <w:szCs w:val="24"/>
          <w:highlight w:val="white"/>
        </w:rPr>
        <w:t xml:space="preserve">.  </w:t>
      </w:r>
    </w:p>
    <w:p w14:paraId="7CA2023D" w14:textId="2A063FD1" w:rsidR="00E925CC" w:rsidRDefault="005C19B2" w:rsidP="00DA3555">
      <w:pPr>
        <w:rPr>
          <w:rFonts w:ascii="Times New Roman" w:eastAsia="Times New Roman" w:hAnsi="Times New Roman" w:cs="Times New Roman"/>
          <w:szCs w:val="24"/>
        </w:rPr>
      </w:pPr>
      <w:r w:rsidRPr="005C19B2">
        <w:rPr>
          <w:rFonts w:ascii="Times New Roman" w:eastAsia="Times New Roman" w:hAnsi="Times New Roman" w:cs="Times New Roman"/>
          <w:szCs w:val="24"/>
        </w:rPr>
        <w:t>The</w:t>
      </w:r>
      <w:r>
        <w:rPr>
          <w:rFonts w:ascii="Times New Roman" w:eastAsia="Times New Roman" w:hAnsi="Times New Roman" w:cs="Times New Roman"/>
          <w:szCs w:val="24"/>
        </w:rPr>
        <w:t>se</w:t>
      </w:r>
      <w:r w:rsidRPr="005C19B2">
        <w:rPr>
          <w:rFonts w:ascii="Times New Roman" w:eastAsia="Times New Roman" w:hAnsi="Times New Roman" w:cs="Times New Roman"/>
          <w:szCs w:val="24"/>
        </w:rPr>
        <w:t xml:space="preserve"> findings </w:t>
      </w:r>
      <w:r w:rsidR="00E925CC" w:rsidRPr="00E925CC">
        <w:rPr>
          <w:rFonts w:ascii="Times New Roman" w:eastAsia="Times New Roman" w:hAnsi="Times New Roman" w:cs="Times New Roman"/>
          <w:szCs w:val="24"/>
        </w:rPr>
        <w:t xml:space="preserve">are consistent </w:t>
      </w:r>
      <w:r w:rsidRPr="005C19B2">
        <w:rPr>
          <w:rFonts w:ascii="Times New Roman" w:eastAsia="Times New Roman" w:hAnsi="Times New Roman" w:cs="Times New Roman"/>
          <w:szCs w:val="24"/>
        </w:rPr>
        <w:t xml:space="preserve">with </w:t>
      </w:r>
      <w:r w:rsidR="00E925CC" w:rsidRPr="00E925CC">
        <w:rPr>
          <w:rFonts w:ascii="Times New Roman" w:eastAsia="Times New Roman" w:hAnsi="Times New Roman" w:cs="Times New Roman"/>
          <w:szCs w:val="24"/>
        </w:rPr>
        <w:t xml:space="preserve">previous </w:t>
      </w:r>
      <w:r w:rsidRPr="005C19B2">
        <w:rPr>
          <w:rFonts w:ascii="Times New Roman" w:eastAsia="Times New Roman" w:hAnsi="Times New Roman" w:cs="Times New Roman"/>
          <w:szCs w:val="24"/>
        </w:rPr>
        <w:t xml:space="preserve">research </w:t>
      </w:r>
      <w:r w:rsidR="00E925CC" w:rsidRPr="00E925CC">
        <w:rPr>
          <w:rFonts w:ascii="Times New Roman" w:eastAsia="Times New Roman" w:hAnsi="Times New Roman" w:cs="Times New Roman"/>
          <w:szCs w:val="24"/>
        </w:rPr>
        <w:t xml:space="preserve">showing </w:t>
      </w:r>
      <w:r w:rsidRPr="005C19B2">
        <w:rPr>
          <w:rFonts w:ascii="Times New Roman" w:eastAsia="Times New Roman" w:hAnsi="Times New Roman" w:cs="Times New Roman"/>
          <w:szCs w:val="24"/>
        </w:rPr>
        <w:t xml:space="preserve">that individuals with Alzheimer's disease (AD) </w:t>
      </w:r>
      <w:r w:rsidR="00E925CC" w:rsidRPr="00E925CC">
        <w:rPr>
          <w:rFonts w:ascii="Times New Roman" w:eastAsia="Times New Roman" w:hAnsi="Times New Roman" w:cs="Times New Roman"/>
          <w:szCs w:val="24"/>
        </w:rPr>
        <w:t xml:space="preserve">exhibit increased </w:t>
      </w:r>
      <w:r w:rsidRPr="005C19B2">
        <w:rPr>
          <w:rFonts w:ascii="Times New Roman" w:eastAsia="Times New Roman" w:hAnsi="Times New Roman" w:cs="Times New Roman"/>
          <w:szCs w:val="24"/>
        </w:rPr>
        <w:t xml:space="preserve">Theta </w:t>
      </w:r>
      <w:sdt>
        <w:sdtPr>
          <w:rPr>
            <w:rFonts w:ascii="Times New Roman" w:eastAsia="Times New Roman" w:hAnsi="Times New Roman" w:cs="Times New Roman"/>
            <w:color w:val="000000"/>
            <w:szCs w:val="24"/>
          </w:rPr>
          <w:tag w:val="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"/>
          <w:id w:val="47198086"/>
          <w:placeholder>
            <w:docPart w:val="DefaultPlaceholder_-1854013440"/>
          </w:placeholder>
        </w:sdtPr>
        <w:sdtContent>
          <w:r w:rsidR="00E37352" w:rsidRPr="00E37352">
            <w:rPr>
              <w:rFonts w:ascii="Times New Roman" w:eastAsia="Times New Roman" w:hAnsi="Times New Roman" w:cs="Times New Roman"/>
              <w:color w:val="000000"/>
              <w:szCs w:val="24"/>
            </w:rPr>
            <w:t>[2], [3]</w:t>
          </w:r>
        </w:sdtContent>
      </w:sdt>
      <w:r w:rsidRPr="005C19B2">
        <w:rPr>
          <w:rFonts w:ascii="Times New Roman" w:eastAsia="Times New Roman" w:hAnsi="Times New Roman" w:cs="Times New Roman"/>
          <w:szCs w:val="24"/>
        </w:rPr>
        <w:t xml:space="preserve"> and Delta </w:t>
      </w:r>
      <w:sdt>
        <w:sdtPr>
          <w:rPr>
            <w:rFonts w:ascii="Times New Roman" w:eastAsia="Times New Roman" w:hAnsi="Times New Roman" w:cs="Times New Roman"/>
            <w:color w:val="000000"/>
            <w:szCs w:val="24"/>
          </w:rPr>
          <w:tag w:val="MENDELEY_CITATION_v3_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"/>
          <w:id w:val="1286920449"/>
          <w:placeholder>
            <w:docPart w:val="DefaultPlaceholder_-1854013440"/>
          </w:placeholder>
        </w:sdtPr>
        <w:sdtContent>
          <w:r w:rsidR="00E37352" w:rsidRPr="00E37352">
            <w:rPr>
              <w:rFonts w:ascii="Times New Roman" w:eastAsia="Times New Roman" w:hAnsi="Times New Roman" w:cs="Times New Roman"/>
              <w:color w:val="000000"/>
              <w:szCs w:val="24"/>
            </w:rPr>
            <w:t>[3]</w:t>
          </w:r>
        </w:sdtContent>
      </w:sdt>
      <w:r w:rsidRPr="005C19B2">
        <w:rPr>
          <w:rFonts w:ascii="Times New Roman" w:eastAsia="Times New Roman" w:hAnsi="Times New Roman" w:cs="Times New Roman"/>
          <w:szCs w:val="24"/>
        </w:rPr>
        <w:t xml:space="preserve"> power during rest, </w:t>
      </w:r>
      <w:r w:rsidR="00E925CC" w:rsidRPr="00E925CC">
        <w:rPr>
          <w:rFonts w:ascii="Times New Roman" w:eastAsia="Times New Roman" w:hAnsi="Times New Roman" w:cs="Times New Roman"/>
          <w:szCs w:val="24"/>
        </w:rPr>
        <w:t>compared to age-matched controls</w:t>
      </w:r>
      <w:r w:rsidRPr="005C19B2">
        <w:rPr>
          <w:rFonts w:ascii="Times New Roman" w:eastAsia="Times New Roman" w:hAnsi="Times New Roman" w:cs="Times New Roman"/>
          <w:szCs w:val="24"/>
        </w:rPr>
        <w:t xml:space="preserve"> and </w:t>
      </w:r>
      <w:r w:rsidR="00E925CC">
        <w:rPr>
          <w:rFonts w:ascii="Times New Roman" w:eastAsia="Times New Roman" w:hAnsi="Times New Roman" w:cs="Times New Roman"/>
          <w:szCs w:val="24"/>
        </w:rPr>
        <w:t>individuals</w:t>
      </w:r>
      <w:r w:rsidRPr="005C19B2">
        <w:rPr>
          <w:rFonts w:ascii="Times New Roman" w:eastAsia="Times New Roman" w:hAnsi="Times New Roman" w:cs="Times New Roman"/>
          <w:szCs w:val="24"/>
        </w:rPr>
        <w:t xml:space="preserve"> with MCI. This trend </w:t>
      </w:r>
      <w:r w:rsidR="00DA3555">
        <w:rPr>
          <w:rFonts w:ascii="Times New Roman" w:eastAsia="Times New Roman" w:hAnsi="Times New Roman" w:cs="Times New Roman"/>
          <w:szCs w:val="24"/>
        </w:rPr>
        <w:t xml:space="preserve">is also seen in Gamma </w:t>
      </w:r>
      <w:r w:rsidR="00DA3555" w:rsidRPr="00DA3555">
        <w:rPr>
          <w:rFonts w:ascii="Times New Roman" w:eastAsia="Times New Roman" w:hAnsi="Times New Roman" w:cs="Times New Roman"/>
          <w:szCs w:val="24"/>
        </w:rPr>
        <w:t>during cognitive task performance</w:t>
      </w:r>
      <w:r w:rsidR="00DA3555">
        <w:rPr>
          <w:rFonts w:ascii="Times New Roman" w:eastAsia="Times New Roman" w:hAnsi="Times New Roman" w:cs="Times New Roman"/>
          <w:szCs w:val="24"/>
        </w:rPr>
        <w:t xml:space="preserve"> </w:t>
      </w:r>
      <w:sdt>
        <w:sdtPr>
          <w:rPr>
            <w:rFonts w:ascii="Times New Roman" w:eastAsia="Times New Roman" w:hAnsi="Times New Roman" w:cs="Times New Roman"/>
            <w:color w:val="000000"/>
            <w:szCs w:val="24"/>
          </w:rPr>
          <w:tag w:val="MENDELEY_CITATION_v3_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"/>
          <w:id w:val="-105587348"/>
          <w:placeholder>
            <w:docPart w:val="DefaultPlaceholder_-1854013440"/>
          </w:placeholder>
        </w:sdtPr>
        <w:sdtContent>
          <w:r w:rsidR="00E37352" w:rsidRPr="00E37352">
            <w:rPr>
              <w:rFonts w:ascii="Times New Roman" w:eastAsia="Times New Roman" w:hAnsi="Times New Roman" w:cs="Times New Roman"/>
              <w:color w:val="000000"/>
              <w:szCs w:val="24"/>
            </w:rPr>
            <w:t>[4]</w:t>
          </w:r>
        </w:sdtContent>
      </w:sdt>
      <w:r w:rsidRPr="005C19B2">
        <w:rPr>
          <w:rFonts w:ascii="Times New Roman" w:eastAsia="Times New Roman" w:hAnsi="Times New Roman" w:cs="Times New Roman"/>
          <w:szCs w:val="24"/>
        </w:rPr>
        <w:t xml:space="preserve">, </w:t>
      </w:r>
      <w:r w:rsidR="00E925CC" w:rsidRPr="00E925CC">
        <w:rPr>
          <w:rFonts w:ascii="Times New Roman" w:eastAsia="Times New Roman" w:hAnsi="Times New Roman" w:cs="Times New Roman"/>
          <w:szCs w:val="24"/>
        </w:rPr>
        <w:t xml:space="preserve">suggesting </w:t>
      </w:r>
      <w:r w:rsidRPr="005C19B2">
        <w:rPr>
          <w:rFonts w:ascii="Times New Roman" w:eastAsia="Times New Roman" w:hAnsi="Times New Roman" w:cs="Times New Roman"/>
          <w:szCs w:val="24"/>
        </w:rPr>
        <w:t xml:space="preserve">an </w:t>
      </w:r>
      <w:r w:rsidR="00E925CC" w:rsidRPr="00E925CC">
        <w:rPr>
          <w:rFonts w:ascii="Times New Roman" w:eastAsia="Times New Roman" w:hAnsi="Times New Roman" w:cs="Times New Roman"/>
          <w:szCs w:val="24"/>
        </w:rPr>
        <w:t xml:space="preserve">over-allocation </w:t>
      </w:r>
      <w:r w:rsidRPr="005C19B2">
        <w:rPr>
          <w:rFonts w:ascii="Times New Roman" w:eastAsia="Times New Roman" w:hAnsi="Times New Roman" w:cs="Times New Roman"/>
          <w:szCs w:val="24"/>
        </w:rPr>
        <w:t>of cognitive resources in cognitively impaired individuals compared to those with MCI and healthy controls.</w:t>
      </w:r>
    </w:p>
    <w:p w14:paraId="11466515" w14:textId="77777777" w:rsidR="00E925CC" w:rsidRPr="00E925CC" w:rsidRDefault="00E925CC" w:rsidP="00E925CC">
      <w:pPr>
        <w:rPr>
          <w:rFonts w:ascii="Times New Roman" w:eastAsia="Times New Roman" w:hAnsi="Times New Roman" w:cs="Times New Roman"/>
          <w:szCs w:val="24"/>
        </w:rPr>
      </w:pPr>
    </w:p>
    <w:p w14:paraId="2FB98733" w14:textId="51D8F1A7" w:rsidR="00893B61" w:rsidRDefault="00453181">
      <w:pPr>
        <w:rPr>
          <w:rFonts w:ascii="Times New Roman" w:eastAsia="Times New Roman" w:hAnsi="Times New Roman" w:cs="Times New Roman"/>
          <w:szCs w:val="24"/>
        </w:rPr>
      </w:pPr>
      <w:r>
        <w:rPr>
          <w:noProof/>
        </w:rPr>
        <w:drawing>
          <wp:inline distT="0" distB="0" distL="0" distR="0" wp14:anchorId="5A2F233F" wp14:editId="7F4A1D5C">
            <wp:extent cx="5939155" cy="2721610"/>
            <wp:effectExtent l="0" t="0" r="4445" b="2540"/>
            <wp:docPr id="33759349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rotWithShape="1">
                    <a:blip r:embed="rId7">
                      <a:extLst>
                        <a:ext uri="{28A0092B-C50C-407E-A947-70E740481C1C}">
                          <a14:useLocalDpi xmlns:a14="http://schemas.microsoft.com/office/drawing/2010/main" val="0"/>
                        </a:ext>
                      </a:extLst>
                    </a:blip>
                    <a:srcRect t="16494"/>
                    <a:stretch/>
                  </pic:blipFill>
                  <pic:spPr bwMode="auto">
                    <a:xfrm>
                      <a:off x="0" y="0"/>
                      <a:ext cx="5939155" cy="2721610"/>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szCs w:val="24"/>
        </w:rPr>
        <w:t xml:space="preserve">Figure 1. </w:t>
      </w:r>
      <w:r>
        <w:rPr>
          <w:rFonts w:ascii="Times New Roman" w:eastAsia="Times New Roman" w:hAnsi="Times New Roman" w:cs="Times New Roman"/>
          <w:szCs w:val="24"/>
          <w:highlight w:val="white"/>
        </w:rPr>
        <w:t>Group distributions of A0 activity during resting state tasks</w:t>
      </w:r>
      <w:r w:rsidRPr="00453181">
        <w:rPr>
          <w:rFonts w:ascii="Times New Roman" w:eastAsia="Times New Roman" w:hAnsi="Times New Roman" w:cs="Times New Roman"/>
          <w:bCs/>
          <w:szCs w:val="24"/>
        </w:rPr>
        <w:t>.</w:t>
      </w:r>
    </w:p>
    <w:p w14:paraId="7B847343" w14:textId="77777777" w:rsidR="00893B61" w:rsidRDefault="00000000">
      <w:pPr>
        <w:rPr>
          <w:rFonts w:ascii="Times New Roman" w:eastAsia="Times New Roman" w:hAnsi="Times New Roman" w:cs="Times New Roman"/>
          <w:szCs w:val="24"/>
          <w:highlight w:val="white"/>
        </w:rPr>
      </w:pPr>
      <w:r>
        <w:rPr>
          <w:rFonts w:ascii="Times New Roman" w:eastAsia="Times New Roman" w:hAnsi="Times New Roman" w:cs="Times New Roman"/>
          <w:b/>
          <w:szCs w:val="24"/>
        </w:rPr>
        <w:lastRenderedPageBreak/>
        <w:br/>
      </w:r>
      <w:r>
        <w:rPr>
          <w:rFonts w:ascii="Times New Roman" w:eastAsia="Times New Roman" w:hAnsi="Times New Roman" w:cs="Times New Roman"/>
          <w:b/>
          <w:noProof/>
          <w:szCs w:val="24"/>
        </w:rPr>
        <w:drawing>
          <wp:inline distT="0" distB="0" distL="0" distR="0" wp14:anchorId="7BC63AD7" wp14:editId="342AC188">
            <wp:extent cx="5939155" cy="2713355"/>
            <wp:effectExtent l="0" t="0" r="4445" b="0"/>
            <wp:docPr id="33759349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rotWithShape="1">
                    <a:blip r:embed="rId8"/>
                    <a:srcRect t="16754"/>
                    <a:stretch/>
                  </pic:blipFill>
                  <pic:spPr bwMode="auto">
                    <a:xfrm>
                      <a:off x="0" y="0"/>
                      <a:ext cx="5939155" cy="2713355"/>
                    </a:xfrm>
                    <a:prstGeom prst="rect">
                      <a:avLst/>
                    </a:prstGeom>
                    <a:ln>
                      <a:noFill/>
                    </a:ln>
                    <a:extLst>
                      <a:ext uri="{53640926-AAD7-44D8-BBD7-CCE9431645EC}">
                        <a14:shadowObscured xmlns:a14="http://schemas.microsoft.com/office/drawing/2010/main"/>
                      </a:ext>
                    </a:extLst>
                  </pic:spPr>
                </pic:pic>
              </a:graphicData>
            </a:graphic>
          </wp:inline>
        </w:drawing>
      </w:r>
    </w:p>
    <w:p w14:paraId="3514E990" w14:textId="465451BB" w:rsidR="00453181" w:rsidRDefault="00000000" w:rsidP="00ED2607">
      <w:pPr>
        <w:rPr>
          <w:rFonts w:ascii="Times New Roman" w:eastAsia="Times New Roman" w:hAnsi="Times New Roman" w:cs="Times New Roman"/>
          <w:szCs w:val="24"/>
          <w:highlight w:val="white"/>
        </w:rPr>
      </w:pPr>
      <w:r>
        <w:rPr>
          <w:rFonts w:ascii="Times New Roman" w:eastAsia="Times New Roman" w:hAnsi="Times New Roman" w:cs="Times New Roman"/>
          <w:b/>
          <w:szCs w:val="24"/>
        </w:rPr>
        <w:t xml:space="preserve">Figure 2. </w:t>
      </w:r>
      <w:r>
        <w:rPr>
          <w:rFonts w:ascii="Times New Roman" w:eastAsia="Times New Roman" w:hAnsi="Times New Roman" w:cs="Times New Roman"/>
          <w:szCs w:val="24"/>
          <w:highlight w:val="white"/>
        </w:rPr>
        <w:t>Group distributions of A0 activity during cognitive resource allocation task</w:t>
      </w:r>
      <w:r w:rsidR="00556F82">
        <w:rPr>
          <w:rFonts w:ascii="Times New Roman" w:eastAsia="Times New Roman" w:hAnsi="Times New Roman" w:cs="Times New Roman"/>
          <w:szCs w:val="24"/>
          <w:highlight w:val="white"/>
        </w:rPr>
        <w:t>s</w:t>
      </w:r>
      <w:r>
        <w:rPr>
          <w:rFonts w:ascii="Times New Roman" w:eastAsia="Times New Roman" w:hAnsi="Times New Roman" w:cs="Times New Roman"/>
          <w:szCs w:val="24"/>
          <w:highlight w:val="white"/>
        </w:rPr>
        <w:t>.</w:t>
      </w:r>
    </w:p>
    <w:p w14:paraId="1B634D8C" w14:textId="77777777" w:rsidR="00556F82" w:rsidRDefault="00556F82" w:rsidP="00ED2607">
      <w:pPr>
        <w:rPr>
          <w:rFonts w:ascii="Times New Roman" w:eastAsia="Times New Roman" w:hAnsi="Times New Roman" w:cs="Times New Roman"/>
          <w:szCs w:val="24"/>
          <w:highlight w:val="white"/>
        </w:rPr>
      </w:pPr>
    </w:p>
    <w:p w14:paraId="0852A598" w14:textId="42B7FBCF" w:rsidR="00453181" w:rsidRPr="00453181" w:rsidRDefault="00453181">
      <w:pPr>
        <w:rPr>
          <w:rFonts w:ascii="Times New Roman" w:eastAsia="Times New Roman" w:hAnsi="Times New Roman" w:cs="Times New Roman"/>
          <w:b/>
          <w:szCs w:val="24"/>
        </w:rPr>
      </w:pPr>
      <w:r w:rsidRPr="00453181">
        <w:rPr>
          <w:rFonts w:ascii="Times New Roman" w:eastAsia="Times New Roman" w:hAnsi="Times New Roman" w:cs="Times New Roman"/>
          <w:b/>
          <w:szCs w:val="24"/>
        </w:rPr>
        <w:t>References</w:t>
      </w:r>
    </w:p>
    <w:sdt>
      <w:sdtPr>
        <w:rPr>
          <w:rFonts w:ascii="Times New Roman" w:eastAsia="Times New Roman" w:hAnsi="Times New Roman" w:cs="Times New Roman"/>
          <w:szCs w:val="24"/>
          <w:highlight w:val="white"/>
        </w:rPr>
        <w:tag w:val="MENDELEY_BIBLIOGRAPHY"/>
        <w:id w:val="-255826732"/>
        <w:placeholder>
          <w:docPart w:val="DefaultPlaceholder_-1854013440"/>
        </w:placeholder>
      </w:sdtPr>
      <w:sdtContent>
        <w:p w14:paraId="08501623" w14:textId="77777777" w:rsidR="00E37352" w:rsidRDefault="00E37352">
          <w:pPr>
            <w:autoSpaceDE w:val="0"/>
            <w:autoSpaceDN w:val="0"/>
            <w:ind w:hanging="640"/>
            <w:divId w:val="548541617"/>
            <w:rPr>
              <w:rFonts w:eastAsia="Times New Roman"/>
              <w:szCs w:val="24"/>
            </w:rPr>
          </w:pPr>
          <w:r>
            <w:rPr>
              <w:rFonts w:eastAsia="Times New Roman"/>
            </w:rPr>
            <w:t>[1]</w:t>
          </w:r>
          <w:r>
            <w:rPr>
              <w:rFonts w:eastAsia="Times New Roman"/>
            </w:rPr>
            <w:tab/>
            <w:t xml:space="preserve">H. </w:t>
          </w:r>
          <w:proofErr w:type="spellStart"/>
          <w:r>
            <w:rPr>
              <w:rFonts w:eastAsia="Times New Roman"/>
            </w:rPr>
            <w:t>Garavan</w:t>
          </w:r>
          <w:proofErr w:type="spellEnd"/>
          <w:r>
            <w:rPr>
              <w:rFonts w:eastAsia="Times New Roman"/>
            </w:rPr>
            <w:t xml:space="preserve">, T. J. Ross, K. Murphy, R. A. P. Roche, and E. A. Stein, ‘Dissociable executive functions in the dynamic control of behavior: Inhibition, error detection, and correction’, </w:t>
          </w:r>
          <w:r>
            <w:rPr>
              <w:rFonts w:eastAsia="Times New Roman"/>
              <w:i/>
              <w:iCs/>
            </w:rPr>
            <w:t>Neuroimage</w:t>
          </w:r>
          <w:r>
            <w:rPr>
              <w:rFonts w:eastAsia="Times New Roman"/>
            </w:rPr>
            <w:t xml:space="preserve">, vol. 17, no. 4, 2002, </w:t>
          </w:r>
          <w:proofErr w:type="spellStart"/>
          <w:r>
            <w:rPr>
              <w:rFonts w:eastAsia="Times New Roman"/>
            </w:rPr>
            <w:t>doi</w:t>
          </w:r>
          <w:proofErr w:type="spellEnd"/>
          <w:r>
            <w:rPr>
              <w:rFonts w:eastAsia="Times New Roman"/>
            </w:rPr>
            <w:t>: 10.1006/nimg.2002.1326.</w:t>
          </w:r>
        </w:p>
        <w:p w14:paraId="036DEB66" w14:textId="77777777" w:rsidR="00E37352" w:rsidRDefault="00E37352">
          <w:pPr>
            <w:autoSpaceDE w:val="0"/>
            <w:autoSpaceDN w:val="0"/>
            <w:ind w:hanging="640"/>
            <w:divId w:val="170919269"/>
            <w:rPr>
              <w:rFonts w:eastAsia="Times New Roman"/>
            </w:rPr>
          </w:pPr>
          <w:r>
            <w:rPr>
              <w:rFonts w:eastAsia="Times New Roman"/>
            </w:rPr>
            <w:t>[2]</w:t>
          </w:r>
          <w:r>
            <w:rPr>
              <w:rFonts w:eastAsia="Times New Roman"/>
            </w:rPr>
            <w:tab/>
            <w:t xml:space="preserve">K. van der Hiele </w:t>
          </w:r>
          <w:r>
            <w:rPr>
              <w:rFonts w:eastAsia="Times New Roman"/>
              <w:i/>
              <w:iCs/>
            </w:rPr>
            <w:t>et al.</w:t>
          </w:r>
          <w:r>
            <w:rPr>
              <w:rFonts w:eastAsia="Times New Roman"/>
            </w:rPr>
            <w:t xml:space="preserve">, ‘EEG correlates in the spectrum of cognitive decline’, </w:t>
          </w:r>
          <w:r>
            <w:rPr>
              <w:rFonts w:eastAsia="Times New Roman"/>
              <w:i/>
              <w:iCs/>
            </w:rPr>
            <w:t>Clinical Neurophysiology</w:t>
          </w:r>
          <w:r>
            <w:rPr>
              <w:rFonts w:eastAsia="Times New Roman"/>
            </w:rPr>
            <w:t xml:space="preserve">, vol. 118, no. 9, 2007, </w:t>
          </w:r>
          <w:proofErr w:type="spellStart"/>
          <w:r>
            <w:rPr>
              <w:rFonts w:eastAsia="Times New Roman"/>
            </w:rPr>
            <w:t>doi</w:t>
          </w:r>
          <w:proofErr w:type="spellEnd"/>
          <w:r>
            <w:rPr>
              <w:rFonts w:eastAsia="Times New Roman"/>
            </w:rPr>
            <w:t>: 10.1016/j.clinph.2007.05.070.</w:t>
          </w:r>
        </w:p>
        <w:p w14:paraId="2AEC61C0" w14:textId="77777777" w:rsidR="00E37352" w:rsidRDefault="00E37352">
          <w:pPr>
            <w:autoSpaceDE w:val="0"/>
            <w:autoSpaceDN w:val="0"/>
            <w:ind w:hanging="640"/>
            <w:divId w:val="447896981"/>
            <w:rPr>
              <w:rFonts w:eastAsia="Times New Roman"/>
            </w:rPr>
          </w:pPr>
          <w:r>
            <w:rPr>
              <w:rFonts w:eastAsia="Times New Roman"/>
            </w:rPr>
            <w:t>[3]</w:t>
          </w:r>
          <w:r>
            <w:rPr>
              <w:rFonts w:eastAsia="Times New Roman"/>
            </w:rPr>
            <w:tab/>
            <w:t xml:space="preserve">A. H. </w:t>
          </w:r>
          <w:proofErr w:type="spellStart"/>
          <w:r>
            <w:rPr>
              <w:rFonts w:eastAsia="Times New Roman"/>
            </w:rPr>
            <w:t>Meghdadi</w:t>
          </w:r>
          <w:proofErr w:type="spellEnd"/>
          <w:r>
            <w:rPr>
              <w:rFonts w:eastAsia="Times New Roman"/>
            </w:rPr>
            <w:t xml:space="preserve"> </w:t>
          </w:r>
          <w:r>
            <w:rPr>
              <w:rFonts w:eastAsia="Times New Roman"/>
              <w:i/>
              <w:iCs/>
            </w:rPr>
            <w:t>et al.</w:t>
          </w:r>
          <w:r>
            <w:rPr>
              <w:rFonts w:eastAsia="Times New Roman"/>
            </w:rPr>
            <w:t xml:space="preserve">, ‘Resting state EEG biomarkers of cognitive decline associated with Alzheimer’s disease and mild cognitive impairment’, </w:t>
          </w:r>
          <w:proofErr w:type="spellStart"/>
          <w:r>
            <w:rPr>
              <w:rFonts w:eastAsia="Times New Roman"/>
              <w:i/>
              <w:iCs/>
            </w:rPr>
            <w:t>PLoS</w:t>
          </w:r>
          <w:proofErr w:type="spellEnd"/>
          <w:r>
            <w:rPr>
              <w:rFonts w:eastAsia="Times New Roman"/>
              <w:i/>
              <w:iCs/>
            </w:rPr>
            <w:t xml:space="preserve"> One</w:t>
          </w:r>
          <w:r>
            <w:rPr>
              <w:rFonts w:eastAsia="Times New Roman"/>
            </w:rPr>
            <w:t xml:space="preserve">, vol. 16, no. 2 February, 2021, </w:t>
          </w:r>
          <w:proofErr w:type="spellStart"/>
          <w:r>
            <w:rPr>
              <w:rFonts w:eastAsia="Times New Roman"/>
            </w:rPr>
            <w:t>doi</w:t>
          </w:r>
          <w:proofErr w:type="spellEnd"/>
          <w:r>
            <w:rPr>
              <w:rFonts w:eastAsia="Times New Roman"/>
            </w:rPr>
            <w:t>: 10.1371/journal.pone.0244180.</w:t>
          </w:r>
        </w:p>
        <w:p w14:paraId="496ED758" w14:textId="77777777" w:rsidR="00E37352" w:rsidRDefault="00E37352">
          <w:pPr>
            <w:autoSpaceDE w:val="0"/>
            <w:autoSpaceDN w:val="0"/>
            <w:ind w:hanging="640"/>
            <w:divId w:val="480654242"/>
            <w:rPr>
              <w:rFonts w:eastAsia="Times New Roman"/>
            </w:rPr>
          </w:pPr>
          <w:r>
            <w:rPr>
              <w:rFonts w:eastAsia="Times New Roman"/>
            </w:rPr>
            <w:t>[4]</w:t>
          </w:r>
          <w:r>
            <w:rPr>
              <w:rFonts w:eastAsia="Times New Roman"/>
            </w:rPr>
            <w:tab/>
            <w:t xml:space="preserve">J. A. Van Deursen, E. F. P. M. </w:t>
          </w:r>
          <w:proofErr w:type="spellStart"/>
          <w:r>
            <w:rPr>
              <w:rFonts w:eastAsia="Times New Roman"/>
            </w:rPr>
            <w:t>Vuurman</w:t>
          </w:r>
          <w:proofErr w:type="spellEnd"/>
          <w:r>
            <w:rPr>
              <w:rFonts w:eastAsia="Times New Roman"/>
            </w:rPr>
            <w:t xml:space="preserve">, F. R. J. Verhey, V. H. J. M. Van </w:t>
          </w:r>
          <w:proofErr w:type="spellStart"/>
          <w:r>
            <w:rPr>
              <w:rFonts w:eastAsia="Times New Roman"/>
            </w:rPr>
            <w:t>Kranen-Mastenbroek</w:t>
          </w:r>
          <w:proofErr w:type="spellEnd"/>
          <w:r>
            <w:rPr>
              <w:rFonts w:eastAsia="Times New Roman"/>
            </w:rPr>
            <w:t xml:space="preserve">, and W. J. Riedel, ‘Increased EEG gamma band activity in Alzheimer’s disease and mild cognitive impairment’, </w:t>
          </w:r>
          <w:r>
            <w:rPr>
              <w:rFonts w:eastAsia="Times New Roman"/>
              <w:i/>
              <w:iCs/>
            </w:rPr>
            <w:t>J Neural Transm</w:t>
          </w:r>
          <w:r>
            <w:rPr>
              <w:rFonts w:eastAsia="Times New Roman"/>
            </w:rPr>
            <w:t xml:space="preserve">, vol. 115, no. 9, 2008, </w:t>
          </w:r>
          <w:proofErr w:type="spellStart"/>
          <w:r>
            <w:rPr>
              <w:rFonts w:eastAsia="Times New Roman"/>
            </w:rPr>
            <w:t>doi</w:t>
          </w:r>
          <w:proofErr w:type="spellEnd"/>
          <w:r>
            <w:rPr>
              <w:rFonts w:eastAsia="Times New Roman"/>
            </w:rPr>
            <w:t>: 10.1007/s00702-008-0083-y.</w:t>
          </w:r>
        </w:p>
        <w:p w14:paraId="5505CA4F" w14:textId="3C482795" w:rsidR="00893B61" w:rsidRDefault="00E37352" w:rsidP="00453181">
          <w:pPr>
            <w:rPr>
              <w:rFonts w:ascii="Times New Roman" w:eastAsia="Times New Roman" w:hAnsi="Times New Roman" w:cs="Times New Roman"/>
              <w:szCs w:val="24"/>
              <w:highlight w:val="white"/>
            </w:rPr>
          </w:pPr>
          <w:r>
            <w:rPr>
              <w:rFonts w:eastAsia="Times New Roman"/>
            </w:rPr>
            <w:t> </w:t>
          </w:r>
        </w:p>
      </w:sdtContent>
    </w:sdt>
    <w:sectPr w:rsidR="00893B6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0227B9"/>
    <w:multiLevelType w:val="multilevel"/>
    <w:tmpl w:val="41908C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56766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B61"/>
    <w:rsid w:val="0002620A"/>
    <w:rsid w:val="00054230"/>
    <w:rsid w:val="000B160B"/>
    <w:rsid w:val="000F009E"/>
    <w:rsid w:val="00157013"/>
    <w:rsid w:val="001E7D67"/>
    <w:rsid w:val="00204CD5"/>
    <w:rsid w:val="00297B77"/>
    <w:rsid w:val="00334E90"/>
    <w:rsid w:val="00344955"/>
    <w:rsid w:val="003B3BE8"/>
    <w:rsid w:val="003B41F4"/>
    <w:rsid w:val="003C6A95"/>
    <w:rsid w:val="004027F8"/>
    <w:rsid w:val="00453181"/>
    <w:rsid w:val="00456480"/>
    <w:rsid w:val="004627AB"/>
    <w:rsid w:val="0048598E"/>
    <w:rsid w:val="004944DD"/>
    <w:rsid w:val="004B3A4A"/>
    <w:rsid w:val="004C5BBC"/>
    <w:rsid w:val="004E4115"/>
    <w:rsid w:val="004F399C"/>
    <w:rsid w:val="00545C12"/>
    <w:rsid w:val="00556F82"/>
    <w:rsid w:val="005C19B2"/>
    <w:rsid w:val="006513CB"/>
    <w:rsid w:val="00677183"/>
    <w:rsid w:val="006C2F5E"/>
    <w:rsid w:val="006D3B7D"/>
    <w:rsid w:val="006D5573"/>
    <w:rsid w:val="006D7DD9"/>
    <w:rsid w:val="00755A57"/>
    <w:rsid w:val="00766F24"/>
    <w:rsid w:val="007C3198"/>
    <w:rsid w:val="007C6C06"/>
    <w:rsid w:val="007D1DD5"/>
    <w:rsid w:val="00854D95"/>
    <w:rsid w:val="00884E5E"/>
    <w:rsid w:val="00893B61"/>
    <w:rsid w:val="008B2E0E"/>
    <w:rsid w:val="009B5CD4"/>
    <w:rsid w:val="00A44629"/>
    <w:rsid w:val="00AC717F"/>
    <w:rsid w:val="00B745E7"/>
    <w:rsid w:val="00BD3EBE"/>
    <w:rsid w:val="00C45A5C"/>
    <w:rsid w:val="00CD683F"/>
    <w:rsid w:val="00CF1921"/>
    <w:rsid w:val="00D06F63"/>
    <w:rsid w:val="00D43AB7"/>
    <w:rsid w:val="00D53402"/>
    <w:rsid w:val="00DA3555"/>
    <w:rsid w:val="00E37352"/>
    <w:rsid w:val="00E90061"/>
    <w:rsid w:val="00E925CC"/>
    <w:rsid w:val="00EC2500"/>
    <w:rsid w:val="00EC4064"/>
    <w:rsid w:val="00ED2607"/>
    <w:rsid w:val="00EF7125"/>
    <w:rsid w:val="00FA2F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8AA400"/>
  <w15:docId w15:val="{4149786D-DA32-4D0A-AA3B-E7AC65194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CD5"/>
    <w:rPr>
      <w:rFonts w:asciiTheme="majorBidi" w:hAnsiTheme="majorBidi"/>
      <w:sz w:val="24"/>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Cs w:val="24"/>
    </w:rPr>
  </w:style>
  <w:style w:type="paragraph" w:styleId="Heading5">
    <w:name w:val="heading 5"/>
    <w:basedOn w:val="Normal"/>
    <w:next w:val="Normal"/>
    <w:uiPriority w:val="9"/>
    <w:semiHidden/>
    <w:unhideWhenUsed/>
    <w:qFormat/>
    <w:pPr>
      <w:keepNext/>
      <w:keepLines/>
      <w:spacing w:before="220" w:after="40"/>
      <w:outlineLvl w:val="4"/>
    </w:pPr>
    <w:rPr>
      <w:b/>
      <w:sz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basedOn w:val="DefaultParagraphFont"/>
    <w:uiPriority w:val="22"/>
    <w:qFormat/>
    <w:rsid w:val="00240642"/>
    <w:rPr>
      <w:b/>
      <w:bCs/>
    </w:rPr>
  </w:style>
  <w:style w:type="paragraph" w:styleId="Header">
    <w:name w:val="header"/>
    <w:basedOn w:val="Normal"/>
    <w:link w:val="HeaderChar"/>
    <w:uiPriority w:val="99"/>
    <w:unhideWhenUsed/>
    <w:rsid w:val="009A5B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5B5E"/>
  </w:style>
  <w:style w:type="paragraph" w:styleId="Footer">
    <w:name w:val="footer"/>
    <w:basedOn w:val="Normal"/>
    <w:link w:val="FooterChar"/>
    <w:uiPriority w:val="99"/>
    <w:unhideWhenUsed/>
    <w:rsid w:val="009A5B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B5E"/>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344955"/>
    <w:rPr>
      <w:sz w:val="16"/>
      <w:szCs w:val="16"/>
    </w:rPr>
  </w:style>
  <w:style w:type="paragraph" w:styleId="CommentText">
    <w:name w:val="annotation text"/>
    <w:basedOn w:val="Normal"/>
    <w:link w:val="CommentTextChar"/>
    <w:uiPriority w:val="99"/>
    <w:unhideWhenUsed/>
    <w:rsid w:val="00344955"/>
    <w:pPr>
      <w:spacing w:line="240" w:lineRule="auto"/>
    </w:pPr>
    <w:rPr>
      <w:sz w:val="20"/>
      <w:szCs w:val="20"/>
    </w:rPr>
  </w:style>
  <w:style w:type="character" w:customStyle="1" w:styleId="CommentTextChar">
    <w:name w:val="Comment Text Char"/>
    <w:basedOn w:val="DefaultParagraphFont"/>
    <w:link w:val="CommentText"/>
    <w:uiPriority w:val="99"/>
    <w:rsid w:val="00344955"/>
    <w:rPr>
      <w:rFonts w:asciiTheme="majorBidi" w:hAnsiTheme="majorBidi"/>
      <w:sz w:val="20"/>
      <w:szCs w:val="20"/>
    </w:rPr>
  </w:style>
  <w:style w:type="character" w:styleId="PlaceholderText">
    <w:name w:val="Placeholder Text"/>
    <w:basedOn w:val="DefaultParagraphFont"/>
    <w:uiPriority w:val="99"/>
    <w:semiHidden/>
    <w:rsid w:val="00453181"/>
    <w:rPr>
      <w:color w:val="666666"/>
    </w:rPr>
  </w:style>
  <w:style w:type="paragraph" w:styleId="CommentSubject">
    <w:name w:val="annotation subject"/>
    <w:basedOn w:val="CommentText"/>
    <w:next w:val="CommentText"/>
    <w:link w:val="CommentSubjectChar"/>
    <w:uiPriority w:val="99"/>
    <w:semiHidden/>
    <w:unhideWhenUsed/>
    <w:rsid w:val="006D5573"/>
    <w:rPr>
      <w:b/>
      <w:bCs/>
    </w:rPr>
  </w:style>
  <w:style w:type="character" w:customStyle="1" w:styleId="CommentSubjectChar">
    <w:name w:val="Comment Subject Char"/>
    <w:basedOn w:val="CommentTextChar"/>
    <w:link w:val="CommentSubject"/>
    <w:uiPriority w:val="99"/>
    <w:semiHidden/>
    <w:rsid w:val="006D5573"/>
    <w:rPr>
      <w:rFonts w:asciiTheme="majorBidi" w:hAnsiTheme="majorBidi"/>
      <w:b/>
      <w:bCs/>
      <w:sz w:val="20"/>
      <w:szCs w:val="20"/>
    </w:rPr>
  </w:style>
  <w:style w:type="paragraph" w:styleId="Revision">
    <w:name w:val="Revision"/>
    <w:hidden/>
    <w:uiPriority w:val="99"/>
    <w:semiHidden/>
    <w:rsid w:val="00854D95"/>
    <w:pPr>
      <w:spacing w:after="0" w:line="240" w:lineRule="auto"/>
    </w:pPr>
    <w:rPr>
      <w:rFonts w:asciiTheme="majorBidi" w:hAnsiTheme="majorBidi"/>
      <w:sz w:val="24"/>
    </w:rPr>
  </w:style>
  <w:style w:type="character" w:styleId="Hyperlink">
    <w:name w:val="Hyperlink"/>
    <w:basedOn w:val="DefaultParagraphFont"/>
    <w:uiPriority w:val="99"/>
    <w:unhideWhenUsed/>
    <w:rsid w:val="00FA2F0A"/>
    <w:rPr>
      <w:color w:val="0563C1" w:themeColor="hyperlink"/>
      <w:u w:val="single"/>
    </w:rPr>
  </w:style>
  <w:style w:type="character" w:styleId="UnresolvedMention">
    <w:name w:val="Unresolved Mention"/>
    <w:basedOn w:val="DefaultParagraphFont"/>
    <w:uiPriority w:val="99"/>
    <w:semiHidden/>
    <w:unhideWhenUsed/>
    <w:rsid w:val="00FA2F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00455">
      <w:bodyDiv w:val="1"/>
      <w:marLeft w:val="0"/>
      <w:marRight w:val="0"/>
      <w:marTop w:val="0"/>
      <w:marBottom w:val="0"/>
      <w:divBdr>
        <w:top w:val="none" w:sz="0" w:space="0" w:color="auto"/>
        <w:left w:val="none" w:sz="0" w:space="0" w:color="auto"/>
        <w:bottom w:val="none" w:sz="0" w:space="0" w:color="auto"/>
        <w:right w:val="none" w:sz="0" w:space="0" w:color="auto"/>
      </w:divBdr>
      <w:divsChild>
        <w:div w:id="1279147536">
          <w:marLeft w:val="640"/>
          <w:marRight w:val="0"/>
          <w:marTop w:val="0"/>
          <w:marBottom w:val="0"/>
          <w:divBdr>
            <w:top w:val="none" w:sz="0" w:space="0" w:color="auto"/>
            <w:left w:val="none" w:sz="0" w:space="0" w:color="auto"/>
            <w:bottom w:val="none" w:sz="0" w:space="0" w:color="auto"/>
            <w:right w:val="none" w:sz="0" w:space="0" w:color="auto"/>
          </w:divBdr>
        </w:div>
        <w:div w:id="1625235209">
          <w:marLeft w:val="640"/>
          <w:marRight w:val="0"/>
          <w:marTop w:val="0"/>
          <w:marBottom w:val="0"/>
          <w:divBdr>
            <w:top w:val="none" w:sz="0" w:space="0" w:color="auto"/>
            <w:left w:val="none" w:sz="0" w:space="0" w:color="auto"/>
            <w:bottom w:val="none" w:sz="0" w:space="0" w:color="auto"/>
            <w:right w:val="none" w:sz="0" w:space="0" w:color="auto"/>
          </w:divBdr>
        </w:div>
        <w:div w:id="1178546459">
          <w:marLeft w:val="640"/>
          <w:marRight w:val="0"/>
          <w:marTop w:val="0"/>
          <w:marBottom w:val="0"/>
          <w:divBdr>
            <w:top w:val="none" w:sz="0" w:space="0" w:color="auto"/>
            <w:left w:val="none" w:sz="0" w:space="0" w:color="auto"/>
            <w:bottom w:val="none" w:sz="0" w:space="0" w:color="auto"/>
            <w:right w:val="none" w:sz="0" w:space="0" w:color="auto"/>
          </w:divBdr>
        </w:div>
        <w:div w:id="944389231">
          <w:marLeft w:val="640"/>
          <w:marRight w:val="0"/>
          <w:marTop w:val="0"/>
          <w:marBottom w:val="0"/>
          <w:divBdr>
            <w:top w:val="none" w:sz="0" w:space="0" w:color="auto"/>
            <w:left w:val="none" w:sz="0" w:space="0" w:color="auto"/>
            <w:bottom w:val="none" w:sz="0" w:space="0" w:color="auto"/>
            <w:right w:val="none" w:sz="0" w:space="0" w:color="auto"/>
          </w:divBdr>
        </w:div>
        <w:div w:id="1966884368">
          <w:marLeft w:val="640"/>
          <w:marRight w:val="0"/>
          <w:marTop w:val="0"/>
          <w:marBottom w:val="0"/>
          <w:divBdr>
            <w:top w:val="none" w:sz="0" w:space="0" w:color="auto"/>
            <w:left w:val="none" w:sz="0" w:space="0" w:color="auto"/>
            <w:bottom w:val="none" w:sz="0" w:space="0" w:color="auto"/>
            <w:right w:val="none" w:sz="0" w:space="0" w:color="auto"/>
          </w:divBdr>
        </w:div>
      </w:divsChild>
    </w:div>
    <w:div w:id="68618094">
      <w:bodyDiv w:val="1"/>
      <w:marLeft w:val="0"/>
      <w:marRight w:val="0"/>
      <w:marTop w:val="0"/>
      <w:marBottom w:val="0"/>
      <w:divBdr>
        <w:top w:val="none" w:sz="0" w:space="0" w:color="auto"/>
        <w:left w:val="none" w:sz="0" w:space="0" w:color="auto"/>
        <w:bottom w:val="none" w:sz="0" w:space="0" w:color="auto"/>
        <w:right w:val="none" w:sz="0" w:space="0" w:color="auto"/>
      </w:divBdr>
      <w:divsChild>
        <w:div w:id="339041077">
          <w:marLeft w:val="640"/>
          <w:marRight w:val="0"/>
          <w:marTop w:val="0"/>
          <w:marBottom w:val="0"/>
          <w:divBdr>
            <w:top w:val="none" w:sz="0" w:space="0" w:color="auto"/>
            <w:left w:val="none" w:sz="0" w:space="0" w:color="auto"/>
            <w:bottom w:val="none" w:sz="0" w:space="0" w:color="auto"/>
            <w:right w:val="none" w:sz="0" w:space="0" w:color="auto"/>
          </w:divBdr>
        </w:div>
        <w:div w:id="714474141">
          <w:marLeft w:val="640"/>
          <w:marRight w:val="0"/>
          <w:marTop w:val="0"/>
          <w:marBottom w:val="0"/>
          <w:divBdr>
            <w:top w:val="none" w:sz="0" w:space="0" w:color="auto"/>
            <w:left w:val="none" w:sz="0" w:space="0" w:color="auto"/>
            <w:bottom w:val="none" w:sz="0" w:space="0" w:color="auto"/>
            <w:right w:val="none" w:sz="0" w:space="0" w:color="auto"/>
          </w:divBdr>
        </w:div>
        <w:div w:id="1712026766">
          <w:marLeft w:val="640"/>
          <w:marRight w:val="0"/>
          <w:marTop w:val="0"/>
          <w:marBottom w:val="0"/>
          <w:divBdr>
            <w:top w:val="none" w:sz="0" w:space="0" w:color="auto"/>
            <w:left w:val="none" w:sz="0" w:space="0" w:color="auto"/>
            <w:bottom w:val="none" w:sz="0" w:space="0" w:color="auto"/>
            <w:right w:val="none" w:sz="0" w:space="0" w:color="auto"/>
          </w:divBdr>
        </w:div>
        <w:div w:id="1781995329">
          <w:marLeft w:val="640"/>
          <w:marRight w:val="0"/>
          <w:marTop w:val="0"/>
          <w:marBottom w:val="0"/>
          <w:divBdr>
            <w:top w:val="none" w:sz="0" w:space="0" w:color="auto"/>
            <w:left w:val="none" w:sz="0" w:space="0" w:color="auto"/>
            <w:bottom w:val="none" w:sz="0" w:space="0" w:color="auto"/>
            <w:right w:val="none" w:sz="0" w:space="0" w:color="auto"/>
          </w:divBdr>
        </w:div>
      </w:divsChild>
    </w:div>
    <w:div w:id="93550338">
      <w:bodyDiv w:val="1"/>
      <w:marLeft w:val="0"/>
      <w:marRight w:val="0"/>
      <w:marTop w:val="0"/>
      <w:marBottom w:val="0"/>
      <w:divBdr>
        <w:top w:val="none" w:sz="0" w:space="0" w:color="auto"/>
        <w:left w:val="none" w:sz="0" w:space="0" w:color="auto"/>
        <w:bottom w:val="none" w:sz="0" w:space="0" w:color="auto"/>
        <w:right w:val="none" w:sz="0" w:space="0" w:color="auto"/>
      </w:divBdr>
      <w:divsChild>
        <w:div w:id="675232513">
          <w:marLeft w:val="640"/>
          <w:marRight w:val="0"/>
          <w:marTop w:val="0"/>
          <w:marBottom w:val="0"/>
          <w:divBdr>
            <w:top w:val="none" w:sz="0" w:space="0" w:color="auto"/>
            <w:left w:val="none" w:sz="0" w:space="0" w:color="auto"/>
            <w:bottom w:val="none" w:sz="0" w:space="0" w:color="auto"/>
            <w:right w:val="none" w:sz="0" w:space="0" w:color="auto"/>
          </w:divBdr>
        </w:div>
        <w:div w:id="1197547268">
          <w:marLeft w:val="640"/>
          <w:marRight w:val="0"/>
          <w:marTop w:val="0"/>
          <w:marBottom w:val="0"/>
          <w:divBdr>
            <w:top w:val="none" w:sz="0" w:space="0" w:color="auto"/>
            <w:left w:val="none" w:sz="0" w:space="0" w:color="auto"/>
            <w:bottom w:val="none" w:sz="0" w:space="0" w:color="auto"/>
            <w:right w:val="none" w:sz="0" w:space="0" w:color="auto"/>
          </w:divBdr>
        </w:div>
        <w:div w:id="837186462">
          <w:marLeft w:val="640"/>
          <w:marRight w:val="0"/>
          <w:marTop w:val="0"/>
          <w:marBottom w:val="0"/>
          <w:divBdr>
            <w:top w:val="none" w:sz="0" w:space="0" w:color="auto"/>
            <w:left w:val="none" w:sz="0" w:space="0" w:color="auto"/>
            <w:bottom w:val="none" w:sz="0" w:space="0" w:color="auto"/>
            <w:right w:val="none" w:sz="0" w:space="0" w:color="auto"/>
          </w:divBdr>
        </w:div>
        <w:div w:id="499661412">
          <w:marLeft w:val="640"/>
          <w:marRight w:val="0"/>
          <w:marTop w:val="0"/>
          <w:marBottom w:val="0"/>
          <w:divBdr>
            <w:top w:val="none" w:sz="0" w:space="0" w:color="auto"/>
            <w:left w:val="none" w:sz="0" w:space="0" w:color="auto"/>
            <w:bottom w:val="none" w:sz="0" w:space="0" w:color="auto"/>
            <w:right w:val="none" w:sz="0" w:space="0" w:color="auto"/>
          </w:divBdr>
        </w:div>
      </w:divsChild>
    </w:div>
    <w:div w:id="169418817">
      <w:bodyDiv w:val="1"/>
      <w:marLeft w:val="0"/>
      <w:marRight w:val="0"/>
      <w:marTop w:val="0"/>
      <w:marBottom w:val="0"/>
      <w:divBdr>
        <w:top w:val="none" w:sz="0" w:space="0" w:color="auto"/>
        <w:left w:val="none" w:sz="0" w:space="0" w:color="auto"/>
        <w:bottom w:val="none" w:sz="0" w:space="0" w:color="auto"/>
        <w:right w:val="none" w:sz="0" w:space="0" w:color="auto"/>
      </w:divBdr>
    </w:div>
    <w:div w:id="253444809">
      <w:bodyDiv w:val="1"/>
      <w:marLeft w:val="0"/>
      <w:marRight w:val="0"/>
      <w:marTop w:val="0"/>
      <w:marBottom w:val="0"/>
      <w:divBdr>
        <w:top w:val="none" w:sz="0" w:space="0" w:color="auto"/>
        <w:left w:val="none" w:sz="0" w:space="0" w:color="auto"/>
        <w:bottom w:val="none" w:sz="0" w:space="0" w:color="auto"/>
        <w:right w:val="none" w:sz="0" w:space="0" w:color="auto"/>
      </w:divBdr>
      <w:divsChild>
        <w:div w:id="572083109">
          <w:marLeft w:val="0"/>
          <w:marRight w:val="0"/>
          <w:marTop w:val="0"/>
          <w:marBottom w:val="0"/>
          <w:divBdr>
            <w:top w:val="none" w:sz="0" w:space="0" w:color="auto"/>
            <w:left w:val="none" w:sz="0" w:space="0" w:color="auto"/>
            <w:bottom w:val="none" w:sz="0" w:space="0" w:color="auto"/>
            <w:right w:val="none" w:sz="0" w:space="0" w:color="auto"/>
          </w:divBdr>
          <w:divsChild>
            <w:div w:id="717166621">
              <w:marLeft w:val="0"/>
              <w:marRight w:val="0"/>
              <w:marTop w:val="0"/>
              <w:marBottom w:val="0"/>
              <w:divBdr>
                <w:top w:val="none" w:sz="0" w:space="0" w:color="auto"/>
                <w:left w:val="none" w:sz="0" w:space="0" w:color="auto"/>
                <w:bottom w:val="none" w:sz="0" w:space="0" w:color="auto"/>
                <w:right w:val="none" w:sz="0" w:space="0" w:color="auto"/>
              </w:divBdr>
              <w:divsChild>
                <w:div w:id="46880405">
                  <w:marLeft w:val="0"/>
                  <w:marRight w:val="0"/>
                  <w:marTop w:val="0"/>
                  <w:marBottom w:val="0"/>
                  <w:divBdr>
                    <w:top w:val="none" w:sz="0" w:space="0" w:color="auto"/>
                    <w:left w:val="none" w:sz="0" w:space="0" w:color="auto"/>
                    <w:bottom w:val="none" w:sz="0" w:space="0" w:color="auto"/>
                    <w:right w:val="none" w:sz="0" w:space="0" w:color="auto"/>
                  </w:divBdr>
                  <w:divsChild>
                    <w:div w:id="1772896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758994">
      <w:bodyDiv w:val="1"/>
      <w:marLeft w:val="0"/>
      <w:marRight w:val="0"/>
      <w:marTop w:val="0"/>
      <w:marBottom w:val="0"/>
      <w:divBdr>
        <w:top w:val="none" w:sz="0" w:space="0" w:color="auto"/>
        <w:left w:val="none" w:sz="0" w:space="0" w:color="auto"/>
        <w:bottom w:val="none" w:sz="0" w:space="0" w:color="auto"/>
        <w:right w:val="none" w:sz="0" w:space="0" w:color="auto"/>
      </w:divBdr>
      <w:divsChild>
        <w:div w:id="470679971">
          <w:marLeft w:val="640"/>
          <w:marRight w:val="0"/>
          <w:marTop w:val="0"/>
          <w:marBottom w:val="0"/>
          <w:divBdr>
            <w:top w:val="none" w:sz="0" w:space="0" w:color="auto"/>
            <w:left w:val="none" w:sz="0" w:space="0" w:color="auto"/>
            <w:bottom w:val="none" w:sz="0" w:space="0" w:color="auto"/>
            <w:right w:val="none" w:sz="0" w:space="0" w:color="auto"/>
          </w:divBdr>
        </w:div>
        <w:div w:id="1261137469">
          <w:marLeft w:val="640"/>
          <w:marRight w:val="0"/>
          <w:marTop w:val="0"/>
          <w:marBottom w:val="0"/>
          <w:divBdr>
            <w:top w:val="none" w:sz="0" w:space="0" w:color="auto"/>
            <w:left w:val="none" w:sz="0" w:space="0" w:color="auto"/>
            <w:bottom w:val="none" w:sz="0" w:space="0" w:color="auto"/>
            <w:right w:val="none" w:sz="0" w:space="0" w:color="auto"/>
          </w:divBdr>
        </w:div>
        <w:div w:id="1090541193">
          <w:marLeft w:val="640"/>
          <w:marRight w:val="0"/>
          <w:marTop w:val="0"/>
          <w:marBottom w:val="0"/>
          <w:divBdr>
            <w:top w:val="none" w:sz="0" w:space="0" w:color="auto"/>
            <w:left w:val="none" w:sz="0" w:space="0" w:color="auto"/>
            <w:bottom w:val="none" w:sz="0" w:space="0" w:color="auto"/>
            <w:right w:val="none" w:sz="0" w:space="0" w:color="auto"/>
          </w:divBdr>
        </w:div>
        <w:div w:id="1423380505">
          <w:marLeft w:val="640"/>
          <w:marRight w:val="0"/>
          <w:marTop w:val="0"/>
          <w:marBottom w:val="0"/>
          <w:divBdr>
            <w:top w:val="none" w:sz="0" w:space="0" w:color="auto"/>
            <w:left w:val="none" w:sz="0" w:space="0" w:color="auto"/>
            <w:bottom w:val="none" w:sz="0" w:space="0" w:color="auto"/>
            <w:right w:val="none" w:sz="0" w:space="0" w:color="auto"/>
          </w:divBdr>
        </w:div>
      </w:divsChild>
    </w:div>
    <w:div w:id="265114502">
      <w:bodyDiv w:val="1"/>
      <w:marLeft w:val="0"/>
      <w:marRight w:val="0"/>
      <w:marTop w:val="0"/>
      <w:marBottom w:val="0"/>
      <w:divBdr>
        <w:top w:val="none" w:sz="0" w:space="0" w:color="auto"/>
        <w:left w:val="none" w:sz="0" w:space="0" w:color="auto"/>
        <w:bottom w:val="none" w:sz="0" w:space="0" w:color="auto"/>
        <w:right w:val="none" w:sz="0" w:space="0" w:color="auto"/>
      </w:divBdr>
      <w:divsChild>
        <w:div w:id="548541617">
          <w:marLeft w:val="640"/>
          <w:marRight w:val="0"/>
          <w:marTop w:val="0"/>
          <w:marBottom w:val="0"/>
          <w:divBdr>
            <w:top w:val="none" w:sz="0" w:space="0" w:color="auto"/>
            <w:left w:val="none" w:sz="0" w:space="0" w:color="auto"/>
            <w:bottom w:val="none" w:sz="0" w:space="0" w:color="auto"/>
            <w:right w:val="none" w:sz="0" w:space="0" w:color="auto"/>
          </w:divBdr>
        </w:div>
        <w:div w:id="170919269">
          <w:marLeft w:val="640"/>
          <w:marRight w:val="0"/>
          <w:marTop w:val="0"/>
          <w:marBottom w:val="0"/>
          <w:divBdr>
            <w:top w:val="none" w:sz="0" w:space="0" w:color="auto"/>
            <w:left w:val="none" w:sz="0" w:space="0" w:color="auto"/>
            <w:bottom w:val="none" w:sz="0" w:space="0" w:color="auto"/>
            <w:right w:val="none" w:sz="0" w:space="0" w:color="auto"/>
          </w:divBdr>
        </w:div>
        <w:div w:id="447896981">
          <w:marLeft w:val="640"/>
          <w:marRight w:val="0"/>
          <w:marTop w:val="0"/>
          <w:marBottom w:val="0"/>
          <w:divBdr>
            <w:top w:val="none" w:sz="0" w:space="0" w:color="auto"/>
            <w:left w:val="none" w:sz="0" w:space="0" w:color="auto"/>
            <w:bottom w:val="none" w:sz="0" w:space="0" w:color="auto"/>
            <w:right w:val="none" w:sz="0" w:space="0" w:color="auto"/>
          </w:divBdr>
        </w:div>
        <w:div w:id="480654242">
          <w:marLeft w:val="640"/>
          <w:marRight w:val="0"/>
          <w:marTop w:val="0"/>
          <w:marBottom w:val="0"/>
          <w:divBdr>
            <w:top w:val="none" w:sz="0" w:space="0" w:color="auto"/>
            <w:left w:val="none" w:sz="0" w:space="0" w:color="auto"/>
            <w:bottom w:val="none" w:sz="0" w:space="0" w:color="auto"/>
            <w:right w:val="none" w:sz="0" w:space="0" w:color="auto"/>
          </w:divBdr>
        </w:div>
      </w:divsChild>
    </w:div>
    <w:div w:id="267278206">
      <w:bodyDiv w:val="1"/>
      <w:marLeft w:val="0"/>
      <w:marRight w:val="0"/>
      <w:marTop w:val="0"/>
      <w:marBottom w:val="0"/>
      <w:divBdr>
        <w:top w:val="none" w:sz="0" w:space="0" w:color="auto"/>
        <w:left w:val="none" w:sz="0" w:space="0" w:color="auto"/>
        <w:bottom w:val="none" w:sz="0" w:space="0" w:color="auto"/>
        <w:right w:val="none" w:sz="0" w:space="0" w:color="auto"/>
      </w:divBdr>
    </w:div>
    <w:div w:id="408306703">
      <w:bodyDiv w:val="1"/>
      <w:marLeft w:val="0"/>
      <w:marRight w:val="0"/>
      <w:marTop w:val="0"/>
      <w:marBottom w:val="0"/>
      <w:divBdr>
        <w:top w:val="none" w:sz="0" w:space="0" w:color="auto"/>
        <w:left w:val="none" w:sz="0" w:space="0" w:color="auto"/>
        <w:bottom w:val="none" w:sz="0" w:space="0" w:color="auto"/>
        <w:right w:val="none" w:sz="0" w:space="0" w:color="auto"/>
      </w:divBdr>
      <w:divsChild>
        <w:div w:id="2073652598">
          <w:marLeft w:val="640"/>
          <w:marRight w:val="0"/>
          <w:marTop w:val="0"/>
          <w:marBottom w:val="0"/>
          <w:divBdr>
            <w:top w:val="none" w:sz="0" w:space="0" w:color="auto"/>
            <w:left w:val="none" w:sz="0" w:space="0" w:color="auto"/>
            <w:bottom w:val="none" w:sz="0" w:space="0" w:color="auto"/>
            <w:right w:val="none" w:sz="0" w:space="0" w:color="auto"/>
          </w:divBdr>
        </w:div>
        <w:div w:id="2136094076">
          <w:marLeft w:val="640"/>
          <w:marRight w:val="0"/>
          <w:marTop w:val="0"/>
          <w:marBottom w:val="0"/>
          <w:divBdr>
            <w:top w:val="none" w:sz="0" w:space="0" w:color="auto"/>
            <w:left w:val="none" w:sz="0" w:space="0" w:color="auto"/>
            <w:bottom w:val="none" w:sz="0" w:space="0" w:color="auto"/>
            <w:right w:val="none" w:sz="0" w:space="0" w:color="auto"/>
          </w:divBdr>
        </w:div>
        <w:div w:id="1955283546">
          <w:marLeft w:val="640"/>
          <w:marRight w:val="0"/>
          <w:marTop w:val="0"/>
          <w:marBottom w:val="0"/>
          <w:divBdr>
            <w:top w:val="none" w:sz="0" w:space="0" w:color="auto"/>
            <w:left w:val="none" w:sz="0" w:space="0" w:color="auto"/>
            <w:bottom w:val="none" w:sz="0" w:space="0" w:color="auto"/>
            <w:right w:val="none" w:sz="0" w:space="0" w:color="auto"/>
          </w:divBdr>
        </w:div>
        <w:div w:id="398483774">
          <w:marLeft w:val="640"/>
          <w:marRight w:val="0"/>
          <w:marTop w:val="0"/>
          <w:marBottom w:val="0"/>
          <w:divBdr>
            <w:top w:val="none" w:sz="0" w:space="0" w:color="auto"/>
            <w:left w:val="none" w:sz="0" w:space="0" w:color="auto"/>
            <w:bottom w:val="none" w:sz="0" w:space="0" w:color="auto"/>
            <w:right w:val="none" w:sz="0" w:space="0" w:color="auto"/>
          </w:divBdr>
        </w:div>
      </w:divsChild>
    </w:div>
    <w:div w:id="528833607">
      <w:bodyDiv w:val="1"/>
      <w:marLeft w:val="0"/>
      <w:marRight w:val="0"/>
      <w:marTop w:val="0"/>
      <w:marBottom w:val="0"/>
      <w:divBdr>
        <w:top w:val="none" w:sz="0" w:space="0" w:color="auto"/>
        <w:left w:val="none" w:sz="0" w:space="0" w:color="auto"/>
        <w:bottom w:val="none" w:sz="0" w:space="0" w:color="auto"/>
        <w:right w:val="none" w:sz="0" w:space="0" w:color="auto"/>
      </w:divBdr>
      <w:divsChild>
        <w:div w:id="1829399261">
          <w:marLeft w:val="640"/>
          <w:marRight w:val="0"/>
          <w:marTop w:val="0"/>
          <w:marBottom w:val="0"/>
          <w:divBdr>
            <w:top w:val="none" w:sz="0" w:space="0" w:color="auto"/>
            <w:left w:val="none" w:sz="0" w:space="0" w:color="auto"/>
            <w:bottom w:val="none" w:sz="0" w:space="0" w:color="auto"/>
            <w:right w:val="none" w:sz="0" w:space="0" w:color="auto"/>
          </w:divBdr>
          <w:divsChild>
            <w:div w:id="1492677353">
              <w:marLeft w:val="0"/>
              <w:marRight w:val="0"/>
              <w:marTop w:val="0"/>
              <w:marBottom w:val="0"/>
              <w:divBdr>
                <w:top w:val="none" w:sz="0" w:space="0" w:color="auto"/>
                <w:left w:val="none" w:sz="0" w:space="0" w:color="auto"/>
                <w:bottom w:val="none" w:sz="0" w:space="0" w:color="auto"/>
                <w:right w:val="none" w:sz="0" w:space="0" w:color="auto"/>
              </w:divBdr>
              <w:divsChild>
                <w:div w:id="440154348">
                  <w:marLeft w:val="640"/>
                  <w:marRight w:val="0"/>
                  <w:marTop w:val="0"/>
                  <w:marBottom w:val="0"/>
                  <w:divBdr>
                    <w:top w:val="none" w:sz="0" w:space="0" w:color="auto"/>
                    <w:left w:val="none" w:sz="0" w:space="0" w:color="auto"/>
                    <w:bottom w:val="none" w:sz="0" w:space="0" w:color="auto"/>
                    <w:right w:val="none" w:sz="0" w:space="0" w:color="auto"/>
                  </w:divBdr>
                </w:div>
                <w:div w:id="884216559">
                  <w:marLeft w:val="640"/>
                  <w:marRight w:val="0"/>
                  <w:marTop w:val="0"/>
                  <w:marBottom w:val="0"/>
                  <w:divBdr>
                    <w:top w:val="none" w:sz="0" w:space="0" w:color="auto"/>
                    <w:left w:val="none" w:sz="0" w:space="0" w:color="auto"/>
                    <w:bottom w:val="none" w:sz="0" w:space="0" w:color="auto"/>
                    <w:right w:val="none" w:sz="0" w:space="0" w:color="auto"/>
                  </w:divBdr>
                </w:div>
                <w:div w:id="1123772094">
                  <w:marLeft w:val="640"/>
                  <w:marRight w:val="0"/>
                  <w:marTop w:val="0"/>
                  <w:marBottom w:val="0"/>
                  <w:divBdr>
                    <w:top w:val="none" w:sz="0" w:space="0" w:color="auto"/>
                    <w:left w:val="none" w:sz="0" w:space="0" w:color="auto"/>
                    <w:bottom w:val="none" w:sz="0" w:space="0" w:color="auto"/>
                    <w:right w:val="none" w:sz="0" w:space="0" w:color="auto"/>
                  </w:divBdr>
                </w:div>
                <w:div w:id="1202786208">
                  <w:marLeft w:val="640"/>
                  <w:marRight w:val="0"/>
                  <w:marTop w:val="0"/>
                  <w:marBottom w:val="0"/>
                  <w:divBdr>
                    <w:top w:val="none" w:sz="0" w:space="0" w:color="auto"/>
                    <w:left w:val="none" w:sz="0" w:space="0" w:color="auto"/>
                    <w:bottom w:val="none" w:sz="0" w:space="0" w:color="auto"/>
                    <w:right w:val="none" w:sz="0" w:space="0" w:color="auto"/>
                  </w:divBdr>
                </w:div>
                <w:div w:id="1463040753">
                  <w:marLeft w:val="640"/>
                  <w:marRight w:val="0"/>
                  <w:marTop w:val="0"/>
                  <w:marBottom w:val="0"/>
                  <w:divBdr>
                    <w:top w:val="none" w:sz="0" w:space="0" w:color="auto"/>
                    <w:left w:val="none" w:sz="0" w:space="0" w:color="auto"/>
                    <w:bottom w:val="none" w:sz="0" w:space="0" w:color="auto"/>
                    <w:right w:val="none" w:sz="0" w:space="0" w:color="auto"/>
                  </w:divBdr>
                </w:div>
              </w:divsChild>
            </w:div>
            <w:div w:id="1416321985">
              <w:marLeft w:val="0"/>
              <w:marRight w:val="0"/>
              <w:marTop w:val="0"/>
              <w:marBottom w:val="0"/>
              <w:divBdr>
                <w:top w:val="none" w:sz="0" w:space="0" w:color="auto"/>
                <w:left w:val="none" w:sz="0" w:space="0" w:color="auto"/>
                <w:bottom w:val="none" w:sz="0" w:space="0" w:color="auto"/>
                <w:right w:val="none" w:sz="0" w:space="0" w:color="auto"/>
              </w:divBdr>
              <w:divsChild>
                <w:div w:id="1402950404">
                  <w:marLeft w:val="640"/>
                  <w:marRight w:val="0"/>
                  <w:marTop w:val="0"/>
                  <w:marBottom w:val="0"/>
                  <w:divBdr>
                    <w:top w:val="none" w:sz="0" w:space="0" w:color="auto"/>
                    <w:left w:val="none" w:sz="0" w:space="0" w:color="auto"/>
                    <w:bottom w:val="none" w:sz="0" w:space="0" w:color="auto"/>
                    <w:right w:val="none" w:sz="0" w:space="0" w:color="auto"/>
                  </w:divBdr>
                </w:div>
                <w:div w:id="377582960">
                  <w:marLeft w:val="640"/>
                  <w:marRight w:val="0"/>
                  <w:marTop w:val="0"/>
                  <w:marBottom w:val="0"/>
                  <w:divBdr>
                    <w:top w:val="none" w:sz="0" w:space="0" w:color="auto"/>
                    <w:left w:val="none" w:sz="0" w:space="0" w:color="auto"/>
                    <w:bottom w:val="none" w:sz="0" w:space="0" w:color="auto"/>
                    <w:right w:val="none" w:sz="0" w:space="0" w:color="auto"/>
                  </w:divBdr>
                </w:div>
                <w:div w:id="1687905001">
                  <w:marLeft w:val="640"/>
                  <w:marRight w:val="0"/>
                  <w:marTop w:val="0"/>
                  <w:marBottom w:val="0"/>
                  <w:divBdr>
                    <w:top w:val="none" w:sz="0" w:space="0" w:color="auto"/>
                    <w:left w:val="none" w:sz="0" w:space="0" w:color="auto"/>
                    <w:bottom w:val="none" w:sz="0" w:space="0" w:color="auto"/>
                    <w:right w:val="none" w:sz="0" w:space="0" w:color="auto"/>
                  </w:divBdr>
                </w:div>
                <w:div w:id="1885559233">
                  <w:marLeft w:val="640"/>
                  <w:marRight w:val="0"/>
                  <w:marTop w:val="0"/>
                  <w:marBottom w:val="0"/>
                  <w:divBdr>
                    <w:top w:val="none" w:sz="0" w:space="0" w:color="auto"/>
                    <w:left w:val="none" w:sz="0" w:space="0" w:color="auto"/>
                    <w:bottom w:val="none" w:sz="0" w:space="0" w:color="auto"/>
                    <w:right w:val="none" w:sz="0" w:space="0" w:color="auto"/>
                  </w:divBdr>
                </w:div>
                <w:div w:id="87230422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544977206">
          <w:marLeft w:val="640"/>
          <w:marRight w:val="0"/>
          <w:marTop w:val="0"/>
          <w:marBottom w:val="0"/>
          <w:divBdr>
            <w:top w:val="none" w:sz="0" w:space="0" w:color="auto"/>
            <w:left w:val="none" w:sz="0" w:space="0" w:color="auto"/>
            <w:bottom w:val="none" w:sz="0" w:space="0" w:color="auto"/>
            <w:right w:val="none" w:sz="0" w:space="0" w:color="auto"/>
          </w:divBdr>
        </w:div>
        <w:div w:id="323362062">
          <w:marLeft w:val="640"/>
          <w:marRight w:val="0"/>
          <w:marTop w:val="0"/>
          <w:marBottom w:val="0"/>
          <w:divBdr>
            <w:top w:val="none" w:sz="0" w:space="0" w:color="auto"/>
            <w:left w:val="none" w:sz="0" w:space="0" w:color="auto"/>
            <w:bottom w:val="none" w:sz="0" w:space="0" w:color="auto"/>
            <w:right w:val="none" w:sz="0" w:space="0" w:color="auto"/>
          </w:divBdr>
        </w:div>
        <w:div w:id="233128800">
          <w:marLeft w:val="640"/>
          <w:marRight w:val="0"/>
          <w:marTop w:val="0"/>
          <w:marBottom w:val="0"/>
          <w:divBdr>
            <w:top w:val="none" w:sz="0" w:space="0" w:color="auto"/>
            <w:left w:val="none" w:sz="0" w:space="0" w:color="auto"/>
            <w:bottom w:val="none" w:sz="0" w:space="0" w:color="auto"/>
            <w:right w:val="none" w:sz="0" w:space="0" w:color="auto"/>
          </w:divBdr>
        </w:div>
        <w:div w:id="100683069">
          <w:marLeft w:val="640"/>
          <w:marRight w:val="0"/>
          <w:marTop w:val="0"/>
          <w:marBottom w:val="0"/>
          <w:divBdr>
            <w:top w:val="none" w:sz="0" w:space="0" w:color="auto"/>
            <w:left w:val="none" w:sz="0" w:space="0" w:color="auto"/>
            <w:bottom w:val="none" w:sz="0" w:space="0" w:color="auto"/>
            <w:right w:val="none" w:sz="0" w:space="0" w:color="auto"/>
          </w:divBdr>
        </w:div>
      </w:divsChild>
    </w:div>
    <w:div w:id="706417881">
      <w:bodyDiv w:val="1"/>
      <w:marLeft w:val="0"/>
      <w:marRight w:val="0"/>
      <w:marTop w:val="0"/>
      <w:marBottom w:val="0"/>
      <w:divBdr>
        <w:top w:val="none" w:sz="0" w:space="0" w:color="auto"/>
        <w:left w:val="none" w:sz="0" w:space="0" w:color="auto"/>
        <w:bottom w:val="none" w:sz="0" w:space="0" w:color="auto"/>
        <w:right w:val="none" w:sz="0" w:space="0" w:color="auto"/>
      </w:divBdr>
      <w:divsChild>
        <w:div w:id="1325354773">
          <w:marLeft w:val="640"/>
          <w:marRight w:val="0"/>
          <w:marTop w:val="0"/>
          <w:marBottom w:val="0"/>
          <w:divBdr>
            <w:top w:val="none" w:sz="0" w:space="0" w:color="auto"/>
            <w:left w:val="none" w:sz="0" w:space="0" w:color="auto"/>
            <w:bottom w:val="none" w:sz="0" w:space="0" w:color="auto"/>
            <w:right w:val="none" w:sz="0" w:space="0" w:color="auto"/>
          </w:divBdr>
        </w:div>
        <w:div w:id="1817526979">
          <w:marLeft w:val="640"/>
          <w:marRight w:val="0"/>
          <w:marTop w:val="0"/>
          <w:marBottom w:val="0"/>
          <w:divBdr>
            <w:top w:val="none" w:sz="0" w:space="0" w:color="auto"/>
            <w:left w:val="none" w:sz="0" w:space="0" w:color="auto"/>
            <w:bottom w:val="none" w:sz="0" w:space="0" w:color="auto"/>
            <w:right w:val="none" w:sz="0" w:space="0" w:color="auto"/>
          </w:divBdr>
        </w:div>
        <w:div w:id="1164855269">
          <w:marLeft w:val="640"/>
          <w:marRight w:val="0"/>
          <w:marTop w:val="0"/>
          <w:marBottom w:val="0"/>
          <w:divBdr>
            <w:top w:val="none" w:sz="0" w:space="0" w:color="auto"/>
            <w:left w:val="none" w:sz="0" w:space="0" w:color="auto"/>
            <w:bottom w:val="none" w:sz="0" w:space="0" w:color="auto"/>
            <w:right w:val="none" w:sz="0" w:space="0" w:color="auto"/>
          </w:divBdr>
        </w:div>
        <w:div w:id="1723169853">
          <w:marLeft w:val="640"/>
          <w:marRight w:val="0"/>
          <w:marTop w:val="0"/>
          <w:marBottom w:val="0"/>
          <w:divBdr>
            <w:top w:val="none" w:sz="0" w:space="0" w:color="auto"/>
            <w:left w:val="none" w:sz="0" w:space="0" w:color="auto"/>
            <w:bottom w:val="none" w:sz="0" w:space="0" w:color="auto"/>
            <w:right w:val="none" w:sz="0" w:space="0" w:color="auto"/>
          </w:divBdr>
        </w:div>
      </w:divsChild>
    </w:div>
    <w:div w:id="776171286">
      <w:bodyDiv w:val="1"/>
      <w:marLeft w:val="0"/>
      <w:marRight w:val="0"/>
      <w:marTop w:val="0"/>
      <w:marBottom w:val="0"/>
      <w:divBdr>
        <w:top w:val="none" w:sz="0" w:space="0" w:color="auto"/>
        <w:left w:val="none" w:sz="0" w:space="0" w:color="auto"/>
        <w:bottom w:val="none" w:sz="0" w:space="0" w:color="auto"/>
        <w:right w:val="none" w:sz="0" w:space="0" w:color="auto"/>
      </w:divBdr>
      <w:divsChild>
        <w:div w:id="1960646774">
          <w:marLeft w:val="640"/>
          <w:marRight w:val="0"/>
          <w:marTop w:val="0"/>
          <w:marBottom w:val="0"/>
          <w:divBdr>
            <w:top w:val="none" w:sz="0" w:space="0" w:color="auto"/>
            <w:left w:val="none" w:sz="0" w:space="0" w:color="auto"/>
            <w:bottom w:val="none" w:sz="0" w:space="0" w:color="auto"/>
            <w:right w:val="none" w:sz="0" w:space="0" w:color="auto"/>
          </w:divBdr>
        </w:div>
        <w:div w:id="704016300">
          <w:marLeft w:val="640"/>
          <w:marRight w:val="0"/>
          <w:marTop w:val="0"/>
          <w:marBottom w:val="0"/>
          <w:divBdr>
            <w:top w:val="none" w:sz="0" w:space="0" w:color="auto"/>
            <w:left w:val="none" w:sz="0" w:space="0" w:color="auto"/>
            <w:bottom w:val="none" w:sz="0" w:space="0" w:color="auto"/>
            <w:right w:val="none" w:sz="0" w:space="0" w:color="auto"/>
          </w:divBdr>
        </w:div>
        <w:div w:id="1132552656">
          <w:marLeft w:val="640"/>
          <w:marRight w:val="0"/>
          <w:marTop w:val="0"/>
          <w:marBottom w:val="0"/>
          <w:divBdr>
            <w:top w:val="none" w:sz="0" w:space="0" w:color="auto"/>
            <w:left w:val="none" w:sz="0" w:space="0" w:color="auto"/>
            <w:bottom w:val="none" w:sz="0" w:space="0" w:color="auto"/>
            <w:right w:val="none" w:sz="0" w:space="0" w:color="auto"/>
          </w:divBdr>
        </w:div>
        <w:div w:id="15008561">
          <w:marLeft w:val="640"/>
          <w:marRight w:val="0"/>
          <w:marTop w:val="0"/>
          <w:marBottom w:val="0"/>
          <w:divBdr>
            <w:top w:val="none" w:sz="0" w:space="0" w:color="auto"/>
            <w:left w:val="none" w:sz="0" w:space="0" w:color="auto"/>
            <w:bottom w:val="none" w:sz="0" w:space="0" w:color="auto"/>
            <w:right w:val="none" w:sz="0" w:space="0" w:color="auto"/>
          </w:divBdr>
        </w:div>
        <w:div w:id="1796370878">
          <w:marLeft w:val="640"/>
          <w:marRight w:val="0"/>
          <w:marTop w:val="0"/>
          <w:marBottom w:val="0"/>
          <w:divBdr>
            <w:top w:val="none" w:sz="0" w:space="0" w:color="auto"/>
            <w:left w:val="none" w:sz="0" w:space="0" w:color="auto"/>
            <w:bottom w:val="none" w:sz="0" w:space="0" w:color="auto"/>
            <w:right w:val="none" w:sz="0" w:space="0" w:color="auto"/>
          </w:divBdr>
        </w:div>
      </w:divsChild>
    </w:div>
    <w:div w:id="829952153">
      <w:bodyDiv w:val="1"/>
      <w:marLeft w:val="0"/>
      <w:marRight w:val="0"/>
      <w:marTop w:val="0"/>
      <w:marBottom w:val="0"/>
      <w:divBdr>
        <w:top w:val="none" w:sz="0" w:space="0" w:color="auto"/>
        <w:left w:val="none" w:sz="0" w:space="0" w:color="auto"/>
        <w:bottom w:val="none" w:sz="0" w:space="0" w:color="auto"/>
        <w:right w:val="none" w:sz="0" w:space="0" w:color="auto"/>
      </w:divBdr>
    </w:div>
    <w:div w:id="934633177">
      <w:bodyDiv w:val="1"/>
      <w:marLeft w:val="0"/>
      <w:marRight w:val="0"/>
      <w:marTop w:val="0"/>
      <w:marBottom w:val="0"/>
      <w:divBdr>
        <w:top w:val="none" w:sz="0" w:space="0" w:color="auto"/>
        <w:left w:val="none" w:sz="0" w:space="0" w:color="auto"/>
        <w:bottom w:val="none" w:sz="0" w:space="0" w:color="auto"/>
        <w:right w:val="none" w:sz="0" w:space="0" w:color="auto"/>
      </w:divBdr>
      <w:divsChild>
        <w:div w:id="133719482">
          <w:marLeft w:val="0"/>
          <w:marRight w:val="0"/>
          <w:marTop w:val="0"/>
          <w:marBottom w:val="0"/>
          <w:divBdr>
            <w:top w:val="none" w:sz="0" w:space="0" w:color="auto"/>
            <w:left w:val="none" w:sz="0" w:space="0" w:color="auto"/>
            <w:bottom w:val="none" w:sz="0" w:space="0" w:color="auto"/>
            <w:right w:val="none" w:sz="0" w:space="0" w:color="auto"/>
          </w:divBdr>
          <w:divsChild>
            <w:div w:id="1034426730">
              <w:marLeft w:val="0"/>
              <w:marRight w:val="0"/>
              <w:marTop w:val="0"/>
              <w:marBottom w:val="0"/>
              <w:divBdr>
                <w:top w:val="none" w:sz="0" w:space="0" w:color="auto"/>
                <w:left w:val="none" w:sz="0" w:space="0" w:color="auto"/>
                <w:bottom w:val="none" w:sz="0" w:space="0" w:color="auto"/>
                <w:right w:val="none" w:sz="0" w:space="0" w:color="auto"/>
              </w:divBdr>
              <w:divsChild>
                <w:div w:id="338119810">
                  <w:marLeft w:val="0"/>
                  <w:marRight w:val="0"/>
                  <w:marTop w:val="0"/>
                  <w:marBottom w:val="0"/>
                  <w:divBdr>
                    <w:top w:val="none" w:sz="0" w:space="0" w:color="auto"/>
                    <w:left w:val="none" w:sz="0" w:space="0" w:color="auto"/>
                    <w:bottom w:val="none" w:sz="0" w:space="0" w:color="auto"/>
                    <w:right w:val="none" w:sz="0" w:space="0" w:color="auto"/>
                  </w:divBdr>
                  <w:divsChild>
                    <w:div w:id="201911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515628">
      <w:bodyDiv w:val="1"/>
      <w:marLeft w:val="0"/>
      <w:marRight w:val="0"/>
      <w:marTop w:val="0"/>
      <w:marBottom w:val="0"/>
      <w:divBdr>
        <w:top w:val="none" w:sz="0" w:space="0" w:color="auto"/>
        <w:left w:val="none" w:sz="0" w:space="0" w:color="auto"/>
        <w:bottom w:val="none" w:sz="0" w:space="0" w:color="auto"/>
        <w:right w:val="none" w:sz="0" w:space="0" w:color="auto"/>
      </w:divBdr>
      <w:divsChild>
        <w:div w:id="335157089">
          <w:marLeft w:val="640"/>
          <w:marRight w:val="0"/>
          <w:marTop w:val="0"/>
          <w:marBottom w:val="0"/>
          <w:divBdr>
            <w:top w:val="none" w:sz="0" w:space="0" w:color="auto"/>
            <w:left w:val="none" w:sz="0" w:space="0" w:color="auto"/>
            <w:bottom w:val="none" w:sz="0" w:space="0" w:color="auto"/>
            <w:right w:val="none" w:sz="0" w:space="0" w:color="auto"/>
          </w:divBdr>
        </w:div>
        <w:div w:id="1549296457">
          <w:marLeft w:val="640"/>
          <w:marRight w:val="0"/>
          <w:marTop w:val="0"/>
          <w:marBottom w:val="0"/>
          <w:divBdr>
            <w:top w:val="none" w:sz="0" w:space="0" w:color="auto"/>
            <w:left w:val="none" w:sz="0" w:space="0" w:color="auto"/>
            <w:bottom w:val="none" w:sz="0" w:space="0" w:color="auto"/>
            <w:right w:val="none" w:sz="0" w:space="0" w:color="auto"/>
          </w:divBdr>
        </w:div>
        <w:div w:id="1849441241">
          <w:marLeft w:val="640"/>
          <w:marRight w:val="0"/>
          <w:marTop w:val="0"/>
          <w:marBottom w:val="0"/>
          <w:divBdr>
            <w:top w:val="none" w:sz="0" w:space="0" w:color="auto"/>
            <w:left w:val="none" w:sz="0" w:space="0" w:color="auto"/>
            <w:bottom w:val="none" w:sz="0" w:space="0" w:color="auto"/>
            <w:right w:val="none" w:sz="0" w:space="0" w:color="auto"/>
          </w:divBdr>
        </w:div>
        <w:div w:id="1972132842">
          <w:marLeft w:val="640"/>
          <w:marRight w:val="0"/>
          <w:marTop w:val="0"/>
          <w:marBottom w:val="0"/>
          <w:divBdr>
            <w:top w:val="none" w:sz="0" w:space="0" w:color="auto"/>
            <w:left w:val="none" w:sz="0" w:space="0" w:color="auto"/>
            <w:bottom w:val="none" w:sz="0" w:space="0" w:color="auto"/>
            <w:right w:val="none" w:sz="0" w:space="0" w:color="auto"/>
          </w:divBdr>
        </w:div>
      </w:divsChild>
    </w:div>
    <w:div w:id="1133133902">
      <w:bodyDiv w:val="1"/>
      <w:marLeft w:val="0"/>
      <w:marRight w:val="0"/>
      <w:marTop w:val="0"/>
      <w:marBottom w:val="0"/>
      <w:divBdr>
        <w:top w:val="none" w:sz="0" w:space="0" w:color="auto"/>
        <w:left w:val="none" w:sz="0" w:space="0" w:color="auto"/>
        <w:bottom w:val="none" w:sz="0" w:space="0" w:color="auto"/>
        <w:right w:val="none" w:sz="0" w:space="0" w:color="auto"/>
      </w:divBdr>
      <w:divsChild>
        <w:div w:id="1148548797">
          <w:marLeft w:val="640"/>
          <w:marRight w:val="0"/>
          <w:marTop w:val="0"/>
          <w:marBottom w:val="0"/>
          <w:divBdr>
            <w:top w:val="none" w:sz="0" w:space="0" w:color="auto"/>
            <w:left w:val="none" w:sz="0" w:space="0" w:color="auto"/>
            <w:bottom w:val="none" w:sz="0" w:space="0" w:color="auto"/>
            <w:right w:val="none" w:sz="0" w:space="0" w:color="auto"/>
          </w:divBdr>
        </w:div>
        <w:div w:id="1253319194">
          <w:marLeft w:val="640"/>
          <w:marRight w:val="0"/>
          <w:marTop w:val="0"/>
          <w:marBottom w:val="0"/>
          <w:divBdr>
            <w:top w:val="none" w:sz="0" w:space="0" w:color="auto"/>
            <w:left w:val="none" w:sz="0" w:space="0" w:color="auto"/>
            <w:bottom w:val="none" w:sz="0" w:space="0" w:color="auto"/>
            <w:right w:val="none" w:sz="0" w:space="0" w:color="auto"/>
          </w:divBdr>
        </w:div>
        <w:div w:id="1831755334">
          <w:marLeft w:val="640"/>
          <w:marRight w:val="0"/>
          <w:marTop w:val="0"/>
          <w:marBottom w:val="0"/>
          <w:divBdr>
            <w:top w:val="none" w:sz="0" w:space="0" w:color="auto"/>
            <w:left w:val="none" w:sz="0" w:space="0" w:color="auto"/>
            <w:bottom w:val="none" w:sz="0" w:space="0" w:color="auto"/>
            <w:right w:val="none" w:sz="0" w:space="0" w:color="auto"/>
          </w:divBdr>
        </w:div>
        <w:div w:id="627510173">
          <w:marLeft w:val="640"/>
          <w:marRight w:val="0"/>
          <w:marTop w:val="0"/>
          <w:marBottom w:val="0"/>
          <w:divBdr>
            <w:top w:val="none" w:sz="0" w:space="0" w:color="auto"/>
            <w:left w:val="none" w:sz="0" w:space="0" w:color="auto"/>
            <w:bottom w:val="none" w:sz="0" w:space="0" w:color="auto"/>
            <w:right w:val="none" w:sz="0" w:space="0" w:color="auto"/>
          </w:divBdr>
        </w:div>
        <w:div w:id="1577861847">
          <w:marLeft w:val="640"/>
          <w:marRight w:val="0"/>
          <w:marTop w:val="0"/>
          <w:marBottom w:val="0"/>
          <w:divBdr>
            <w:top w:val="none" w:sz="0" w:space="0" w:color="auto"/>
            <w:left w:val="none" w:sz="0" w:space="0" w:color="auto"/>
            <w:bottom w:val="none" w:sz="0" w:space="0" w:color="auto"/>
            <w:right w:val="none" w:sz="0" w:space="0" w:color="auto"/>
          </w:divBdr>
        </w:div>
      </w:divsChild>
    </w:div>
    <w:div w:id="1149126615">
      <w:bodyDiv w:val="1"/>
      <w:marLeft w:val="0"/>
      <w:marRight w:val="0"/>
      <w:marTop w:val="0"/>
      <w:marBottom w:val="0"/>
      <w:divBdr>
        <w:top w:val="none" w:sz="0" w:space="0" w:color="auto"/>
        <w:left w:val="none" w:sz="0" w:space="0" w:color="auto"/>
        <w:bottom w:val="none" w:sz="0" w:space="0" w:color="auto"/>
        <w:right w:val="none" w:sz="0" w:space="0" w:color="auto"/>
      </w:divBdr>
      <w:divsChild>
        <w:div w:id="1103571353">
          <w:marLeft w:val="640"/>
          <w:marRight w:val="0"/>
          <w:marTop w:val="0"/>
          <w:marBottom w:val="0"/>
          <w:divBdr>
            <w:top w:val="none" w:sz="0" w:space="0" w:color="auto"/>
            <w:left w:val="none" w:sz="0" w:space="0" w:color="auto"/>
            <w:bottom w:val="none" w:sz="0" w:space="0" w:color="auto"/>
            <w:right w:val="none" w:sz="0" w:space="0" w:color="auto"/>
          </w:divBdr>
        </w:div>
        <w:div w:id="2073891718">
          <w:marLeft w:val="640"/>
          <w:marRight w:val="0"/>
          <w:marTop w:val="0"/>
          <w:marBottom w:val="0"/>
          <w:divBdr>
            <w:top w:val="none" w:sz="0" w:space="0" w:color="auto"/>
            <w:left w:val="none" w:sz="0" w:space="0" w:color="auto"/>
            <w:bottom w:val="none" w:sz="0" w:space="0" w:color="auto"/>
            <w:right w:val="none" w:sz="0" w:space="0" w:color="auto"/>
          </w:divBdr>
        </w:div>
        <w:div w:id="630063974">
          <w:marLeft w:val="640"/>
          <w:marRight w:val="0"/>
          <w:marTop w:val="0"/>
          <w:marBottom w:val="0"/>
          <w:divBdr>
            <w:top w:val="none" w:sz="0" w:space="0" w:color="auto"/>
            <w:left w:val="none" w:sz="0" w:space="0" w:color="auto"/>
            <w:bottom w:val="none" w:sz="0" w:space="0" w:color="auto"/>
            <w:right w:val="none" w:sz="0" w:space="0" w:color="auto"/>
          </w:divBdr>
        </w:div>
        <w:div w:id="291130815">
          <w:marLeft w:val="640"/>
          <w:marRight w:val="0"/>
          <w:marTop w:val="0"/>
          <w:marBottom w:val="0"/>
          <w:divBdr>
            <w:top w:val="none" w:sz="0" w:space="0" w:color="auto"/>
            <w:left w:val="none" w:sz="0" w:space="0" w:color="auto"/>
            <w:bottom w:val="none" w:sz="0" w:space="0" w:color="auto"/>
            <w:right w:val="none" w:sz="0" w:space="0" w:color="auto"/>
          </w:divBdr>
        </w:div>
      </w:divsChild>
    </w:div>
    <w:div w:id="1382901394">
      <w:bodyDiv w:val="1"/>
      <w:marLeft w:val="0"/>
      <w:marRight w:val="0"/>
      <w:marTop w:val="0"/>
      <w:marBottom w:val="0"/>
      <w:divBdr>
        <w:top w:val="none" w:sz="0" w:space="0" w:color="auto"/>
        <w:left w:val="none" w:sz="0" w:space="0" w:color="auto"/>
        <w:bottom w:val="none" w:sz="0" w:space="0" w:color="auto"/>
        <w:right w:val="none" w:sz="0" w:space="0" w:color="auto"/>
      </w:divBdr>
      <w:divsChild>
        <w:div w:id="476259964">
          <w:marLeft w:val="640"/>
          <w:marRight w:val="0"/>
          <w:marTop w:val="0"/>
          <w:marBottom w:val="0"/>
          <w:divBdr>
            <w:top w:val="none" w:sz="0" w:space="0" w:color="auto"/>
            <w:left w:val="none" w:sz="0" w:space="0" w:color="auto"/>
            <w:bottom w:val="none" w:sz="0" w:space="0" w:color="auto"/>
            <w:right w:val="none" w:sz="0" w:space="0" w:color="auto"/>
          </w:divBdr>
        </w:div>
        <w:div w:id="1875581007">
          <w:marLeft w:val="640"/>
          <w:marRight w:val="0"/>
          <w:marTop w:val="0"/>
          <w:marBottom w:val="0"/>
          <w:divBdr>
            <w:top w:val="none" w:sz="0" w:space="0" w:color="auto"/>
            <w:left w:val="none" w:sz="0" w:space="0" w:color="auto"/>
            <w:bottom w:val="none" w:sz="0" w:space="0" w:color="auto"/>
            <w:right w:val="none" w:sz="0" w:space="0" w:color="auto"/>
          </w:divBdr>
        </w:div>
        <w:div w:id="381056663">
          <w:marLeft w:val="640"/>
          <w:marRight w:val="0"/>
          <w:marTop w:val="0"/>
          <w:marBottom w:val="0"/>
          <w:divBdr>
            <w:top w:val="none" w:sz="0" w:space="0" w:color="auto"/>
            <w:left w:val="none" w:sz="0" w:space="0" w:color="auto"/>
            <w:bottom w:val="none" w:sz="0" w:space="0" w:color="auto"/>
            <w:right w:val="none" w:sz="0" w:space="0" w:color="auto"/>
          </w:divBdr>
        </w:div>
        <w:div w:id="1839613311">
          <w:marLeft w:val="640"/>
          <w:marRight w:val="0"/>
          <w:marTop w:val="0"/>
          <w:marBottom w:val="0"/>
          <w:divBdr>
            <w:top w:val="none" w:sz="0" w:space="0" w:color="auto"/>
            <w:left w:val="none" w:sz="0" w:space="0" w:color="auto"/>
            <w:bottom w:val="none" w:sz="0" w:space="0" w:color="auto"/>
            <w:right w:val="none" w:sz="0" w:space="0" w:color="auto"/>
          </w:divBdr>
        </w:div>
        <w:div w:id="591935501">
          <w:marLeft w:val="640"/>
          <w:marRight w:val="0"/>
          <w:marTop w:val="0"/>
          <w:marBottom w:val="0"/>
          <w:divBdr>
            <w:top w:val="none" w:sz="0" w:space="0" w:color="auto"/>
            <w:left w:val="none" w:sz="0" w:space="0" w:color="auto"/>
            <w:bottom w:val="none" w:sz="0" w:space="0" w:color="auto"/>
            <w:right w:val="none" w:sz="0" w:space="0" w:color="auto"/>
          </w:divBdr>
        </w:div>
      </w:divsChild>
    </w:div>
    <w:div w:id="1435441759">
      <w:bodyDiv w:val="1"/>
      <w:marLeft w:val="0"/>
      <w:marRight w:val="0"/>
      <w:marTop w:val="0"/>
      <w:marBottom w:val="0"/>
      <w:divBdr>
        <w:top w:val="none" w:sz="0" w:space="0" w:color="auto"/>
        <w:left w:val="none" w:sz="0" w:space="0" w:color="auto"/>
        <w:bottom w:val="none" w:sz="0" w:space="0" w:color="auto"/>
        <w:right w:val="none" w:sz="0" w:space="0" w:color="auto"/>
      </w:divBdr>
      <w:divsChild>
        <w:div w:id="2124035180">
          <w:marLeft w:val="640"/>
          <w:marRight w:val="0"/>
          <w:marTop w:val="0"/>
          <w:marBottom w:val="0"/>
          <w:divBdr>
            <w:top w:val="none" w:sz="0" w:space="0" w:color="auto"/>
            <w:left w:val="none" w:sz="0" w:space="0" w:color="auto"/>
            <w:bottom w:val="none" w:sz="0" w:space="0" w:color="auto"/>
            <w:right w:val="none" w:sz="0" w:space="0" w:color="auto"/>
          </w:divBdr>
        </w:div>
        <w:div w:id="1827822494">
          <w:marLeft w:val="640"/>
          <w:marRight w:val="0"/>
          <w:marTop w:val="0"/>
          <w:marBottom w:val="0"/>
          <w:divBdr>
            <w:top w:val="none" w:sz="0" w:space="0" w:color="auto"/>
            <w:left w:val="none" w:sz="0" w:space="0" w:color="auto"/>
            <w:bottom w:val="none" w:sz="0" w:space="0" w:color="auto"/>
            <w:right w:val="none" w:sz="0" w:space="0" w:color="auto"/>
          </w:divBdr>
        </w:div>
        <w:div w:id="1707173727">
          <w:marLeft w:val="640"/>
          <w:marRight w:val="0"/>
          <w:marTop w:val="0"/>
          <w:marBottom w:val="0"/>
          <w:divBdr>
            <w:top w:val="none" w:sz="0" w:space="0" w:color="auto"/>
            <w:left w:val="none" w:sz="0" w:space="0" w:color="auto"/>
            <w:bottom w:val="none" w:sz="0" w:space="0" w:color="auto"/>
            <w:right w:val="none" w:sz="0" w:space="0" w:color="auto"/>
          </w:divBdr>
        </w:div>
        <w:div w:id="92865904">
          <w:marLeft w:val="640"/>
          <w:marRight w:val="0"/>
          <w:marTop w:val="0"/>
          <w:marBottom w:val="0"/>
          <w:divBdr>
            <w:top w:val="none" w:sz="0" w:space="0" w:color="auto"/>
            <w:left w:val="none" w:sz="0" w:space="0" w:color="auto"/>
            <w:bottom w:val="none" w:sz="0" w:space="0" w:color="auto"/>
            <w:right w:val="none" w:sz="0" w:space="0" w:color="auto"/>
          </w:divBdr>
        </w:div>
      </w:divsChild>
    </w:div>
    <w:div w:id="1444614823">
      <w:bodyDiv w:val="1"/>
      <w:marLeft w:val="0"/>
      <w:marRight w:val="0"/>
      <w:marTop w:val="0"/>
      <w:marBottom w:val="0"/>
      <w:divBdr>
        <w:top w:val="none" w:sz="0" w:space="0" w:color="auto"/>
        <w:left w:val="none" w:sz="0" w:space="0" w:color="auto"/>
        <w:bottom w:val="none" w:sz="0" w:space="0" w:color="auto"/>
        <w:right w:val="none" w:sz="0" w:space="0" w:color="auto"/>
      </w:divBdr>
      <w:divsChild>
        <w:div w:id="1919092879">
          <w:marLeft w:val="0"/>
          <w:marRight w:val="0"/>
          <w:marTop w:val="0"/>
          <w:marBottom w:val="0"/>
          <w:divBdr>
            <w:top w:val="none" w:sz="0" w:space="0" w:color="auto"/>
            <w:left w:val="none" w:sz="0" w:space="0" w:color="auto"/>
            <w:bottom w:val="none" w:sz="0" w:space="0" w:color="auto"/>
            <w:right w:val="none" w:sz="0" w:space="0" w:color="auto"/>
          </w:divBdr>
          <w:divsChild>
            <w:div w:id="459687634">
              <w:marLeft w:val="0"/>
              <w:marRight w:val="0"/>
              <w:marTop w:val="0"/>
              <w:marBottom w:val="0"/>
              <w:divBdr>
                <w:top w:val="none" w:sz="0" w:space="0" w:color="auto"/>
                <w:left w:val="none" w:sz="0" w:space="0" w:color="auto"/>
                <w:bottom w:val="none" w:sz="0" w:space="0" w:color="auto"/>
                <w:right w:val="none" w:sz="0" w:space="0" w:color="auto"/>
              </w:divBdr>
              <w:divsChild>
                <w:div w:id="448621633">
                  <w:marLeft w:val="0"/>
                  <w:marRight w:val="0"/>
                  <w:marTop w:val="0"/>
                  <w:marBottom w:val="0"/>
                  <w:divBdr>
                    <w:top w:val="none" w:sz="0" w:space="0" w:color="auto"/>
                    <w:left w:val="none" w:sz="0" w:space="0" w:color="auto"/>
                    <w:bottom w:val="none" w:sz="0" w:space="0" w:color="auto"/>
                    <w:right w:val="none" w:sz="0" w:space="0" w:color="auto"/>
                  </w:divBdr>
                  <w:divsChild>
                    <w:div w:id="178495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7451297">
      <w:bodyDiv w:val="1"/>
      <w:marLeft w:val="0"/>
      <w:marRight w:val="0"/>
      <w:marTop w:val="0"/>
      <w:marBottom w:val="0"/>
      <w:divBdr>
        <w:top w:val="none" w:sz="0" w:space="0" w:color="auto"/>
        <w:left w:val="none" w:sz="0" w:space="0" w:color="auto"/>
        <w:bottom w:val="none" w:sz="0" w:space="0" w:color="auto"/>
        <w:right w:val="none" w:sz="0" w:space="0" w:color="auto"/>
      </w:divBdr>
    </w:div>
    <w:div w:id="1874539347">
      <w:bodyDiv w:val="1"/>
      <w:marLeft w:val="0"/>
      <w:marRight w:val="0"/>
      <w:marTop w:val="0"/>
      <w:marBottom w:val="0"/>
      <w:divBdr>
        <w:top w:val="none" w:sz="0" w:space="0" w:color="auto"/>
        <w:left w:val="none" w:sz="0" w:space="0" w:color="auto"/>
        <w:bottom w:val="none" w:sz="0" w:space="0" w:color="auto"/>
        <w:right w:val="none" w:sz="0" w:space="0" w:color="auto"/>
      </w:divBdr>
    </w:div>
    <w:div w:id="1897813954">
      <w:bodyDiv w:val="1"/>
      <w:marLeft w:val="0"/>
      <w:marRight w:val="0"/>
      <w:marTop w:val="0"/>
      <w:marBottom w:val="0"/>
      <w:divBdr>
        <w:top w:val="none" w:sz="0" w:space="0" w:color="auto"/>
        <w:left w:val="none" w:sz="0" w:space="0" w:color="auto"/>
        <w:bottom w:val="none" w:sz="0" w:space="0" w:color="auto"/>
        <w:right w:val="none" w:sz="0" w:space="0" w:color="auto"/>
      </w:divBdr>
    </w:div>
    <w:div w:id="1929656751">
      <w:bodyDiv w:val="1"/>
      <w:marLeft w:val="0"/>
      <w:marRight w:val="0"/>
      <w:marTop w:val="0"/>
      <w:marBottom w:val="0"/>
      <w:divBdr>
        <w:top w:val="none" w:sz="0" w:space="0" w:color="auto"/>
        <w:left w:val="none" w:sz="0" w:space="0" w:color="auto"/>
        <w:bottom w:val="none" w:sz="0" w:space="0" w:color="auto"/>
        <w:right w:val="none" w:sz="0" w:space="0" w:color="auto"/>
      </w:divBdr>
    </w:div>
    <w:div w:id="1944651443">
      <w:bodyDiv w:val="1"/>
      <w:marLeft w:val="0"/>
      <w:marRight w:val="0"/>
      <w:marTop w:val="0"/>
      <w:marBottom w:val="0"/>
      <w:divBdr>
        <w:top w:val="none" w:sz="0" w:space="0" w:color="auto"/>
        <w:left w:val="none" w:sz="0" w:space="0" w:color="auto"/>
        <w:bottom w:val="none" w:sz="0" w:space="0" w:color="auto"/>
        <w:right w:val="none" w:sz="0" w:space="0" w:color="auto"/>
      </w:divBdr>
    </w:div>
    <w:div w:id="1979260610">
      <w:bodyDiv w:val="1"/>
      <w:marLeft w:val="0"/>
      <w:marRight w:val="0"/>
      <w:marTop w:val="0"/>
      <w:marBottom w:val="0"/>
      <w:divBdr>
        <w:top w:val="none" w:sz="0" w:space="0" w:color="auto"/>
        <w:left w:val="none" w:sz="0" w:space="0" w:color="auto"/>
        <w:bottom w:val="none" w:sz="0" w:space="0" w:color="auto"/>
        <w:right w:val="none" w:sz="0" w:space="0" w:color="auto"/>
      </w:divBdr>
    </w:div>
    <w:div w:id="2032799479">
      <w:bodyDiv w:val="1"/>
      <w:marLeft w:val="0"/>
      <w:marRight w:val="0"/>
      <w:marTop w:val="0"/>
      <w:marBottom w:val="0"/>
      <w:divBdr>
        <w:top w:val="none" w:sz="0" w:space="0" w:color="auto"/>
        <w:left w:val="none" w:sz="0" w:space="0" w:color="auto"/>
        <w:bottom w:val="none" w:sz="0" w:space="0" w:color="auto"/>
        <w:right w:val="none" w:sz="0" w:space="0" w:color="auto"/>
      </w:divBdr>
      <w:divsChild>
        <w:div w:id="374353976">
          <w:marLeft w:val="0"/>
          <w:marRight w:val="0"/>
          <w:marTop w:val="0"/>
          <w:marBottom w:val="0"/>
          <w:divBdr>
            <w:top w:val="none" w:sz="0" w:space="0" w:color="auto"/>
            <w:left w:val="none" w:sz="0" w:space="0" w:color="auto"/>
            <w:bottom w:val="none" w:sz="0" w:space="0" w:color="auto"/>
            <w:right w:val="none" w:sz="0" w:space="0" w:color="auto"/>
          </w:divBdr>
          <w:divsChild>
            <w:div w:id="808399863">
              <w:marLeft w:val="0"/>
              <w:marRight w:val="0"/>
              <w:marTop w:val="0"/>
              <w:marBottom w:val="0"/>
              <w:divBdr>
                <w:top w:val="none" w:sz="0" w:space="0" w:color="auto"/>
                <w:left w:val="none" w:sz="0" w:space="0" w:color="auto"/>
                <w:bottom w:val="none" w:sz="0" w:space="0" w:color="auto"/>
                <w:right w:val="none" w:sz="0" w:space="0" w:color="auto"/>
              </w:divBdr>
              <w:divsChild>
                <w:div w:id="1184586906">
                  <w:marLeft w:val="0"/>
                  <w:marRight w:val="0"/>
                  <w:marTop w:val="0"/>
                  <w:marBottom w:val="0"/>
                  <w:divBdr>
                    <w:top w:val="none" w:sz="0" w:space="0" w:color="auto"/>
                    <w:left w:val="none" w:sz="0" w:space="0" w:color="auto"/>
                    <w:bottom w:val="none" w:sz="0" w:space="0" w:color="auto"/>
                    <w:right w:val="none" w:sz="0" w:space="0" w:color="auto"/>
                  </w:divBdr>
                  <w:divsChild>
                    <w:div w:id="144172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743259">
      <w:bodyDiv w:val="1"/>
      <w:marLeft w:val="0"/>
      <w:marRight w:val="0"/>
      <w:marTop w:val="0"/>
      <w:marBottom w:val="0"/>
      <w:divBdr>
        <w:top w:val="none" w:sz="0" w:space="0" w:color="auto"/>
        <w:left w:val="none" w:sz="0" w:space="0" w:color="auto"/>
        <w:bottom w:val="none" w:sz="0" w:space="0" w:color="auto"/>
        <w:right w:val="none" w:sz="0" w:space="0" w:color="auto"/>
      </w:divBdr>
      <w:divsChild>
        <w:div w:id="375618503">
          <w:marLeft w:val="640"/>
          <w:marRight w:val="0"/>
          <w:marTop w:val="0"/>
          <w:marBottom w:val="0"/>
          <w:divBdr>
            <w:top w:val="none" w:sz="0" w:space="0" w:color="auto"/>
            <w:left w:val="none" w:sz="0" w:space="0" w:color="auto"/>
            <w:bottom w:val="none" w:sz="0" w:space="0" w:color="auto"/>
            <w:right w:val="none" w:sz="0" w:space="0" w:color="auto"/>
          </w:divBdr>
        </w:div>
        <w:div w:id="1814828175">
          <w:marLeft w:val="640"/>
          <w:marRight w:val="0"/>
          <w:marTop w:val="0"/>
          <w:marBottom w:val="0"/>
          <w:divBdr>
            <w:top w:val="none" w:sz="0" w:space="0" w:color="auto"/>
            <w:left w:val="none" w:sz="0" w:space="0" w:color="auto"/>
            <w:bottom w:val="none" w:sz="0" w:space="0" w:color="auto"/>
            <w:right w:val="none" w:sz="0" w:space="0" w:color="auto"/>
          </w:divBdr>
        </w:div>
        <w:div w:id="1951431345">
          <w:marLeft w:val="640"/>
          <w:marRight w:val="0"/>
          <w:marTop w:val="0"/>
          <w:marBottom w:val="0"/>
          <w:divBdr>
            <w:top w:val="none" w:sz="0" w:space="0" w:color="auto"/>
            <w:left w:val="none" w:sz="0" w:space="0" w:color="auto"/>
            <w:bottom w:val="none" w:sz="0" w:space="0" w:color="auto"/>
            <w:right w:val="none" w:sz="0" w:space="0" w:color="auto"/>
          </w:divBdr>
        </w:div>
        <w:div w:id="1823547379">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numbering" Target="numbering.xml"/><Relationship Id="rId7" Type="http://schemas.openxmlformats.org/officeDocument/2006/relationships/image" Target="media/image1.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21DFCC64-14E4-4C96-8955-791AEEF4AA22}"/>
      </w:docPartPr>
      <w:docPartBody>
        <w:p w:rsidR="00293959" w:rsidRDefault="00766B76">
          <w:r w:rsidRPr="00A8351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B76"/>
    <w:rsid w:val="0002620A"/>
    <w:rsid w:val="000D2224"/>
    <w:rsid w:val="001D7DC5"/>
    <w:rsid w:val="00293959"/>
    <w:rsid w:val="00323DF2"/>
    <w:rsid w:val="00334E90"/>
    <w:rsid w:val="003A0960"/>
    <w:rsid w:val="00416237"/>
    <w:rsid w:val="004D1D76"/>
    <w:rsid w:val="00766B76"/>
    <w:rsid w:val="00766F24"/>
    <w:rsid w:val="007D1DD5"/>
    <w:rsid w:val="00883978"/>
    <w:rsid w:val="00936350"/>
    <w:rsid w:val="00996F2F"/>
    <w:rsid w:val="00A93325"/>
    <w:rsid w:val="00B745E7"/>
    <w:rsid w:val="00D43AB7"/>
    <w:rsid w:val="00D81248"/>
    <w:rsid w:val="00D81BC3"/>
    <w:rsid w:val="00DC6419"/>
    <w:rsid w:val="00E0229A"/>
    <w:rsid w:val="00E81DED"/>
    <w:rsid w:val="00E90061"/>
    <w:rsid w:val="00EC25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6B76"/>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87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229D10B-65BE-4146-9C9A-66789E862CCA}">
  <we:reference id="wa104382081" version="1.55.1.0" store="en-US" storeType="OMEX"/>
  <we:alternateReferences>
    <we:reference id="wa104382081" version="1.55.1.0" store="" storeType="OMEX"/>
  </we:alternateReferences>
  <we:properties>
    <we:property name="MENDELEY_CITATIONS" value="[{&quot;citationID&quot;:&quot;MENDELEY_CITATION_179b67cf-8c1b-4cc1-b190-610972d5fe74&quot;,&quot;properties&quot;:{&quot;noteIndex&quot;:0},&quot;isEdited&quot;:false,&quot;manualOverride&quot;:{&quot;isManuallyOverridden&quot;:false,&quot;citeprocText&quot;:&quot;[1]&quot;,&quot;manualOverrideText&quot;:&quot;&quot;},&quot;citationItems&quot;:[{&quot;id&quot;:&quot;6c2b474d-fce0-3221-b4a1-b853bd845e5e&quot;,&quot;itemData&quot;:{&quot;type&quot;:&quot;article-journal&quot;,&quot;id&quot;:&quot;6c2b474d-fce0-3221-b4a1-b853bd845e5e&quot;,&quot;title&quot;:&quot;Dissociable executive functions in the dynamic control of behavior: Inhibition, error detection, and correction&quot;,&quot;author&quot;:[{&quot;family&quot;:&quot;Garavan&quot;,&quot;given&quot;:&quot;H.&quot;,&quot;parse-names&quot;:false,&quot;dropping-particle&quot;:&quot;&quot;,&quot;non-dropping-particle&quot;:&quot;&quot;},{&quot;family&quot;:&quot;Ross&quot;,&quot;given&quot;:&quot;T. J.&quot;,&quot;parse-names&quot;:false,&quot;dropping-particle&quot;:&quot;&quot;,&quot;non-dropping-particle&quot;:&quot;&quot;},{&quot;family&quot;:&quot;Murphy&quot;,&quot;given&quot;:&quot;K.&quot;,&quot;parse-names&quot;:false,&quot;dropping-particle&quot;:&quot;&quot;,&quot;non-dropping-particle&quot;:&quot;&quot;},{&quot;family&quot;:&quot;Roche&quot;,&quot;given&quot;:&quot;R. A.P.&quot;,&quot;parse-names&quot;:false,&quot;dropping-particle&quot;:&quot;&quot;,&quot;non-dropping-particle&quot;:&quot;&quot;},{&quot;family&quot;:&quot;Stein&quot;,&quot;given&quot;:&quot;E. A.&quot;,&quot;parse-names&quot;:false,&quot;dropping-particle&quot;:&quot;&quot;,&quot;non-dropping-particle&quot;:&quot;&quot;}],&quot;container-title&quot;:&quot;NeuroImage&quot;,&quot;container-title-short&quot;:&quot;Neuroimage&quot;,&quot;DOI&quot;:&quot;10.1006/nimg.2002.1326&quot;,&quot;ISSN&quot;:&quot;10538119&quot;,&quot;issued&quot;:{&quot;date-parts&quot;:[[2002]]},&quot;abstract&quot;:&quot;The present study employed event-related fMRI and EEG to investigate the biological basis of the cognitive control of behavior. Using a GO/NOGO task optimized to produce response inhibitions, frequent commission errors, and the opportunity for subsequent behavioral correction, we identified distinct cortical areas associated with each of these specific executive processes. Two cortical systems, one involving right prefrontal and parietal areas and the second regions of the cingulate, underlay inhibitory control. The involvement of these two systems was predicated upon the difficulty or urgency of the inhibition and each was employed to different extents by high- and low-absent-minded subjects. Errors were associated with medial activation incorporating the anterior cingulate and pre-SMA while behavioral alteration subsequent to errors was associated with both the anterior cingulate and the left prefrontal cortex. Furthermore, the EEG data demonstrated that successful response inhibition depended upon the timely activation of cortical areas as predicted by race models of response selection. The results highlight how higher cognitive functions responsible for behavioral control can result from the dynamic interplay of distinct cortical systems. © 2002 Elsevier Science (USA).&quot;,&quot;issue&quot;:&quot;4&quot;,&quot;volume&quot;:&quot;17&quot;},&quot;isTemporary&quot;:false}],&quot;citationTag&quot;:&quot;MENDELEY_CITATION_v3_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&quot;},{&quot;citationID&quot;:&quot;MENDELEY_CITATION_c8d2e601-aebd-47f9-8277-473a638321eb&quot;,&quot;properties&quot;:{&quot;noteIndex&quot;:0},&quot;isEdited&quot;:false,&quot;manualOverride&quot;:{&quot;isManuallyOverridden&quot;:false,&quot;citeprocText&quot;:&quot;[2], [3]&quot;,&quot;manualOverrideText&quot;:&quot;&quot;},&quot;citationItems&quot;:[{&quot;id&quot;:&quot;b0fc2732-6496-3fd6-bb98-bacf2252418c&quot;,&quot;itemData&quot;:{&quot;type&quot;:&quot;article-journal&quot;,&quot;id&quot;:&quot;b0fc2732-6496-3fd6-bb98-bacf2252418c&quot;,&quot;title&quot;:&quot;EEG correlates in the spectrum of cognitive decline&quot;,&quot;author&quot;:[{&quot;family&quot;:&quot;Hiele&quot;,&quot;given&quot;:&quot;K.&quot;,&quot;parse-names&quot;:false,&quot;dropping-particle&quot;:&quot;&quot;,&quot;non-dropping-particle&quot;:&quot;van der&quot;},{&quot;family&quot;:&quot;Vein&quot;,&quot;given&quot;:&quot;A. A.&quot;,&quot;parse-names&quot;:false,&quot;dropping-particle&quot;:&quot;&quot;,&quot;non-dropping-particle&quot;:&quot;&quot;},{&quot;family&quot;:&quot;Reijntjes&quot;,&quot;given&quot;:&quot;R. H.A.M.&quot;,&quot;parse-names&quot;:false,&quot;dropping-particle&quot;:&quot;&quot;,&quot;non-dropping-particle&quot;:&quot;&quot;},{&quot;family&quot;:&quot;Westendorp&quot;,&quot;given&quot;:&quot;R. G.J.&quot;,&quot;parse-names&quot;:false,&quot;dropping-particle&quot;:&quot;&quot;,&quot;non-dropping-particle&quot;:&quot;&quot;},{&quot;family&quot;:&quot;Bollen&quot;,&quot;given&quot;:&quot;E. L.E.M.&quot;,&quot;parse-names&quot;:false,&quot;dropping-particle&quot;:&quot;&quot;,&quot;non-dropping-particle&quot;:&quot;&quot;},{&quot;family&quot;:&quot;Buchem&quot;,&quot;given&quot;:&quot;M. A.&quot;,&quot;parse-names&quot;:false,&quot;dropping-particle&quot;:&quot;&quot;,&quot;non-dropping-particle&quot;:&quot;van&quot;},{&quot;family&quot;:&quot;Dijk&quot;,&quot;given&quot;:&quot;J. G.&quot;,&quot;parse-names&quot;:false,&quot;dropping-particle&quot;:&quot;&quot;,&quot;non-dropping-particle&quot;:&quot;van&quot;},{&quot;family&quot;:&quot;Middelkoop&quot;,&quot;given&quot;:&quot;H. A.M.&quot;,&quot;parse-names&quot;:false,&quot;dropping-particle&quot;:&quot;&quot;,&quot;non-dropping-particle&quot;:&quot;&quot;}],&quot;container-title&quot;:&quot;Clinical Neurophysiology&quot;,&quot;DOI&quot;:&quot;10.1016/j.clinph.2007.05.070&quot;,&quot;ISSN&quot;:&quot;13882457&quot;,&quot;issued&quot;:{&quot;date-parts&quot;:[[2007]]},&quot;abstract&quot;:&quot;Objective: To investigate relations between EEG measures and performance on tests of global cognition, memory, language and executive functioning. Methods: Twenty-two controls, 18 patients with mild cognitive impairment (MCI) and 16 with probable Alzheimer's disease (AD) underwent neuropsychological and EEG investigations. We used the following EEG measures: theta relative power during eyes closed, alpha reactivity during memory activation (i.e. the percentual decrease in alpha power as compared to eyes closed) and alpha coherence during eyes closed and memory activation. Results: Theta relative power was increased in AD patients as compared with controls (p &lt; 0.001) and MCI patients (p &lt; 0.01) and related to decreased performance in all cognitive domains. Alpha reactivity was decreased in AD patients as compared with controls (p &lt; 0.005) and related to decreased performance on tests of global cognition, memory and executive functioning. Alpha coherence did not differ between groups and was unrelated to cognition. Conclusions: EEG power measures were associated with decreased performance on tests of global cognition, memory, language and executive functioning, while coherence measures were not. Significance: The EEG yielded several power measures related to cognitive functions. These EEG power measures might prove useful in prospective studies aimed at predicting longitudinal cognitive decline and dementia. © 2007 International Federation of Clinical Neurophysiology.&quot;,&quot;issue&quot;:&quot;9&quot;,&quot;volume&quot;:&quot;118&quot;,&quot;container-title-short&quot;:&quot;&quot;},&quot;isTemporary&quot;:false},{&quot;id&quot;:&quot;6218aaaa-232e-3ef6-9049-fee3ca7efa30&quot;,&quot;itemData&quot;:{&quot;type&quot;:&quot;article-journal&quot;,&quot;id&quot;:&quot;6218aaaa-232e-3ef6-9049-fee3ca7efa30&quot;,&quot;title&quot;:&quot;Resting state EEG biomarkers of cognitive decline associated with Alzheimer's disease and mild cognitive impairment&quot;,&quot;author&quot;:[{&quot;family&quot;:&quot;Meghdadi&quot;,&quot;given&quot;:&quot;Amir H.&quot;,&quot;parse-names&quot;:false,&quot;dropping-particle&quot;:&quot;&quot;,&quot;non-dropping-particle&quot;:&quot;&quot;},{&quot;family&quot;:&quot;Karic&quot;,&quot;given&quot;:&quot;Marija Stevanovic&quot;,&quot;parse-names&quot;:false,&quot;dropping-particle&quot;:&quot;&quot;,&quot;non-dropping-particle&quot;:&quot;&quot;},{&quot;family&quot;:&quot;McConnell&quot;,&quot;given&quot;:&quot;Marissa&quot;,&quot;parse-names&quot;:false,&quot;dropping-particle&quot;:&quot;&quot;,&quot;non-dropping-particle&quot;:&quot;&quot;},{&quot;family&quot;:&quot;Rupp&quot;,&quot;given&quot;:&quot;Greg&quot;,&quot;parse-names&quot;:false,&quot;dropping-particle&quot;:&quot;&quot;,&quot;non-dropping-particle&quot;:&quot;&quot;},{&quot;family&quot;:&quot;Richard&quot;,&quot;given&quot;:&quot;Christian&quot;,&quot;parse-names&quot;:false,&quot;dropping-particle&quot;:&quot;&quot;,&quot;non-dropping-particle&quot;:&quot;&quot;},{&quot;family&quot;:&quot;Hamilton&quot;,&quot;given&quot;:&quot;Joanne&quot;,&quot;parse-names&quot;:false,&quot;dropping-particle&quot;:&quot;&quot;,&quot;non-dropping-particle&quot;:&quot;&quot;},{&quot;family&quot;:&quot;Salat&quot;,&quot;given&quot;:&quot;David&quot;,&quot;parse-names&quot;:false,&quot;dropping-particle&quot;:&quot;&quot;,&quot;non-dropping-particle&quot;:&quot;&quot;},{&quot;family&quot;:&quot;Berka&quot;,&quot;given&quot;:&quot;Chris&quot;,&quot;parse-names&quot;:false,&quot;dropping-particle&quot;:&quot;&quot;,&quot;non-dropping-particle&quot;:&quot;&quot;}],&quot;container-title&quot;:&quot;PLoS ONE&quot;,&quot;container-title-short&quot;:&quot;PLoS One&quot;,&quot;DOI&quot;:&quot;10.1371/journal.pone.0244180&quot;,&quot;ISSN&quot;:&quot;19326203&quot;,&quot;issued&quot;:{&quot;date-parts&quot;:[[2021]]},&quot;abstract&quot;:&quot;In this paper, we explore the utility of resting-state EEG measures as potential biomarkers for the detection and assessment of cognitive decline in mild cognitive impairment (MCI) and Alzheimer's disease (AD). Neurophysiological biomarkers of AD derived from EEG and FDG-PET, once characterized and validated, would expand the set of existing diagnostic molecular biomarkers of AD pathology with associated biomarkers of disease progression and neural dysfunction. Since symptoms of AD often begin to appear later in life, successful identification of EEG-based biomarkers must account for age-related neurophysiological changes that occur even in healthy individuals. To this end, we collected EEG data from individuals with AD (n = 26), MCI (n = 53), and cognitively normal healthy controls stratified by age into three groups: 18-40 (n = 129), 40-60 (n = 62) and 60-90 (= 55) years old. For each participant, we computed power spectral density at each channel and spectral coherence between pairs of channels. Compared to age matched controls, in the AD group, we found increases in both spectral power and coherence at the slower frequencies (Delta, Theta). A smaller but significant increase in power of slow frequencies was observed for the MCI group, localized to temporal areas. These effects on slow frequency spectral power opposed that of normal aging observed by a decrease in the power of slow frequencies in our control groups. The AD group showed a significant decrease in the spectral power and coherence in the Alpha band consistent with the same effect in normal aging. However, the MCI group did not show any significant change in the Alpha band. Overall, Theta to Alpha ratio (TAR) provided the largest and most significant differences between the AD group and controls. However, differences in the MCI group remained small and localized. We proposed a novel method to quantify these small differences between Theta and Alpha bands' power using empirically derived distributions of spectral power across the time domain as opposed to averaging power across time. We defined Power Distribution Distance Measure (PDDM) as a distance measure between probability distribution functions (pdf) of Theta and Alpha power. Compared to average TAR, using PDDF enhanced the statistical significance, the effect size, and the spatial distribution of significant effects in the MCI group. We designed classifiers for differentiating individual MCI and AD participants from age-matched controls. The classification performance measured by the area under ROC curve after cross-validation were AUC = 0.85 and AUC = 0.6, for AD and MCI classifiers, respectively. Posterior probability of AD, TAR, and the proposed PDDM measure were all significantly correlated with MMSE score and neuropsychological tests in the AD group.&quot;,&quot;issue&quot;:&quot;2 February&quot;,&quot;volume&quot;:&quot;16&quot;},&quot;isTemporary&quot;:false}],&quot;citationTag&quot;:&quot;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&quot;},{&quot;citationID&quot;:&quot;MENDELEY_CITATION_4c403f91-5ff7-46ef-9a7c-2d43bb5d2699&quot;,&quot;properties&quot;:{&quot;noteIndex&quot;:0},&quot;isEdited&quot;:false,&quot;manualOverride&quot;:{&quot;isManuallyOverridden&quot;:false,&quot;citeprocText&quot;:&quot;[3]&quot;,&quot;manualOverrideText&quot;:&quot;&quot;},&quot;citationItems&quot;:[{&quot;id&quot;:&quot;6218aaaa-232e-3ef6-9049-fee3ca7efa30&quot;,&quot;itemData&quot;:{&quot;type&quot;:&quot;article-journal&quot;,&quot;id&quot;:&quot;6218aaaa-232e-3ef6-9049-fee3ca7efa30&quot;,&quot;title&quot;:&quot;Resting state EEG biomarkers of cognitive decline associated with Alzheimer's disease and mild cognitive impairment&quot;,&quot;author&quot;:[{&quot;family&quot;:&quot;Meghdadi&quot;,&quot;given&quot;:&quot;Amir H.&quot;,&quot;parse-names&quot;:false,&quot;dropping-particle&quot;:&quot;&quot;,&quot;non-dropping-particle&quot;:&quot;&quot;},{&quot;family&quot;:&quot;Karic&quot;,&quot;given&quot;:&quot;Marija Stevanovic&quot;,&quot;parse-names&quot;:false,&quot;dropping-particle&quot;:&quot;&quot;,&quot;non-dropping-particle&quot;:&quot;&quot;},{&quot;family&quot;:&quot;McConnell&quot;,&quot;given&quot;:&quot;Marissa&quot;,&quot;parse-names&quot;:false,&quot;dropping-particle&quot;:&quot;&quot;,&quot;non-dropping-particle&quot;:&quot;&quot;},{&quot;family&quot;:&quot;Rupp&quot;,&quot;given&quot;:&quot;Greg&quot;,&quot;parse-names&quot;:false,&quot;dropping-particle&quot;:&quot;&quot;,&quot;non-dropping-particle&quot;:&quot;&quot;},{&quot;family&quot;:&quot;Richard&quot;,&quot;given&quot;:&quot;Christian&quot;,&quot;parse-names&quot;:false,&quot;dropping-particle&quot;:&quot;&quot;,&quot;non-dropping-particle&quot;:&quot;&quot;},{&quot;family&quot;:&quot;Hamilton&quot;,&quot;given&quot;:&quot;Joanne&quot;,&quot;parse-names&quot;:false,&quot;dropping-particle&quot;:&quot;&quot;,&quot;non-dropping-particle&quot;:&quot;&quot;},{&quot;family&quot;:&quot;Salat&quot;,&quot;given&quot;:&quot;David&quot;,&quot;parse-names&quot;:false,&quot;dropping-particle&quot;:&quot;&quot;,&quot;non-dropping-particle&quot;:&quot;&quot;},{&quot;family&quot;:&quot;Berka&quot;,&quot;given&quot;:&quot;Chris&quot;,&quot;parse-names&quot;:false,&quot;dropping-particle&quot;:&quot;&quot;,&quot;non-dropping-particle&quot;:&quot;&quot;}],&quot;container-title&quot;:&quot;PLoS ONE&quot;,&quot;container-title-short&quot;:&quot;PLoS One&quot;,&quot;DOI&quot;:&quot;10.1371/journal.pone.0244180&quot;,&quot;ISSN&quot;:&quot;19326203&quot;,&quot;issued&quot;:{&quot;date-parts&quot;:[[2021]]},&quot;abstract&quot;:&quot;In this paper, we explore the utility of resting-state EEG measures as potential biomarkers for the detection and assessment of cognitive decline in mild cognitive impairment (MCI) and Alzheimer's disease (AD). Neurophysiological biomarkers of AD derived from EEG and FDG-PET, once characterized and validated, would expand the set of existing diagnostic molecular biomarkers of AD pathology with associated biomarkers of disease progression and neural dysfunction. Since symptoms of AD often begin to appear later in life, successful identification of EEG-based biomarkers must account for age-related neurophysiological changes that occur even in healthy individuals. To this end, we collected EEG data from individuals with AD (n = 26), MCI (n = 53), and cognitively normal healthy controls stratified by age into three groups: 18-40 (n = 129), 40-60 (n = 62) and 60-90 (= 55) years old. For each participant, we computed power spectral density at each channel and spectral coherence between pairs of channels. Compared to age matched controls, in the AD group, we found increases in both spectral power and coherence at the slower frequencies (Delta, Theta). A smaller but significant increase in power of slow frequencies was observed for the MCI group, localized to temporal areas. These effects on slow frequency spectral power opposed that of normal aging observed by a decrease in the power of slow frequencies in our control groups. The AD group showed a significant decrease in the spectral power and coherence in the Alpha band consistent with the same effect in normal aging. However, the MCI group did not show any significant change in the Alpha band. Overall, Theta to Alpha ratio (TAR) provided the largest and most significant differences between the AD group and controls. However, differences in the MCI group remained small and localized. We proposed a novel method to quantify these small differences between Theta and Alpha bands' power using empirically derived distributions of spectral power across the time domain as opposed to averaging power across time. We defined Power Distribution Distance Measure (PDDM) as a distance measure between probability distribution functions (pdf) of Theta and Alpha power. Compared to average TAR, using PDDF enhanced the statistical significance, the effect size, and the spatial distribution of significant effects in the MCI group. We designed classifiers for differentiating individual MCI and AD participants from age-matched controls. The classification performance measured by the area under ROC curve after cross-validation were AUC = 0.85 and AUC = 0.6, for AD and MCI classifiers, respectively. Posterior probability of AD, TAR, and the proposed PDDM measure were all significantly correlated with MMSE score and neuropsychological tests in the AD group.&quot;,&quot;issue&quot;:&quot;2 February&quot;,&quot;volume&quot;:&quot;16&quot;},&quot;isTemporary&quot;:false}],&quot;citationTag&quot;:&quot;MENDELEY_CITATION_v3_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&quot;},{&quot;citationID&quot;:&quot;MENDELEY_CITATION_2580aa77-60b0-4a5c-980c-ae60b7ad94c8&quot;,&quot;properties&quot;:{&quot;noteIndex&quot;:0},&quot;isEdited&quot;:false,&quot;manualOverride&quot;:{&quot;isManuallyOverridden&quot;:false,&quot;citeprocText&quot;:&quot;[4]&quot;,&quot;manualOverrideText&quot;:&quot;&quot;},&quot;citationItems&quot;:[{&quot;id&quot;:&quot;c25d63b0-68af-3955-870c-7b6d6e35a18a&quot;,&quot;itemData&quot;:{&quot;type&quot;:&quot;article-journal&quot;,&quot;id&quot;:&quot;c25d63b0-68af-3955-870c-7b6d6e35a18a&quot;,&quot;title&quot;:&quot;Increased EEG gamma band activity in Alzheimer's disease and mild cognitive impairment&quot;,&quot;author&quot;:[{&quot;family&quot;:&quot;Deursen&quot;,&quot;given&quot;:&quot;J. A.&quot;,&quot;parse-names&quot;:false,&quot;dropping-particle&quot;:&quot;&quot;,&quot;non-dropping-particle&quot;:&quot;Van&quot;},{&quot;family&quot;:&quot;Vuurman&quot;,&quot;given&quot;:&quot;E. F.P.M.&quot;,&quot;parse-names&quot;:false,&quot;dropping-particle&quot;:&quot;&quot;,&quot;non-dropping-particle&quot;:&quot;&quot;},{&quot;family&quot;:&quot;Verhey&quot;,&quot;given&quot;:&quot;F. R.J.&quot;,&quot;parse-names&quot;:false,&quot;dropping-particle&quot;:&quot;&quot;,&quot;non-dropping-particle&quot;:&quot;&quot;},{&quot;family&quot;:&quot;Kranen-Mastenbroek&quot;,&quot;given&quot;:&quot;V. H.J.M.&quot;,&quot;parse-names&quot;:false,&quot;dropping-particle&quot;:&quot;&quot;,&quot;non-dropping-particle&quot;:&quot;Van&quot;},{&quot;family&quot;:&quot;Riedel&quot;,&quot;given&quot;:&quot;W. J.&quot;,&quot;parse-names&quot;:false,&quot;dropping-particle&quot;:&quot;&quot;,&quot;non-dropping-particle&quot;:&quot;&quot;}],&quot;container-title&quot;:&quot;Journal of Neural Transmission&quot;,&quot;container-title-short&quot;:&quot;J Neural Transm&quot;,&quot;DOI&quot;:&quot;10.1007/s00702-008-0083-y&quot;,&quot;ISSN&quot;:&quot;03009564&quot;,&quot;issued&quot;:{&quot;date-parts&quot;:[[2008]]},&quot;abstract&quot;:&quot;High frequency (30-70 Hz) gamma band oscillations in the human electro-encephalogram (EEG) are thought to reflect perceptual and cognitive processes. It is therefore interesting to study these measures in cognitive impairment and dementia. To evaluate gamma band oscillations as a diagnostic biomarker in Alzheimer's disease (AD) and mild cognitive impairment (MCI), 15 psychoactive drug naïve AD patients, 20 MCI patients and 20 healthy controls participated in this study. Gamma band power (GBP) was measured in four conditions viz. resting state, music listening, story listening and visual stimulation. To evaluate test-retest reliability (TRR), subjects underwent a similar assessment one week after the first. The overall TRR was high. Elevated GBP was observed in AD when compared to MCI and control subjects in all conditions. The results suggest that elevated GBP is a reproducible and sensitive measure for cognitive dysfunction in AD in comparison with MCI and controls. © 2008 The Author(s).&quot;,&quot;issue&quot;:&quot;9&quot;,&quot;volume&quot;:&quot;115&quot;},&quot;isTemporary&quot;:false}],&quot;citationTag&quot;:&quot;MENDELEY_CITATION_v3_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&quot;}]"/>
    <we:property name="MENDELEY_CITATIONS_LOCALE_CODE" value="&quot;en-GB&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3Ws48aspNXkIc4LjHdHPjt4/EA==">CgMxLjA4AHIhMVZHU0luWU03UkZ5U2xZV0VzS3R0Mlk3VnJwZms2NXZ4</go:docsCustomData>
</go:gDocsCustomXmlDataStorage>
</file>

<file path=customXml/itemProps1.xml><?xml version="1.0" encoding="utf-8"?>
<ds:datastoreItem xmlns:ds="http://schemas.openxmlformats.org/officeDocument/2006/customXml" ds:itemID="{3C10C794-2FF0-42FF-BFBD-BB6CD6EA393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689</Words>
  <Characters>3929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Talya Zeimer</dc:creator>
  <cp:lastModifiedBy>Lior Molcho</cp:lastModifiedBy>
  <cp:revision>2</cp:revision>
  <dcterms:created xsi:type="dcterms:W3CDTF">2024-09-20T09:48:00Z</dcterms:created>
  <dcterms:modified xsi:type="dcterms:W3CDTF">2024-09-20T09:48:00Z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cec20f9e7a8596242a3b7133ed034f940988849617dfe6d49b1c0b3f3c59f3e6</vt:lpwstr>
  </property>
</Properties>
</file>