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D4F26" w14:textId="77777777" w:rsidR="00E62C2C" w:rsidRPr="00D800C2" w:rsidRDefault="00E62C2C" w:rsidP="00E62C2C">
      <w:pPr>
        <w:rPr>
          <w:b/>
          <w:bCs/>
          <w:color w:val="C00000"/>
          <w:sz w:val="24"/>
          <w:szCs w:val="24"/>
        </w:rPr>
      </w:pPr>
      <w:r w:rsidRPr="00D800C2">
        <w:rPr>
          <w:b/>
          <w:bCs/>
          <w:color w:val="C00000"/>
          <w:sz w:val="24"/>
          <w:szCs w:val="24"/>
        </w:rPr>
        <w:t>Performance of monofilament test:</w:t>
      </w:r>
    </w:p>
    <w:p w14:paraId="483259EB" w14:textId="77777777" w:rsidR="00E62C2C" w:rsidRPr="00D800C2" w:rsidRDefault="00E62C2C" w:rsidP="00E62C2C">
      <w:pPr>
        <w:spacing w:line="360" w:lineRule="auto"/>
        <w:jc w:val="both"/>
        <w:rPr>
          <w:b/>
          <w:sz w:val="24"/>
          <w:szCs w:val="24"/>
        </w:rPr>
      </w:pPr>
      <w:proofErr w:type="gramStart"/>
      <w:r w:rsidRPr="00D800C2">
        <w:rPr>
          <w:b/>
          <w:sz w:val="24"/>
          <w:szCs w:val="24"/>
        </w:rPr>
        <w:t>1.1  Assessment</w:t>
      </w:r>
      <w:proofErr w:type="gramEnd"/>
      <w:r w:rsidRPr="00D800C2">
        <w:rPr>
          <w:b/>
          <w:sz w:val="24"/>
          <w:szCs w:val="24"/>
        </w:rPr>
        <w:t xml:space="preserve"> of diabetic neuropathy based on 10gm monofilament test (as per the manufacturer of monofilament 10g </w:t>
      </w:r>
      <w:proofErr w:type="spellStart"/>
      <w:r w:rsidRPr="00D800C2">
        <w:rPr>
          <w:b/>
          <w:sz w:val="24"/>
          <w:szCs w:val="24"/>
        </w:rPr>
        <w:t>Kodys</w:t>
      </w:r>
      <w:proofErr w:type="spellEnd"/>
      <w:r w:rsidRPr="00D800C2">
        <w:rPr>
          <w:b/>
          <w:sz w:val="24"/>
          <w:szCs w:val="24"/>
        </w:rPr>
        <w:t xml:space="preserve"> guidelines)</w:t>
      </w:r>
    </w:p>
    <w:p w14:paraId="4EB06E01" w14:textId="77777777" w:rsidR="00E62C2C" w:rsidRPr="00D800C2" w:rsidRDefault="00E62C2C" w:rsidP="00E62C2C">
      <w:pPr>
        <w:spacing w:line="360" w:lineRule="auto"/>
        <w:jc w:val="both"/>
        <w:rPr>
          <w:sz w:val="24"/>
          <w:szCs w:val="24"/>
        </w:rPr>
      </w:pPr>
      <w:r w:rsidRPr="00D800C2">
        <w:rPr>
          <w:sz w:val="24"/>
          <w:szCs w:val="24"/>
        </w:rPr>
        <w:t>Patients were instructed to close the eye during the assessment for legs. Before this, they were sensitized to understand the touch sensation of 10gm mono filament by placing it over their hands. Once it was ensured they know how to respond when they feel the touch sensation over various sites in legs, the actual assessment was done at six places over plantar aspects of legs namely ball of the great toes, meta tarsal head of first, third and fifth toe, middle of the medial border of foot and heal.</w:t>
      </w:r>
    </w:p>
    <w:p w14:paraId="6178E9D6" w14:textId="77777777" w:rsidR="00E62C2C" w:rsidRPr="00D800C2" w:rsidRDefault="00E62C2C" w:rsidP="00E62C2C">
      <w:pPr>
        <w:spacing w:line="360" w:lineRule="auto"/>
        <w:jc w:val="both"/>
        <w:rPr>
          <w:sz w:val="24"/>
          <w:szCs w:val="24"/>
        </w:rPr>
      </w:pPr>
    </w:p>
    <w:p w14:paraId="76AFAFE6" w14:textId="77777777" w:rsidR="00E62C2C" w:rsidRPr="00D800C2" w:rsidRDefault="00E62C2C" w:rsidP="00E62C2C">
      <w:pPr>
        <w:spacing w:line="360" w:lineRule="auto"/>
        <w:jc w:val="both"/>
        <w:rPr>
          <w:sz w:val="24"/>
          <w:szCs w:val="24"/>
        </w:rPr>
      </w:pPr>
      <w:r w:rsidRPr="00D800C2">
        <w:rPr>
          <w:sz w:val="24"/>
          <w:szCs w:val="24"/>
        </w:rPr>
        <w:t>Steps in assessment of neuropathy using monofilament:</w:t>
      </w:r>
    </w:p>
    <w:p w14:paraId="4CFBFFBE"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Ask the patient to lie in supine position with barefoot</w:t>
      </w:r>
    </w:p>
    <w:p w14:paraId="7A8EF928"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Hold the monofilament with thumb and index finger as shown by the manufacturer on the probe</w:t>
      </w:r>
    </w:p>
    <w:p w14:paraId="59F96B44"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Place the 10gm Semmelweis 10gm monofilament (</w:t>
      </w:r>
      <w:proofErr w:type="spellStart"/>
      <w:r w:rsidRPr="00D800C2">
        <w:rPr>
          <w:sz w:val="24"/>
          <w:szCs w:val="24"/>
        </w:rPr>
        <w:t>Kodys</w:t>
      </w:r>
      <w:proofErr w:type="spellEnd"/>
      <w:r w:rsidRPr="00D800C2">
        <w:rPr>
          <w:sz w:val="24"/>
          <w:szCs w:val="24"/>
        </w:rPr>
        <w:t xml:space="preserve">) perpendicularly over dorsum of the hand, middle of the medial border of foot and heal </w:t>
      </w:r>
    </w:p>
    <w:p w14:paraId="5094F3BB"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Ask the patient whether they are able to feel and instruct them to tell yes when they feel similar kind of sensation over leg</w:t>
      </w:r>
    </w:p>
    <w:p w14:paraId="7D573994"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Ask the patient to close their eyes</w:t>
      </w:r>
    </w:p>
    <w:p w14:paraId="1648CB25"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 xml:space="preserve">Place the monofilament over plantar aspect of ball of the great toe. </w:t>
      </w:r>
    </w:p>
    <w:p w14:paraId="01A5FEF8"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 xml:space="preserve">Keep the contact period for </w:t>
      </w:r>
      <w:proofErr w:type="spellStart"/>
      <w:r w:rsidRPr="00D800C2">
        <w:rPr>
          <w:sz w:val="24"/>
          <w:szCs w:val="24"/>
        </w:rPr>
        <w:t>atleast</w:t>
      </w:r>
      <w:proofErr w:type="spellEnd"/>
      <w:r w:rsidRPr="00D800C2">
        <w:rPr>
          <w:sz w:val="24"/>
          <w:szCs w:val="24"/>
        </w:rPr>
        <w:t xml:space="preserve"> 2 secs till it buckles </w:t>
      </w:r>
      <w:proofErr w:type="spellStart"/>
      <w:r w:rsidRPr="00D800C2">
        <w:rPr>
          <w:sz w:val="24"/>
          <w:szCs w:val="24"/>
        </w:rPr>
        <w:t>upto</w:t>
      </w:r>
      <w:proofErr w:type="spellEnd"/>
      <w:r w:rsidRPr="00D800C2">
        <w:rPr>
          <w:sz w:val="24"/>
          <w:szCs w:val="24"/>
        </w:rPr>
        <w:t xml:space="preserve"> 1cm</w:t>
      </w:r>
    </w:p>
    <w:p w14:paraId="5833303B" w14:textId="77777777" w:rsidR="00E62C2C" w:rsidRPr="00D800C2" w:rsidRDefault="00E62C2C" w:rsidP="00E62C2C">
      <w:pPr>
        <w:pStyle w:val="ListParagraph"/>
        <w:numPr>
          <w:ilvl w:val="0"/>
          <w:numId w:val="1"/>
        </w:numPr>
        <w:spacing w:line="360" w:lineRule="auto"/>
        <w:jc w:val="both"/>
        <w:rPr>
          <w:sz w:val="24"/>
          <w:szCs w:val="24"/>
        </w:rPr>
      </w:pPr>
      <w:proofErr w:type="spellStart"/>
      <w:r w:rsidRPr="00D800C2">
        <w:rPr>
          <w:sz w:val="24"/>
          <w:szCs w:val="24"/>
        </w:rPr>
        <w:t>It</w:t>
      </w:r>
      <w:proofErr w:type="spellEnd"/>
      <w:r w:rsidRPr="00D800C2">
        <w:rPr>
          <w:sz w:val="24"/>
          <w:szCs w:val="24"/>
        </w:rPr>
        <w:t xml:space="preserve"> the patient said yes mark in the foot diagram as present (P) over great toe otherwise mark it as absent (A)</w:t>
      </w:r>
    </w:p>
    <w:p w14:paraId="3ECE33DB" w14:textId="472C81E1" w:rsidR="00E62C2C" w:rsidRPr="00D24ABB" w:rsidRDefault="00E62C2C" w:rsidP="00E62C2C">
      <w:pPr>
        <w:pStyle w:val="ListParagraph"/>
        <w:numPr>
          <w:ilvl w:val="0"/>
          <w:numId w:val="1"/>
        </w:numPr>
        <w:spacing w:line="360" w:lineRule="auto"/>
        <w:jc w:val="both"/>
        <w:rPr>
          <w:sz w:val="24"/>
          <w:szCs w:val="24"/>
          <w:highlight w:val="yellow"/>
        </w:rPr>
      </w:pPr>
      <w:bookmarkStart w:id="0" w:name="_Hlk184654983"/>
      <w:r w:rsidRPr="00D24ABB">
        <w:rPr>
          <w:sz w:val="24"/>
          <w:szCs w:val="24"/>
          <w:highlight w:val="yellow"/>
        </w:rPr>
        <w:t xml:space="preserve">If for any reason the great toe was </w:t>
      </w:r>
      <w:r w:rsidR="001071C8" w:rsidRPr="00D24ABB">
        <w:rPr>
          <w:color w:val="FF0000"/>
          <w:sz w:val="24"/>
          <w:szCs w:val="24"/>
          <w:highlight w:val="yellow"/>
        </w:rPr>
        <w:t>not</w:t>
      </w:r>
      <w:r w:rsidR="001071C8" w:rsidRPr="00D24ABB">
        <w:rPr>
          <w:sz w:val="24"/>
          <w:szCs w:val="24"/>
          <w:highlight w:val="yellow"/>
        </w:rPr>
        <w:t xml:space="preserve"> </w:t>
      </w:r>
      <w:r w:rsidRPr="00D24ABB">
        <w:rPr>
          <w:sz w:val="24"/>
          <w:szCs w:val="24"/>
          <w:highlight w:val="yellow"/>
        </w:rPr>
        <w:t>tested mark it as not sure or not recorded (NR)</w:t>
      </w:r>
    </w:p>
    <w:bookmarkEnd w:id="0"/>
    <w:p w14:paraId="07A8377F"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Similarly place the monofilament over the other five areas in the plantar aspect of the foot: metatarsal heads of 1</w:t>
      </w:r>
      <w:r w:rsidRPr="00D800C2">
        <w:rPr>
          <w:sz w:val="24"/>
          <w:szCs w:val="24"/>
          <w:vertAlign w:val="superscript"/>
        </w:rPr>
        <w:t>st</w:t>
      </w:r>
      <w:r w:rsidRPr="00D800C2">
        <w:rPr>
          <w:sz w:val="24"/>
          <w:szCs w:val="24"/>
        </w:rPr>
        <w:t>, 3</w:t>
      </w:r>
      <w:r w:rsidRPr="00D800C2">
        <w:rPr>
          <w:sz w:val="24"/>
          <w:szCs w:val="24"/>
          <w:vertAlign w:val="superscript"/>
        </w:rPr>
        <w:t>rd</w:t>
      </w:r>
      <w:r w:rsidRPr="00D800C2">
        <w:rPr>
          <w:sz w:val="24"/>
          <w:szCs w:val="24"/>
        </w:rPr>
        <w:t xml:space="preserve"> and 5</w:t>
      </w:r>
      <w:r w:rsidRPr="00D800C2">
        <w:rPr>
          <w:sz w:val="24"/>
          <w:szCs w:val="24"/>
          <w:vertAlign w:val="superscript"/>
        </w:rPr>
        <w:t>th</w:t>
      </w:r>
      <w:r w:rsidRPr="00D800C2">
        <w:rPr>
          <w:sz w:val="24"/>
          <w:szCs w:val="24"/>
        </w:rPr>
        <w:t xml:space="preserve"> toes, middle of the medial border of foot and heal.</w:t>
      </w:r>
    </w:p>
    <w:p w14:paraId="5B65BBEE" w14:textId="77777777" w:rsidR="00E62C2C" w:rsidRPr="00D800C2" w:rsidRDefault="00E62C2C" w:rsidP="00E62C2C">
      <w:pPr>
        <w:pStyle w:val="ListParagraph"/>
        <w:numPr>
          <w:ilvl w:val="0"/>
          <w:numId w:val="1"/>
        </w:numPr>
        <w:spacing w:line="360" w:lineRule="auto"/>
        <w:jc w:val="both"/>
        <w:rPr>
          <w:sz w:val="24"/>
          <w:szCs w:val="24"/>
        </w:rPr>
      </w:pPr>
      <w:r w:rsidRPr="00D800C2">
        <w:rPr>
          <w:sz w:val="24"/>
          <w:szCs w:val="24"/>
        </w:rPr>
        <w:t>Mark these areas according to instructions mentioned for the great toe.</w:t>
      </w:r>
    </w:p>
    <w:p w14:paraId="68E78D86" w14:textId="77777777" w:rsidR="00E62C2C" w:rsidRPr="00D800C2" w:rsidRDefault="00E62C2C" w:rsidP="00E62C2C">
      <w:pPr>
        <w:pStyle w:val="ListParagraph"/>
        <w:spacing w:line="360" w:lineRule="auto"/>
        <w:jc w:val="both"/>
        <w:rPr>
          <w:sz w:val="24"/>
          <w:szCs w:val="24"/>
        </w:rPr>
      </w:pPr>
    </w:p>
    <w:p w14:paraId="162D3562" w14:textId="77777777" w:rsidR="00E62C2C" w:rsidRPr="00D800C2" w:rsidRDefault="00E62C2C" w:rsidP="00E62C2C">
      <w:pPr>
        <w:pStyle w:val="ListParagraph"/>
        <w:spacing w:line="360" w:lineRule="auto"/>
        <w:jc w:val="both"/>
        <w:rPr>
          <w:b/>
          <w:bCs/>
          <w:sz w:val="24"/>
          <w:szCs w:val="24"/>
        </w:rPr>
      </w:pPr>
      <w:r w:rsidRPr="00D800C2">
        <w:rPr>
          <w:b/>
          <w:bCs/>
          <w:sz w:val="24"/>
          <w:szCs w:val="24"/>
        </w:rPr>
        <w:t>Classifying the state of at-risk foot for diabetic peripheral neuropathy using monofilament test:</w:t>
      </w:r>
    </w:p>
    <w:p w14:paraId="5F65B310" w14:textId="77777777" w:rsidR="00E62C2C" w:rsidRPr="00D800C2" w:rsidRDefault="00E62C2C" w:rsidP="00E62C2C">
      <w:pPr>
        <w:pStyle w:val="ListParagraph"/>
        <w:spacing w:line="360" w:lineRule="auto"/>
        <w:jc w:val="both"/>
        <w:rPr>
          <w:sz w:val="24"/>
          <w:szCs w:val="24"/>
        </w:rPr>
      </w:pPr>
    </w:p>
    <w:p w14:paraId="5B934B12" w14:textId="77777777" w:rsidR="00E62C2C" w:rsidRPr="00D800C2" w:rsidRDefault="00E62C2C" w:rsidP="00E62C2C">
      <w:pPr>
        <w:pStyle w:val="ListParagraph"/>
        <w:numPr>
          <w:ilvl w:val="0"/>
          <w:numId w:val="2"/>
        </w:numPr>
        <w:spacing w:line="360" w:lineRule="auto"/>
        <w:jc w:val="both"/>
        <w:rPr>
          <w:sz w:val="24"/>
          <w:szCs w:val="24"/>
        </w:rPr>
      </w:pPr>
      <w:r w:rsidRPr="00D800C2">
        <w:rPr>
          <w:sz w:val="24"/>
          <w:szCs w:val="24"/>
        </w:rPr>
        <w:t>Assign score of 1 for each area if the patient is able to feel the sensation of monofilament</w:t>
      </w:r>
    </w:p>
    <w:p w14:paraId="3CB3DEB6" w14:textId="77777777" w:rsidR="00E62C2C" w:rsidRPr="00D800C2" w:rsidRDefault="00E62C2C" w:rsidP="00E62C2C">
      <w:pPr>
        <w:pStyle w:val="ListParagraph"/>
        <w:numPr>
          <w:ilvl w:val="0"/>
          <w:numId w:val="2"/>
        </w:numPr>
        <w:spacing w:line="360" w:lineRule="auto"/>
        <w:jc w:val="both"/>
        <w:rPr>
          <w:sz w:val="24"/>
          <w:szCs w:val="24"/>
        </w:rPr>
      </w:pPr>
      <w:r w:rsidRPr="00D800C2">
        <w:rPr>
          <w:sz w:val="24"/>
          <w:szCs w:val="24"/>
        </w:rPr>
        <w:lastRenderedPageBreak/>
        <w:t xml:space="preserve">Derive the cumulative score for each leg separately </w:t>
      </w:r>
    </w:p>
    <w:p w14:paraId="5B73B88B" w14:textId="77777777" w:rsidR="00E62C2C" w:rsidRPr="00D800C2" w:rsidRDefault="00E62C2C" w:rsidP="00E62C2C">
      <w:pPr>
        <w:pStyle w:val="ListParagraph"/>
        <w:numPr>
          <w:ilvl w:val="0"/>
          <w:numId w:val="2"/>
        </w:numPr>
        <w:spacing w:line="360" w:lineRule="auto"/>
        <w:jc w:val="both"/>
        <w:rPr>
          <w:sz w:val="24"/>
          <w:szCs w:val="24"/>
        </w:rPr>
      </w:pPr>
      <w:r w:rsidRPr="00D800C2">
        <w:rPr>
          <w:sz w:val="24"/>
          <w:szCs w:val="24"/>
        </w:rPr>
        <w:t>If the total score is less than or equal to 4 in a foot it is defined as DPN present hence the foot is considered as ‘at risk’.</w:t>
      </w:r>
    </w:p>
    <w:p w14:paraId="017B90D4" w14:textId="77777777" w:rsidR="00E62C2C" w:rsidRPr="00D800C2" w:rsidRDefault="00E62C2C" w:rsidP="00E62C2C">
      <w:pPr>
        <w:pStyle w:val="ListParagraph"/>
        <w:spacing w:line="360" w:lineRule="auto"/>
        <w:ind w:left="1080"/>
        <w:jc w:val="both"/>
        <w:rPr>
          <w:sz w:val="24"/>
          <w:szCs w:val="24"/>
        </w:rPr>
      </w:pPr>
      <w:r w:rsidRPr="00D800C2">
        <w:rPr>
          <w:sz w:val="24"/>
          <w:szCs w:val="24"/>
        </w:rPr>
        <w:t>In other words, if the patient is not able to feel the sensation in two or more points in one leg it was classified as DPN present.</w:t>
      </w:r>
    </w:p>
    <w:p w14:paraId="7C6FD0CE" w14:textId="77777777" w:rsidR="00E62C2C" w:rsidRDefault="00E62C2C" w:rsidP="00E62C2C">
      <w:pPr>
        <w:pStyle w:val="ListParagraph"/>
        <w:numPr>
          <w:ilvl w:val="0"/>
          <w:numId w:val="2"/>
        </w:numPr>
        <w:spacing w:line="360" w:lineRule="auto"/>
        <w:jc w:val="both"/>
        <w:rPr>
          <w:sz w:val="24"/>
          <w:szCs w:val="24"/>
        </w:rPr>
      </w:pPr>
      <w:r w:rsidRPr="00D800C2">
        <w:rPr>
          <w:sz w:val="24"/>
          <w:szCs w:val="24"/>
        </w:rPr>
        <w:t xml:space="preserve">Considering the nature of symmetric poly neuropathy in patients with diabetes, if there are signs of DPN in one leg it was considered as overall DPN present (based on monofilament) </w:t>
      </w:r>
    </w:p>
    <w:p w14:paraId="09F29B73" w14:textId="5C0377FD" w:rsidR="00282927" w:rsidRPr="00D24ABB" w:rsidRDefault="00282927" w:rsidP="00E62C2C">
      <w:pPr>
        <w:pStyle w:val="ListParagraph"/>
        <w:numPr>
          <w:ilvl w:val="0"/>
          <w:numId w:val="2"/>
        </w:numPr>
        <w:spacing w:line="360" w:lineRule="auto"/>
        <w:jc w:val="both"/>
        <w:rPr>
          <w:sz w:val="24"/>
          <w:szCs w:val="24"/>
          <w:highlight w:val="yellow"/>
        </w:rPr>
      </w:pPr>
      <w:r w:rsidRPr="00D24ABB">
        <w:rPr>
          <w:sz w:val="24"/>
          <w:szCs w:val="24"/>
          <w:highlight w:val="yellow"/>
        </w:rPr>
        <w:t>If more than one site is not recognized by the patient, it should be marked as positive to be conservative irrespective of the number of sites tested.  </w:t>
      </w:r>
    </w:p>
    <w:p w14:paraId="3B1EF538" w14:textId="115A4056" w:rsidR="00240629" w:rsidRPr="00240629" w:rsidRDefault="00240629" w:rsidP="00240629">
      <w:pPr>
        <w:spacing w:line="360" w:lineRule="auto"/>
        <w:jc w:val="both"/>
        <w:rPr>
          <w:sz w:val="24"/>
          <w:szCs w:val="24"/>
        </w:rPr>
      </w:pPr>
      <w:r w:rsidRPr="00240629">
        <w:rPr>
          <w:noProof/>
          <w:sz w:val="24"/>
          <w:szCs w:val="24"/>
        </w:rPr>
        <w:drawing>
          <wp:inline distT="0" distB="0" distL="0" distR="0" wp14:anchorId="4E62E3FB" wp14:editId="3C501FCA">
            <wp:extent cx="5731510" cy="5766435"/>
            <wp:effectExtent l="0" t="0" r="2540" b="5715"/>
            <wp:docPr id="208521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18400" name=""/>
                    <pic:cNvPicPr/>
                  </pic:nvPicPr>
                  <pic:blipFill>
                    <a:blip r:embed="rId5"/>
                    <a:stretch>
                      <a:fillRect/>
                    </a:stretch>
                  </pic:blipFill>
                  <pic:spPr>
                    <a:xfrm>
                      <a:off x="0" y="0"/>
                      <a:ext cx="5731510" cy="5766435"/>
                    </a:xfrm>
                    <a:prstGeom prst="rect">
                      <a:avLst/>
                    </a:prstGeom>
                  </pic:spPr>
                </pic:pic>
              </a:graphicData>
            </a:graphic>
          </wp:inline>
        </w:drawing>
      </w:r>
    </w:p>
    <w:p w14:paraId="68AA6D17" w14:textId="77777777" w:rsidR="00E62C2C" w:rsidRPr="00D800C2" w:rsidRDefault="00E62C2C" w:rsidP="00E62C2C">
      <w:pPr>
        <w:spacing w:line="360" w:lineRule="auto"/>
        <w:jc w:val="both"/>
        <w:rPr>
          <w:b/>
          <w:bCs/>
          <w:color w:val="C00000"/>
          <w:sz w:val="24"/>
          <w:szCs w:val="24"/>
        </w:rPr>
      </w:pPr>
    </w:p>
    <w:p w14:paraId="022801C3" w14:textId="77777777" w:rsidR="00240629" w:rsidRDefault="00240629" w:rsidP="00E62C2C">
      <w:pPr>
        <w:spacing w:line="360" w:lineRule="auto"/>
        <w:jc w:val="both"/>
        <w:rPr>
          <w:b/>
          <w:bCs/>
          <w:color w:val="C00000"/>
          <w:sz w:val="24"/>
          <w:szCs w:val="24"/>
        </w:rPr>
      </w:pPr>
    </w:p>
    <w:p w14:paraId="6D27F347" w14:textId="68E05BA0" w:rsidR="00E62C2C" w:rsidRPr="00D800C2" w:rsidRDefault="00E62C2C" w:rsidP="00E62C2C">
      <w:pPr>
        <w:spacing w:line="360" w:lineRule="auto"/>
        <w:jc w:val="both"/>
        <w:rPr>
          <w:b/>
          <w:bCs/>
          <w:color w:val="C00000"/>
          <w:sz w:val="24"/>
          <w:szCs w:val="24"/>
        </w:rPr>
      </w:pPr>
      <w:r w:rsidRPr="00D800C2">
        <w:rPr>
          <w:b/>
          <w:bCs/>
          <w:color w:val="C00000"/>
          <w:sz w:val="24"/>
          <w:szCs w:val="24"/>
        </w:rPr>
        <w:t xml:space="preserve">Performance of </w:t>
      </w:r>
      <w:proofErr w:type="spellStart"/>
      <w:r w:rsidRPr="00D800C2">
        <w:rPr>
          <w:b/>
          <w:bCs/>
          <w:color w:val="C00000"/>
          <w:sz w:val="24"/>
          <w:szCs w:val="24"/>
        </w:rPr>
        <w:t>Biothesiometry</w:t>
      </w:r>
      <w:proofErr w:type="spellEnd"/>
      <w:r w:rsidRPr="00D800C2">
        <w:rPr>
          <w:b/>
          <w:bCs/>
          <w:color w:val="C00000"/>
          <w:sz w:val="24"/>
          <w:szCs w:val="24"/>
        </w:rPr>
        <w:t xml:space="preserve"> test: </w:t>
      </w:r>
    </w:p>
    <w:p w14:paraId="30ACE886" w14:textId="77777777" w:rsidR="00E62C2C" w:rsidRPr="00D800C2" w:rsidRDefault="00E62C2C" w:rsidP="00E62C2C">
      <w:pPr>
        <w:spacing w:line="360" w:lineRule="auto"/>
        <w:jc w:val="both"/>
        <w:rPr>
          <w:b/>
          <w:sz w:val="24"/>
          <w:szCs w:val="24"/>
        </w:rPr>
      </w:pPr>
      <w:proofErr w:type="gramStart"/>
      <w:r w:rsidRPr="00D800C2">
        <w:rPr>
          <w:b/>
          <w:sz w:val="24"/>
          <w:szCs w:val="24"/>
        </w:rPr>
        <w:t>1.2  Assessment</w:t>
      </w:r>
      <w:proofErr w:type="gramEnd"/>
      <w:r w:rsidRPr="00D800C2">
        <w:rPr>
          <w:b/>
          <w:sz w:val="24"/>
          <w:szCs w:val="24"/>
        </w:rPr>
        <w:t xml:space="preserve"> of diabetic neuropathy based on </w:t>
      </w:r>
      <w:proofErr w:type="spellStart"/>
      <w:r w:rsidRPr="00D800C2">
        <w:rPr>
          <w:b/>
          <w:sz w:val="24"/>
          <w:szCs w:val="24"/>
        </w:rPr>
        <w:t>biothesiometry</w:t>
      </w:r>
      <w:proofErr w:type="spellEnd"/>
      <w:r w:rsidRPr="00D800C2">
        <w:rPr>
          <w:b/>
          <w:sz w:val="24"/>
          <w:szCs w:val="24"/>
        </w:rPr>
        <w:t>:</w:t>
      </w:r>
    </w:p>
    <w:p w14:paraId="74612EB9" w14:textId="77777777" w:rsidR="00E62C2C" w:rsidRPr="00D800C2" w:rsidRDefault="00E62C2C" w:rsidP="00E62C2C">
      <w:pPr>
        <w:spacing w:line="360" w:lineRule="auto"/>
        <w:jc w:val="both"/>
        <w:rPr>
          <w:sz w:val="24"/>
          <w:szCs w:val="24"/>
        </w:rPr>
      </w:pPr>
      <w:r w:rsidRPr="00D800C2">
        <w:rPr>
          <w:sz w:val="24"/>
          <w:szCs w:val="24"/>
        </w:rPr>
        <w:t xml:space="preserve">Patients were instructed to close the eye during the assessment for legs. Before this they were sensitized to understand the </w:t>
      </w:r>
      <w:proofErr w:type="gramStart"/>
      <w:r w:rsidRPr="00D800C2">
        <w:rPr>
          <w:sz w:val="24"/>
          <w:szCs w:val="24"/>
        </w:rPr>
        <w:t>vibratory  sensation</w:t>
      </w:r>
      <w:proofErr w:type="gramEnd"/>
      <w:r w:rsidRPr="00D800C2">
        <w:rPr>
          <w:sz w:val="24"/>
          <w:szCs w:val="24"/>
        </w:rPr>
        <w:t xml:space="preserve"> by placing the probe over the bony prominence in hands. Once it was ensured that they know how to respond when they feel the vibratory sensation over various sites in legs the actual assessment was done. It was ensured whether the patient was able to differentiate the vibratory from pressure sensation. The assessment was </w:t>
      </w:r>
      <w:proofErr w:type="gramStart"/>
      <w:r w:rsidRPr="00D800C2">
        <w:rPr>
          <w:sz w:val="24"/>
          <w:szCs w:val="24"/>
        </w:rPr>
        <w:t>done  at</w:t>
      </w:r>
      <w:proofErr w:type="gramEnd"/>
      <w:r w:rsidRPr="00D800C2">
        <w:rPr>
          <w:sz w:val="24"/>
          <w:szCs w:val="24"/>
        </w:rPr>
        <w:t xml:space="preserve"> six places over plantar aspects of legs namely ball of the great toes, meta tarsal head of first, third, fifth toe,  middle of the medial border of foot and heal. </w:t>
      </w:r>
    </w:p>
    <w:p w14:paraId="4F4A6B70" w14:textId="77777777" w:rsidR="00E62C2C" w:rsidRPr="00D800C2" w:rsidRDefault="00E62C2C" w:rsidP="00E62C2C">
      <w:pPr>
        <w:spacing w:line="360" w:lineRule="auto"/>
        <w:jc w:val="both"/>
        <w:rPr>
          <w:sz w:val="24"/>
          <w:szCs w:val="24"/>
        </w:rPr>
      </w:pPr>
      <w:r w:rsidRPr="00D800C2">
        <w:rPr>
          <w:sz w:val="24"/>
          <w:szCs w:val="24"/>
        </w:rPr>
        <w:t xml:space="preserve">In the leg the starting vibratory threshold was set with the vibratory sensation threshold perceived over the hands. From there it was gradually </w:t>
      </w:r>
      <w:proofErr w:type="gramStart"/>
      <w:r w:rsidRPr="00D800C2">
        <w:rPr>
          <w:sz w:val="24"/>
          <w:szCs w:val="24"/>
        </w:rPr>
        <w:t>increased  till</w:t>
      </w:r>
      <w:proofErr w:type="gramEnd"/>
      <w:r w:rsidRPr="00D800C2">
        <w:rPr>
          <w:sz w:val="24"/>
          <w:szCs w:val="24"/>
        </w:rPr>
        <w:t xml:space="preserve"> the patient expressed they could feel the vibratory sensation. To confirm the threshold level, again the vibration levels were reduced to see whether patient is able to feel the vibratory sensation even at the lower threshold level. In each area the vibratory threshold shown in the screen of </w:t>
      </w:r>
      <w:proofErr w:type="spellStart"/>
      <w:r w:rsidRPr="00D800C2">
        <w:rPr>
          <w:sz w:val="24"/>
          <w:szCs w:val="24"/>
        </w:rPr>
        <w:t>biothesiometry</w:t>
      </w:r>
      <w:proofErr w:type="spellEnd"/>
      <w:r w:rsidRPr="00D800C2">
        <w:rPr>
          <w:sz w:val="24"/>
          <w:szCs w:val="24"/>
        </w:rPr>
        <w:t xml:space="preserve"> was noted.</w:t>
      </w:r>
    </w:p>
    <w:p w14:paraId="750887D1" w14:textId="733ECD6A" w:rsidR="00E62C2C" w:rsidRDefault="00E62C2C" w:rsidP="00E62C2C">
      <w:pPr>
        <w:spacing w:line="360" w:lineRule="auto"/>
        <w:jc w:val="both"/>
        <w:rPr>
          <w:sz w:val="24"/>
          <w:szCs w:val="24"/>
        </w:rPr>
      </w:pPr>
      <w:r w:rsidRPr="00D800C2">
        <w:rPr>
          <w:sz w:val="24"/>
          <w:szCs w:val="24"/>
        </w:rPr>
        <w:t xml:space="preserve">Average score of vibratory </w:t>
      </w:r>
      <w:proofErr w:type="gramStart"/>
      <w:r w:rsidRPr="00D800C2">
        <w:rPr>
          <w:sz w:val="24"/>
          <w:szCs w:val="24"/>
        </w:rPr>
        <w:t>threshold</w:t>
      </w:r>
      <w:proofErr w:type="gramEnd"/>
      <w:r w:rsidRPr="00D800C2">
        <w:rPr>
          <w:sz w:val="24"/>
          <w:szCs w:val="24"/>
        </w:rPr>
        <w:t xml:space="preserve"> was calculated for each leg (cumulative score/6 or number of sites tested). In case any of the site was not assessed for </w:t>
      </w:r>
      <w:proofErr w:type="spellStart"/>
      <w:r w:rsidRPr="00D800C2">
        <w:rPr>
          <w:sz w:val="24"/>
          <w:szCs w:val="24"/>
        </w:rPr>
        <w:t>biothesiometry</w:t>
      </w:r>
      <w:proofErr w:type="spellEnd"/>
      <w:r w:rsidRPr="00D800C2">
        <w:rPr>
          <w:sz w:val="24"/>
          <w:szCs w:val="24"/>
        </w:rPr>
        <w:t xml:space="preserve"> average score was estimated based on number of sites tested. Signs of neuropathy was classified based on the following categories as specified by the manufacturers.</w:t>
      </w:r>
      <w:r w:rsidR="001071C8">
        <w:rPr>
          <w:sz w:val="24"/>
          <w:szCs w:val="24"/>
        </w:rPr>
        <w:t xml:space="preserve"> </w:t>
      </w:r>
    </w:p>
    <w:p w14:paraId="11286024" w14:textId="77777777" w:rsidR="00117746" w:rsidRPr="00D24ABB" w:rsidRDefault="00117746" w:rsidP="00117746">
      <w:pPr>
        <w:spacing w:line="360" w:lineRule="auto"/>
        <w:jc w:val="both"/>
        <w:rPr>
          <w:sz w:val="22"/>
          <w:szCs w:val="22"/>
          <w:highlight w:val="yellow"/>
        </w:rPr>
      </w:pPr>
      <w:r w:rsidRPr="00D24ABB">
        <w:rPr>
          <w:sz w:val="22"/>
          <w:szCs w:val="22"/>
          <w:highlight w:val="yellow"/>
        </w:rPr>
        <w:t>Less than 15- Normal</w:t>
      </w:r>
    </w:p>
    <w:p w14:paraId="54FD0272" w14:textId="77777777" w:rsidR="00117746" w:rsidRPr="00D24ABB" w:rsidRDefault="00117746" w:rsidP="00117746">
      <w:pPr>
        <w:spacing w:line="360" w:lineRule="auto"/>
        <w:jc w:val="both"/>
        <w:rPr>
          <w:sz w:val="22"/>
          <w:szCs w:val="22"/>
          <w:highlight w:val="yellow"/>
        </w:rPr>
      </w:pPr>
      <w:r w:rsidRPr="00D24ABB">
        <w:rPr>
          <w:sz w:val="22"/>
          <w:szCs w:val="22"/>
          <w:highlight w:val="yellow"/>
        </w:rPr>
        <w:t>15-18-Mild</w:t>
      </w:r>
    </w:p>
    <w:p w14:paraId="0953A031" w14:textId="77777777" w:rsidR="00117746" w:rsidRPr="00D24ABB" w:rsidRDefault="00117746" w:rsidP="00117746">
      <w:pPr>
        <w:spacing w:line="360" w:lineRule="auto"/>
        <w:jc w:val="both"/>
        <w:rPr>
          <w:sz w:val="22"/>
          <w:szCs w:val="22"/>
          <w:highlight w:val="yellow"/>
        </w:rPr>
      </w:pPr>
      <w:r w:rsidRPr="00D24ABB">
        <w:rPr>
          <w:sz w:val="22"/>
          <w:szCs w:val="22"/>
          <w:highlight w:val="yellow"/>
        </w:rPr>
        <w:t>18-25-Moderate</w:t>
      </w:r>
    </w:p>
    <w:p w14:paraId="683523EE" w14:textId="77777777" w:rsidR="00117746" w:rsidRPr="00D24ABB" w:rsidRDefault="00117746" w:rsidP="00117746">
      <w:pPr>
        <w:spacing w:line="360" w:lineRule="auto"/>
        <w:jc w:val="both"/>
        <w:rPr>
          <w:sz w:val="22"/>
          <w:szCs w:val="22"/>
          <w:highlight w:val="yellow"/>
        </w:rPr>
      </w:pPr>
      <w:r w:rsidRPr="00D24ABB">
        <w:rPr>
          <w:sz w:val="22"/>
          <w:szCs w:val="22"/>
          <w:highlight w:val="yellow"/>
        </w:rPr>
        <w:t>&gt;25-severe</w:t>
      </w:r>
    </w:p>
    <w:p w14:paraId="6F6502C6" w14:textId="77777777" w:rsidR="00117746" w:rsidRPr="00D24ABB" w:rsidRDefault="00117746" w:rsidP="00E62C2C">
      <w:pPr>
        <w:spacing w:line="360" w:lineRule="auto"/>
        <w:jc w:val="both"/>
        <w:rPr>
          <w:sz w:val="24"/>
          <w:szCs w:val="24"/>
          <w:highlight w:val="yellow"/>
        </w:rPr>
      </w:pPr>
    </w:p>
    <w:p w14:paraId="2B0CC080" w14:textId="02632C6E" w:rsidR="00117746" w:rsidRDefault="00117746" w:rsidP="00E62C2C">
      <w:pPr>
        <w:spacing w:line="360" w:lineRule="auto"/>
        <w:jc w:val="both"/>
        <w:rPr>
          <w:sz w:val="24"/>
          <w:szCs w:val="24"/>
        </w:rPr>
      </w:pPr>
      <w:r w:rsidRPr="00D24ABB">
        <w:rPr>
          <w:sz w:val="24"/>
          <w:szCs w:val="24"/>
          <w:highlight w:val="yellow"/>
        </w:rPr>
        <w:t>For the study purpose of estimating diagnostic accuracy, mild, moderate and severe categories are considered as abnormal.</w:t>
      </w:r>
    </w:p>
    <w:p w14:paraId="0A364E50" w14:textId="77777777" w:rsidR="001071C8" w:rsidRPr="00D800C2" w:rsidRDefault="001071C8" w:rsidP="00E62C2C">
      <w:pPr>
        <w:spacing w:line="360" w:lineRule="auto"/>
        <w:jc w:val="both"/>
        <w:rPr>
          <w:sz w:val="24"/>
          <w:szCs w:val="24"/>
        </w:rPr>
      </w:pPr>
    </w:p>
    <w:p w14:paraId="634F5EDA" w14:textId="77777777" w:rsidR="00E62C2C" w:rsidRDefault="00E62C2C" w:rsidP="00E62C2C">
      <w:pPr>
        <w:spacing w:line="360" w:lineRule="auto"/>
        <w:jc w:val="both"/>
        <w:rPr>
          <w:sz w:val="24"/>
          <w:szCs w:val="24"/>
        </w:rPr>
      </w:pPr>
    </w:p>
    <w:p w14:paraId="1EA11938" w14:textId="159C5D77" w:rsidR="00E62C2C" w:rsidRDefault="00240629">
      <w:r w:rsidRPr="00240629">
        <w:rPr>
          <w:noProof/>
        </w:rPr>
        <w:lastRenderedPageBreak/>
        <w:drawing>
          <wp:inline distT="0" distB="0" distL="0" distR="0" wp14:anchorId="2ABA5EF8" wp14:editId="4C94C803">
            <wp:extent cx="5731510" cy="5915660"/>
            <wp:effectExtent l="0" t="0" r="2540" b="8890"/>
            <wp:docPr id="1546484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84141" name=""/>
                    <pic:cNvPicPr/>
                  </pic:nvPicPr>
                  <pic:blipFill>
                    <a:blip r:embed="rId6"/>
                    <a:stretch>
                      <a:fillRect/>
                    </a:stretch>
                  </pic:blipFill>
                  <pic:spPr>
                    <a:xfrm>
                      <a:off x="0" y="0"/>
                      <a:ext cx="5731510" cy="5915660"/>
                    </a:xfrm>
                    <a:prstGeom prst="rect">
                      <a:avLst/>
                    </a:prstGeom>
                  </pic:spPr>
                </pic:pic>
              </a:graphicData>
            </a:graphic>
          </wp:inline>
        </w:drawing>
      </w:r>
    </w:p>
    <w:p w14:paraId="37C693BA" w14:textId="77777777" w:rsidR="00E62C2C" w:rsidRDefault="00E62C2C"/>
    <w:p w14:paraId="15E5584B" w14:textId="77777777" w:rsidR="00E62C2C" w:rsidRDefault="00E62C2C"/>
    <w:p w14:paraId="66FBC439" w14:textId="77777777" w:rsidR="00C5070D" w:rsidRDefault="00C5070D">
      <w:pPr>
        <w:rPr>
          <w:sz w:val="24"/>
          <w:szCs w:val="24"/>
        </w:rPr>
      </w:pPr>
    </w:p>
    <w:p w14:paraId="7D810850" w14:textId="77777777" w:rsidR="001E6EA3" w:rsidRDefault="001E6EA3">
      <w:pPr>
        <w:rPr>
          <w:sz w:val="24"/>
          <w:szCs w:val="24"/>
        </w:rPr>
      </w:pPr>
    </w:p>
    <w:p w14:paraId="6EB98153" w14:textId="77777777" w:rsidR="001E6EA3" w:rsidRDefault="001E6EA3">
      <w:pPr>
        <w:rPr>
          <w:sz w:val="24"/>
          <w:szCs w:val="24"/>
        </w:rPr>
      </w:pPr>
    </w:p>
    <w:p w14:paraId="5871C0B4" w14:textId="77777777" w:rsidR="001E6EA3" w:rsidRDefault="001E6EA3">
      <w:pPr>
        <w:rPr>
          <w:sz w:val="24"/>
          <w:szCs w:val="24"/>
        </w:rPr>
      </w:pPr>
    </w:p>
    <w:p w14:paraId="11338A7A" w14:textId="77777777" w:rsidR="001E6EA3" w:rsidRDefault="001E6EA3">
      <w:pPr>
        <w:rPr>
          <w:sz w:val="24"/>
          <w:szCs w:val="24"/>
        </w:rPr>
      </w:pPr>
    </w:p>
    <w:p w14:paraId="11785EC3" w14:textId="77777777" w:rsidR="001E6EA3" w:rsidRDefault="001E6EA3">
      <w:pPr>
        <w:rPr>
          <w:sz w:val="24"/>
          <w:szCs w:val="24"/>
        </w:rPr>
      </w:pPr>
    </w:p>
    <w:p w14:paraId="68CDAFE6" w14:textId="77777777" w:rsidR="001E6EA3" w:rsidRDefault="001E6EA3">
      <w:pPr>
        <w:rPr>
          <w:sz w:val="24"/>
          <w:szCs w:val="24"/>
        </w:rPr>
      </w:pPr>
    </w:p>
    <w:p w14:paraId="3A78F506" w14:textId="77777777" w:rsidR="001E6EA3" w:rsidRDefault="001E6EA3">
      <w:pPr>
        <w:rPr>
          <w:sz w:val="24"/>
          <w:szCs w:val="24"/>
        </w:rPr>
      </w:pPr>
    </w:p>
    <w:p w14:paraId="769CFA11" w14:textId="77777777" w:rsidR="001E6EA3" w:rsidRDefault="001E6EA3">
      <w:pPr>
        <w:rPr>
          <w:sz w:val="24"/>
          <w:szCs w:val="24"/>
        </w:rPr>
      </w:pPr>
    </w:p>
    <w:p w14:paraId="4B72545D" w14:textId="77777777" w:rsidR="001E6EA3" w:rsidRDefault="001E6EA3">
      <w:pPr>
        <w:rPr>
          <w:sz w:val="24"/>
          <w:szCs w:val="24"/>
        </w:rPr>
      </w:pPr>
    </w:p>
    <w:p w14:paraId="41C51F09" w14:textId="77777777" w:rsidR="001E6EA3" w:rsidRDefault="001E6EA3">
      <w:pPr>
        <w:rPr>
          <w:sz w:val="24"/>
          <w:szCs w:val="24"/>
        </w:rPr>
      </w:pPr>
    </w:p>
    <w:p w14:paraId="554BFAAC" w14:textId="77777777" w:rsidR="001E6EA3" w:rsidRDefault="001E6EA3">
      <w:pPr>
        <w:rPr>
          <w:sz w:val="24"/>
          <w:szCs w:val="24"/>
        </w:rPr>
      </w:pPr>
    </w:p>
    <w:p w14:paraId="4DA14337" w14:textId="77777777" w:rsidR="001E6EA3" w:rsidRDefault="001E6EA3">
      <w:pPr>
        <w:rPr>
          <w:sz w:val="24"/>
          <w:szCs w:val="24"/>
        </w:rPr>
      </w:pPr>
    </w:p>
    <w:p w14:paraId="13CFAEE5" w14:textId="77777777" w:rsidR="001E6EA3" w:rsidRDefault="001E6EA3">
      <w:pPr>
        <w:rPr>
          <w:sz w:val="24"/>
          <w:szCs w:val="24"/>
        </w:rPr>
      </w:pPr>
    </w:p>
    <w:p w14:paraId="16EA2903" w14:textId="77777777" w:rsidR="00C5070D" w:rsidRPr="001E6EA3" w:rsidRDefault="00C5070D">
      <w:pPr>
        <w:rPr>
          <w:b/>
          <w:bCs/>
          <w:sz w:val="24"/>
          <w:szCs w:val="24"/>
        </w:rPr>
      </w:pPr>
    </w:p>
    <w:p w14:paraId="584B1C87" w14:textId="77777777" w:rsidR="001E6EA3" w:rsidRPr="00D24ABB" w:rsidRDefault="001E6EA3">
      <w:pPr>
        <w:rPr>
          <w:b/>
          <w:bCs/>
          <w:sz w:val="24"/>
          <w:szCs w:val="24"/>
          <w:highlight w:val="yellow"/>
        </w:rPr>
      </w:pPr>
      <w:r w:rsidRPr="00D24ABB">
        <w:rPr>
          <w:b/>
          <w:bCs/>
          <w:sz w:val="24"/>
          <w:szCs w:val="24"/>
          <w:highlight w:val="yellow"/>
        </w:rPr>
        <w:lastRenderedPageBreak/>
        <w:t>Patient level Preparatory Steps for NCS</w:t>
      </w:r>
    </w:p>
    <w:p w14:paraId="574DAF9D" w14:textId="0BA51CB6" w:rsidR="00C5070D" w:rsidRDefault="001E6EA3" w:rsidP="001E6EA3">
      <w:pPr>
        <w:spacing w:line="360" w:lineRule="auto"/>
        <w:rPr>
          <w:sz w:val="24"/>
          <w:szCs w:val="24"/>
        </w:rPr>
      </w:pPr>
      <w:r w:rsidRPr="00D24ABB">
        <w:rPr>
          <w:sz w:val="24"/>
          <w:szCs w:val="24"/>
          <w:highlight w:val="yellow"/>
        </w:rPr>
        <w:br/>
        <w:t>Patients scheduled for the NCS were provided with prior appointments and given specific instructions to ensure accurate test results. They were advised to wear loose-fitting clothing for comfort and ease of access to the nerve &amp; muscle sites. Patients were also instructed to refrain from applying oil or lotion on their skin on the test day to avoid interference with electrode placement and signal acquisition. The studies were conducted in a dedicated electrodiagnostic room, where the ambient temperature was carefully maintained between 24–28°C, with a humidity level of 40–50%. Before initiating the procedure, patients were asked if they felt cold, or if their extremities appeared cold to the touch. In such cases, the room temperature was adjusted to ensure that the extremities’ surface temperature exceeded 32°C, facilitating the recording of accurate conduction velocity and amplitudes.</w:t>
      </w:r>
    </w:p>
    <w:p w14:paraId="57E766BD" w14:textId="77777777" w:rsidR="00C5070D" w:rsidRDefault="00C5070D" w:rsidP="001E6EA3">
      <w:pPr>
        <w:spacing w:line="360" w:lineRule="auto"/>
        <w:rPr>
          <w:sz w:val="24"/>
          <w:szCs w:val="24"/>
        </w:rPr>
      </w:pPr>
    </w:p>
    <w:p w14:paraId="0E688655" w14:textId="77777777" w:rsidR="00C5070D" w:rsidRDefault="00C5070D">
      <w:pPr>
        <w:rPr>
          <w:sz w:val="24"/>
          <w:szCs w:val="24"/>
        </w:rPr>
      </w:pPr>
    </w:p>
    <w:p w14:paraId="324194D7" w14:textId="77777777" w:rsidR="00C5070D" w:rsidRDefault="00C5070D">
      <w:pPr>
        <w:rPr>
          <w:sz w:val="24"/>
          <w:szCs w:val="24"/>
        </w:rPr>
      </w:pPr>
    </w:p>
    <w:p w14:paraId="740BB6C9" w14:textId="77777777" w:rsidR="00C5070D" w:rsidRDefault="00C5070D">
      <w:pPr>
        <w:rPr>
          <w:sz w:val="24"/>
          <w:szCs w:val="24"/>
        </w:rPr>
      </w:pPr>
    </w:p>
    <w:p w14:paraId="6B6576D6" w14:textId="77777777" w:rsidR="00C5070D" w:rsidRDefault="00C5070D">
      <w:pPr>
        <w:rPr>
          <w:sz w:val="24"/>
          <w:szCs w:val="24"/>
        </w:rPr>
      </w:pPr>
    </w:p>
    <w:p w14:paraId="6CEFB5E0" w14:textId="77777777" w:rsidR="00C5070D" w:rsidRDefault="00C5070D">
      <w:pPr>
        <w:rPr>
          <w:sz w:val="24"/>
          <w:szCs w:val="24"/>
        </w:rPr>
      </w:pPr>
    </w:p>
    <w:p w14:paraId="7066E9B7" w14:textId="77777777" w:rsidR="00C5070D" w:rsidRDefault="00C5070D">
      <w:pPr>
        <w:rPr>
          <w:sz w:val="24"/>
          <w:szCs w:val="24"/>
        </w:rPr>
      </w:pPr>
    </w:p>
    <w:p w14:paraId="0793FC39" w14:textId="77777777" w:rsidR="00C5070D" w:rsidRDefault="00C5070D">
      <w:pPr>
        <w:rPr>
          <w:sz w:val="24"/>
          <w:szCs w:val="24"/>
        </w:rPr>
      </w:pPr>
    </w:p>
    <w:p w14:paraId="51DA57A2" w14:textId="77777777" w:rsidR="00C5070D" w:rsidRDefault="00C5070D">
      <w:pPr>
        <w:rPr>
          <w:sz w:val="24"/>
          <w:szCs w:val="24"/>
        </w:rPr>
      </w:pPr>
    </w:p>
    <w:p w14:paraId="53C9CD70" w14:textId="0A4A4B6C" w:rsidR="00E62C2C" w:rsidRPr="00D24ABB" w:rsidRDefault="00C5070D">
      <w:pPr>
        <w:rPr>
          <w:b/>
          <w:bCs/>
          <w:sz w:val="24"/>
          <w:szCs w:val="24"/>
          <w:highlight w:val="yellow"/>
        </w:rPr>
      </w:pPr>
      <w:r w:rsidRPr="00D24ABB">
        <w:rPr>
          <w:b/>
          <w:bCs/>
          <w:sz w:val="24"/>
          <w:szCs w:val="24"/>
          <w:highlight w:val="yellow"/>
        </w:rPr>
        <w:t xml:space="preserve">Sensitivity and specificity of </w:t>
      </w:r>
      <w:proofErr w:type="spellStart"/>
      <w:r w:rsidRPr="00D24ABB">
        <w:rPr>
          <w:b/>
          <w:bCs/>
          <w:sz w:val="24"/>
          <w:szCs w:val="24"/>
          <w:highlight w:val="yellow"/>
        </w:rPr>
        <w:t>biothesiometer</w:t>
      </w:r>
      <w:proofErr w:type="spellEnd"/>
      <w:r w:rsidRPr="00D24ABB">
        <w:rPr>
          <w:b/>
          <w:bCs/>
          <w:sz w:val="24"/>
          <w:szCs w:val="24"/>
          <w:highlight w:val="yellow"/>
        </w:rPr>
        <w:t xml:space="preserve"> at different voltage cut off level compared to nerve conduction study standards among patients with type II diabetes on diabetic peripheral neuropathy screening</w:t>
      </w:r>
      <w:r w:rsidR="00192648" w:rsidRPr="00D24ABB">
        <w:rPr>
          <w:b/>
          <w:bCs/>
          <w:sz w:val="24"/>
          <w:szCs w:val="24"/>
          <w:highlight w:val="yellow"/>
        </w:rPr>
        <w:t xml:space="preserve"> (N=78)</w:t>
      </w:r>
    </w:p>
    <w:p w14:paraId="624001F4" w14:textId="77777777" w:rsidR="00C5070D" w:rsidRPr="00D24ABB" w:rsidRDefault="00C5070D">
      <w:pPr>
        <w:rPr>
          <w:sz w:val="24"/>
          <w:szCs w:val="24"/>
          <w:highlight w:val="yellow"/>
        </w:rPr>
      </w:pPr>
    </w:p>
    <w:tbl>
      <w:tblPr>
        <w:tblStyle w:val="TableGrid"/>
        <w:tblW w:w="0" w:type="auto"/>
        <w:tblLook w:val="04A0" w:firstRow="1" w:lastRow="0" w:firstColumn="1" w:lastColumn="0" w:noHBand="0" w:noVBand="1"/>
      </w:tblPr>
      <w:tblGrid>
        <w:gridCol w:w="2254"/>
        <w:gridCol w:w="2254"/>
        <w:gridCol w:w="2254"/>
        <w:gridCol w:w="2254"/>
      </w:tblGrid>
      <w:tr w:rsidR="00C5070D" w:rsidRPr="00D24ABB" w14:paraId="12F85D5E" w14:textId="77777777" w:rsidTr="00C5070D">
        <w:tc>
          <w:tcPr>
            <w:tcW w:w="2254" w:type="dxa"/>
          </w:tcPr>
          <w:p w14:paraId="5AC50187" w14:textId="7E7799A5" w:rsidR="00C5070D" w:rsidRPr="00D24ABB" w:rsidRDefault="00C5070D">
            <w:pPr>
              <w:rPr>
                <w:b/>
                <w:bCs/>
                <w:sz w:val="24"/>
                <w:szCs w:val="24"/>
                <w:highlight w:val="yellow"/>
              </w:rPr>
            </w:pPr>
            <w:r w:rsidRPr="00D24ABB">
              <w:rPr>
                <w:b/>
                <w:bCs/>
                <w:sz w:val="24"/>
                <w:szCs w:val="24"/>
                <w:highlight w:val="yellow"/>
              </w:rPr>
              <w:t>Cut off level</w:t>
            </w:r>
          </w:p>
        </w:tc>
        <w:tc>
          <w:tcPr>
            <w:tcW w:w="2254" w:type="dxa"/>
          </w:tcPr>
          <w:p w14:paraId="52D880CB" w14:textId="720C34E2" w:rsidR="00C5070D" w:rsidRPr="00D24ABB" w:rsidRDefault="00C5070D">
            <w:pPr>
              <w:rPr>
                <w:b/>
                <w:bCs/>
                <w:sz w:val="24"/>
                <w:szCs w:val="24"/>
                <w:highlight w:val="yellow"/>
              </w:rPr>
            </w:pPr>
            <w:r w:rsidRPr="00D24ABB">
              <w:rPr>
                <w:b/>
                <w:bCs/>
                <w:sz w:val="24"/>
                <w:szCs w:val="24"/>
                <w:highlight w:val="yellow"/>
              </w:rPr>
              <w:t xml:space="preserve">Sensitivity </w:t>
            </w:r>
          </w:p>
        </w:tc>
        <w:tc>
          <w:tcPr>
            <w:tcW w:w="2254" w:type="dxa"/>
          </w:tcPr>
          <w:p w14:paraId="56D1C309" w14:textId="17CF80BB" w:rsidR="00C5070D" w:rsidRPr="00D24ABB" w:rsidRDefault="00C5070D">
            <w:pPr>
              <w:rPr>
                <w:b/>
                <w:bCs/>
                <w:sz w:val="24"/>
                <w:szCs w:val="24"/>
                <w:highlight w:val="yellow"/>
              </w:rPr>
            </w:pPr>
            <w:r w:rsidRPr="00D24ABB">
              <w:rPr>
                <w:b/>
                <w:bCs/>
                <w:sz w:val="24"/>
                <w:szCs w:val="24"/>
                <w:highlight w:val="yellow"/>
              </w:rPr>
              <w:t xml:space="preserve">Specificity </w:t>
            </w:r>
          </w:p>
        </w:tc>
        <w:tc>
          <w:tcPr>
            <w:tcW w:w="2254" w:type="dxa"/>
          </w:tcPr>
          <w:p w14:paraId="48342190" w14:textId="2310F4A3" w:rsidR="00C5070D" w:rsidRPr="00D24ABB" w:rsidRDefault="00C5070D">
            <w:pPr>
              <w:rPr>
                <w:b/>
                <w:bCs/>
                <w:sz w:val="24"/>
                <w:szCs w:val="24"/>
                <w:highlight w:val="yellow"/>
              </w:rPr>
            </w:pPr>
            <w:r w:rsidRPr="00D24ABB">
              <w:rPr>
                <w:b/>
                <w:bCs/>
                <w:sz w:val="24"/>
                <w:szCs w:val="24"/>
                <w:highlight w:val="yellow"/>
              </w:rPr>
              <w:t xml:space="preserve">Accuracy </w:t>
            </w:r>
          </w:p>
        </w:tc>
      </w:tr>
      <w:tr w:rsidR="00C5070D" w:rsidRPr="00D24ABB" w14:paraId="12853DCA" w14:textId="77777777" w:rsidTr="00C5070D">
        <w:tc>
          <w:tcPr>
            <w:tcW w:w="2254" w:type="dxa"/>
          </w:tcPr>
          <w:p w14:paraId="5FC17185" w14:textId="7D839C7E" w:rsidR="00C5070D" w:rsidRPr="00D24ABB" w:rsidRDefault="00C5070D">
            <w:pPr>
              <w:rPr>
                <w:sz w:val="24"/>
                <w:szCs w:val="24"/>
                <w:highlight w:val="yellow"/>
              </w:rPr>
            </w:pPr>
            <w:r w:rsidRPr="00D24ABB">
              <w:rPr>
                <w:sz w:val="24"/>
                <w:szCs w:val="24"/>
                <w:highlight w:val="yellow"/>
              </w:rPr>
              <w:t>5mV</w:t>
            </w:r>
          </w:p>
        </w:tc>
        <w:tc>
          <w:tcPr>
            <w:tcW w:w="2254" w:type="dxa"/>
          </w:tcPr>
          <w:p w14:paraId="1B2CF5D4" w14:textId="45DFE50E" w:rsidR="00C5070D" w:rsidRPr="00D24ABB" w:rsidRDefault="00C5070D">
            <w:pPr>
              <w:rPr>
                <w:sz w:val="24"/>
                <w:szCs w:val="24"/>
                <w:highlight w:val="yellow"/>
              </w:rPr>
            </w:pPr>
            <w:r w:rsidRPr="00D24ABB">
              <w:rPr>
                <w:sz w:val="24"/>
                <w:szCs w:val="24"/>
                <w:highlight w:val="yellow"/>
              </w:rPr>
              <w:t>93.55</w:t>
            </w:r>
          </w:p>
        </w:tc>
        <w:tc>
          <w:tcPr>
            <w:tcW w:w="2254" w:type="dxa"/>
          </w:tcPr>
          <w:p w14:paraId="26DF78D2" w14:textId="2B6BCC83" w:rsidR="00C5070D" w:rsidRPr="00D24ABB" w:rsidRDefault="00C5070D">
            <w:pPr>
              <w:rPr>
                <w:sz w:val="24"/>
                <w:szCs w:val="24"/>
                <w:highlight w:val="yellow"/>
              </w:rPr>
            </w:pPr>
            <w:r w:rsidRPr="00D24ABB">
              <w:rPr>
                <w:sz w:val="24"/>
                <w:szCs w:val="24"/>
                <w:highlight w:val="yellow"/>
              </w:rPr>
              <w:t>25</w:t>
            </w:r>
          </w:p>
        </w:tc>
        <w:tc>
          <w:tcPr>
            <w:tcW w:w="2254" w:type="dxa"/>
          </w:tcPr>
          <w:p w14:paraId="662AC99B" w14:textId="4FFC9AB3" w:rsidR="00C5070D" w:rsidRPr="00D24ABB" w:rsidRDefault="00C5070D">
            <w:pPr>
              <w:rPr>
                <w:sz w:val="24"/>
                <w:szCs w:val="24"/>
                <w:highlight w:val="yellow"/>
              </w:rPr>
            </w:pPr>
            <w:r w:rsidRPr="00D24ABB">
              <w:rPr>
                <w:sz w:val="24"/>
                <w:szCs w:val="24"/>
                <w:highlight w:val="yellow"/>
              </w:rPr>
              <w:t>79.49</w:t>
            </w:r>
          </w:p>
        </w:tc>
      </w:tr>
      <w:tr w:rsidR="00C5070D" w:rsidRPr="00D24ABB" w14:paraId="0E09B554" w14:textId="77777777" w:rsidTr="00C5070D">
        <w:tc>
          <w:tcPr>
            <w:tcW w:w="2254" w:type="dxa"/>
          </w:tcPr>
          <w:p w14:paraId="5D22A0A2" w14:textId="046DEB77" w:rsidR="00C5070D" w:rsidRPr="00D24ABB" w:rsidRDefault="00C5070D">
            <w:pPr>
              <w:rPr>
                <w:sz w:val="24"/>
                <w:szCs w:val="24"/>
                <w:highlight w:val="yellow"/>
              </w:rPr>
            </w:pPr>
            <w:r w:rsidRPr="00D24ABB">
              <w:rPr>
                <w:sz w:val="24"/>
                <w:szCs w:val="24"/>
                <w:highlight w:val="yellow"/>
              </w:rPr>
              <w:t>10mV</w:t>
            </w:r>
          </w:p>
        </w:tc>
        <w:tc>
          <w:tcPr>
            <w:tcW w:w="2254" w:type="dxa"/>
          </w:tcPr>
          <w:p w14:paraId="14795D9E" w14:textId="621B83BE" w:rsidR="00C5070D" w:rsidRPr="00D24ABB" w:rsidRDefault="00C5070D">
            <w:pPr>
              <w:rPr>
                <w:sz w:val="24"/>
                <w:szCs w:val="24"/>
                <w:highlight w:val="yellow"/>
              </w:rPr>
            </w:pPr>
            <w:r w:rsidRPr="00D24ABB">
              <w:rPr>
                <w:sz w:val="24"/>
                <w:szCs w:val="24"/>
                <w:highlight w:val="yellow"/>
              </w:rPr>
              <w:t>70.97</w:t>
            </w:r>
          </w:p>
        </w:tc>
        <w:tc>
          <w:tcPr>
            <w:tcW w:w="2254" w:type="dxa"/>
          </w:tcPr>
          <w:p w14:paraId="0F09260E" w14:textId="70F73622" w:rsidR="00C5070D" w:rsidRPr="00D24ABB" w:rsidRDefault="00C5070D">
            <w:pPr>
              <w:rPr>
                <w:sz w:val="24"/>
                <w:szCs w:val="24"/>
                <w:highlight w:val="yellow"/>
              </w:rPr>
            </w:pPr>
            <w:r w:rsidRPr="00D24ABB">
              <w:rPr>
                <w:sz w:val="24"/>
                <w:szCs w:val="24"/>
                <w:highlight w:val="yellow"/>
              </w:rPr>
              <w:t>68.75</w:t>
            </w:r>
          </w:p>
        </w:tc>
        <w:tc>
          <w:tcPr>
            <w:tcW w:w="2254" w:type="dxa"/>
          </w:tcPr>
          <w:p w14:paraId="6D05AEA4" w14:textId="519324D1" w:rsidR="00C5070D" w:rsidRPr="00D24ABB" w:rsidRDefault="00C5070D">
            <w:pPr>
              <w:rPr>
                <w:sz w:val="24"/>
                <w:szCs w:val="24"/>
                <w:highlight w:val="yellow"/>
              </w:rPr>
            </w:pPr>
            <w:r w:rsidRPr="00D24ABB">
              <w:rPr>
                <w:sz w:val="24"/>
                <w:szCs w:val="24"/>
                <w:highlight w:val="yellow"/>
              </w:rPr>
              <w:t>70.5</w:t>
            </w:r>
          </w:p>
        </w:tc>
      </w:tr>
      <w:tr w:rsidR="00C5070D" w:rsidRPr="00D24ABB" w14:paraId="52C1D84F" w14:textId="77777777" w:rsidTr="00C5070D">
        <w:tc>
          <w:tcPr>
            <w:tcW w:w="2254" w:type="dxa"/>
          </w:tcPr>
          <w:p w14:paraId="257E12C9" w14:textId="72C8E199" w:rsidR="00C5070D" w:rsidRPr="00D24ABB" w:rsidRDefault="00C5070D">
            <w:pPr>
              <w:rPr>
                <w:sz w:val="24"/>
                <w:szCs w:val="24"/>
                <w:highlight w:val="yellow"/>
              </w:rPr>
            </w:pPr>
            <w:r w:rsidRPr="00D24ABB">
              <w:rPr>
                <w:sz w:val="24"/>
                <w:szCs w:val="24"/>
                <w:highlight w:val="yellow"/>
              </w:rPr>
              <w:t>15mV</w:t>
            </w:r>
          </w:p>
        </w:tc>
        <w:tc>
          <w:tcPr>
            <w:tcW w:w="2254" w:type="dxa"/>
          </w:tcPr>
          <w:p w14:paraId="70A3767E" w14:textId="1D60C59C" w:rsidR="00C5070D" w:rsidRPr="00D24ABB" w:rsidRDefault="00C5070D">
            <w:pPr>
              <w:rPr>
                <w:sz w:val="24"/>
                <w:szCs w:val="24"/>
                <w:highlight w:val="yellow"/>
              </w:rPr>
            </w:pPr>
            <w:r w:rsidRPr="00D24ABB">
              <w:rPr>
                <w:sz w:val="24"/>
                <w:szCs w:val="24"/>
                <w:highlight w:val="yellow"/>
              </w:rPr>
              <w:t>50</w:t>
            </w:r>
          </w:p>
        </w:tc>
        <w:tc>
          <w:tcPr>
            <w:tcW w:w="2254" w:type="dxa"/>
          </w:tcPr>
          <w:p w14:paraId="4A05B8EF" w14:textId="19EA59C4" w:rsidR="00C5070D" w:rsidRPr="00D24ABB" w:rsidRDefault="00C5070D">
            <w:pPr>
              <w:rPr>
                <w:sz w:val="24"/>
                <w:szCs w:val="24"/>
                <w:highlight w:val="yellow"/>
              </w:rPr>
            </w:pPr>
            <w:r w:rsidRPr="00D24ABB">
              <w:rPr>
                <w:sz w:val="24"/>
                <w:szCs w:val="24"/>
                <w:highlight w:val="yellow"/>
              </w:rPr>
              <w:t>81.25</w:t>
            </w:r>
          </w:p>
        </w:tc>
        <w:tc>
          <w:tcPr>
            <w:tcW w:w="2254" w:type="dxa"/>
          </w:tcPr>
          <w:p w14:paraId="589477B9" w14:textId="1CADCDA7" w:rsidR="00C5070D" w:rsidRPr="00D24ABB" w:rsidRDefault="00C5070D">
            <w:pPr>
              <w:rPr>
                <w:sz w:val="24"/>
                <w:szCs w:val="24"/>
                <w:highlight w:val="yellow"/>
              </w:rPr>
            </w:pPr>
            <w:r w:rsidRPr="00D24ABB">
              <w:rPr>
                <w:sz w:val="24"/>
                <w:szCs w:val="24"/>
                <w:highlight w:val="yellow"/>
              </w:rPr>
              <w:t>56.4</w:t>
            </w:r>
          </w:p>
        </w:tc>
      </w:tr>
      <w:tr w:rsidR="00C5070D" w:rsidRPr="00D24ABB" w14:paraId="01872815" w14:textId="77777777" w:rsidTr="00C5070D">
        <w:tc>
          <w:tcPr>
            <w:tcW w:w="2254" w:type="dxa"/>
          </w:tcPr>
          <w:p w14:paraId="71944250" w14:textId="6830F0F6" w:rsidR="00C5070D" w:rsidRPr="00D24ABB" w:rsidRDefault="00C5070D">
            <w:pPr>
              <w:rPr>
                <w:sz w:val="24"/>
                <w:szCs w:val="24"/>
                <w:highlight w:val="yellow"/>
              </w:rPr>
            </w:pPr>
            <w:r w:rsidRPr="00D24ABB">
              <w:rPr>
                <w:sz w:val="24"/>
                <w:szCs w:val="24"/>
                <w:highlight w:val="yellow"/>
              </w:rPr>
              <w:t>20mV</w:t>
            </w:r>
          </w:p>
        </w:tc>
        <w:tc>
          <w:tcPr>
            <w:tcW w:w="2254" w:type="dxa"/>
          </w:tcPr>
          <w:p w14:paraId="5FC0DB51" w14:textId="67C9C674" w:rsidR="00C5070D" w:rsidRPr="00D24ABB" w:rsidRDefault="00C5070D">
            <w:pPr>
              <w:rPr>
                <w:sz w:val="24"/>
                <w:szCs w:val="24"/>
                <w:highlight w:val="yellow"/>
              </w:rPr>
            </w:pPr>
            <w:r w:rsidRPr="00D24ABB">
              <w:rPr>
                <w:sz w:val="24"/>
                <w:szCs w:val="24"/>
                <w:highlight w:val="yellow"/>
              </w:rPr>
              <w:t>37.1</w:t>
            </w:r>
          </w:p>
        </w:tc>
        <w:tc>
          <w:tcPr>
            <w:tcW w:w="2254" w:type="dxa"/>
          </w:tcPr>
          <w:p w14:paraId="04AA8DC4" w14:textId="56A32C10" w:rsidR="00C5070D" w:rsidRPr="00D24ABB" w:rsidRDefault="00C5070D">
            <w:pPr>
              <w:rPr>
                <w:sz w:val="24"/>
                <w:szCs w:val="24"/>
                <w:highlight w:val="yellow"/>
              </w:rPr>
            </w:pPr>
            <w:r w:rsidRPr="00D24ABB">
              <w:rPr>
                <w:sz w:val="24"/>
                <w:szCs w:val="24"/>
                <w:highlight w:val="yellow"/>
              </w:rPr>
              <w:t>87.5</w:t>
            </w:r>
          </w:p>
        </w:tc>
        <w:tc>
          <w:tcPr>
            <w:tcW w:w="2254" w:type="dxa"/>
          </w:tcPr>
          <w:p w14:paraId="1E0D5BCA" w14:textId="7CB2253B" w:rsidR="00C5070D" w:rsidRPr="00D24ABB" w:rsidRDefault="00C5070D">
            <w:pPr>
              <w:rPr>
                <w:sz w:val="24"/>
                <w:szCs w:val="24"/>
                <w:highlight w:val="yellow"/>
              </w:rPr>
            </w:pPr>
            <w:r w:rsidRPr="00D24ABB">
              <w:rPr>
                <w:sz w:val="24"/>
                <w:szCs w:val="24"/>
                <w:highlight w:val="yellow"/>
              </w:rPr>
              <w:t>47.4</w:t>
            </w:r>
          </w:p>
        </w:tc>
      </w:tr>
      <w:tr w:rsidR="00C5070D" w14:paraId="288576B8" w14:textId="77777777" w:rsidTr="00C5070D">
        <w:tc>
          <w:tcPr>
            <w:tcW w:w="2254" w:type="dxa"/>
          </w:tcPr>
          <w:p w14:paraId="39195CFC" w14:textId="72E7C9ED" w:rsidR="00C5070D" w:rsidRPr="00D24ABB" w:rsidRDefault="00C5070D">
            <w:pPr>
              <w:rPr>
                <w:sz w:val="24"/>
                <w:szCs w:val="24"/>
                <w:highlight w:val="yellow"/>
              </w:rPr>
            </w:pPr>
            <w:r w:rsidRPr="00D24ABB">
              <w:rPr>
                <w:sz w:val="24"/>
                <w:szCs w:val="24"/>
                <w:highlight w:val="yellow"/>
              </w:rPr>
              <w:t>25mV</w:t>
            </w:r>
          </w:p>
        </w:tc>
        <w:tc>
          <w:tcPr>
            <w:tcW w:w="2254" w:type="dxa"/>
          </w:tcPr>
          <w:p w14:paraId="1D110199" w14:textId="6EF53B8E" w:rsidR="00C5070D" w:rsidRPr="00D24ABB" w:rsidRDefault="00C5070D">
            <w:pPr>
              <w:rPr>
                <w:sz w:val="24"/>
                <w:szCs w:val="24"/>
                <w:highlight w:val="yellow"/>
              </w:rPr>
            </w:pPr>
            <w:r w:rsidRPr="00D24ABB">
              <w:rPr>
                <w:sz w:val="24"/>
                <w:szCs w:val="24"/>
                <w:highlight w:val="yellow"/>
              </w:rPr>
              <w:t>12.9</w:t>
            </w:r>
          </w:p>
        </w:tc>
        <w:tc>
          <w:tcPr>
            <w:tcW w:w="2254" w:type="dxa"/>
          </w:tcPr>
          <w:p w14:paraId="3077058D" w14:textId="1EDE44EE" w:rsidR="00C5070D" w:rsidRPr="00D24ABB" w:rsidRDefault="00C5070D">
            <w:pPr>
              <w:rPr>
                <w:sz w:val="24"/>
                <w:szCs w:val="24"/>
                <w:highlight w:val="yellow"/>
              </w:rPr>
            </w:pPr>
            <w:r w:rsidRPr="00D24ABB">
              <w:rPr>
                <w:sz w:val="24"/>
                <w:szCs w:val="24"/>
                <w:highlight w:val="yellow"/>
              </w:rPr>
              <w:t>87.5</w:t>
            </w:r>
          </w:p>
        </w:tc>
        <w:tc>
          <w:tcPr>
            <w:tcW w:w="2254" w:type="dxa"/>
          </w:tcPr>
          <w:p w14:paraId="611CCA30" w14:textId="6AE8B35A" w:rsidR="00C5070D" w:rsidRDefault="00C5070D">
            <w:pPr>
              <w:rPr>
                <w:sz w:val="24"/>
                <w:szCs w:val="24"/>
              </w:rPr>
            </w:pPr>
            <w:r w:rsidRPr="00D24ABB">
              <w:rPr>
                <w:sz w:val="24"/>
                <w:szCs w:val="24"/>
                <w:highlight w:val="yellow"/>
              </w:rPr>
              <w:t>28.2</w:t>
            </w:r>
          </w:p>
        </w:tc>
      </w:tr>
    </w:tbl>
    <w:p w14:paraId="611E413C" w14:textId="77777777" w:rsidR="00C5070D" w:rsidRPr="00C5070D" w:rsidRDefault="00C5070D">
      <w:pPr>
        <w:rPr>
          <w:sz w:val="24"/>
          <w:szCs w:val="24"/>
        </w:rPr>
      </w:pPr>
    </w:p>
    <w:sectPr w:rsidR="00C5070D" w:rsidRPr="00C50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215810"/>
    <w:multiLevelType w:val="hybridMultilevel"/>
    <w:tmpl w:val="B25AB398"/>
    <w:lvl w:ilvl="0" w:tplc="049C5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4D7C0F"/>
    <w:multiLevelType w:val="hybridMultilevel"/>
    <w:tmpl w:val="F8AC9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782681">
    <w:abstractNumId w:val="1"/>
  </w:num>
  <w:num w:numId="2" w16cid:durableId="27374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7B"/>
    <w:rsid w:val="000D6F7B"/>
    <w:rsid w:val="001071C8"/>
    <w:rsid w:val="00117746"/>
    <w:rsid w:val="00192648"/>
    <w:rsid w:val="001E6EA3"/>
    <w:rsid w:val="001F0BAD"/>
    <w:rsid w:val="00240629"/>
    <w:rsid w:val="00282927"/>
    <w:rsid w:val="002D6F5A"/>
    <w:rsid w:val="00552955"/>
    <w:rsid w:val="005A5925"/>
    <w:rsid w:val="009C5273"/>
    <w:rsid w:val="00BD6BA9"/>
    <w:rsid w:val="00C36809"/>
    <w:rsid w:val="00C5070D"/>
    <w:rsid w:val="00D24ABB"/>
    <w:rsid w:val="00E62C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BB65"/>
  <w15:chartTrackingRefBased/>
  <w15:docId w15:val="{7E6041BC-FD2A-4B96-BB77-2D61EEC2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2C"/>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C2C"/>
    <w:pPr>
      <w:ind w:left="720"/>
      <w:contextualSpacing/>
    </w:pPr>
  </w:style>
  <w:style w:type="table" w:styleId="TableGrid">
    <w:name w:val="Table Grid"/>
    <w:basedOn w:val="TableNormal"/>
    <w:uiPriority w:val="39"/>
    <w:rsid w:val="00C50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Kalaiselvi S</dc:creator>
  <cp:keywords/>
  <dc:description/>
  <cp:lastModifiedBy>Kalaiselvi S</cp:lastModifiedBy>
  <cp:revision>6</cp:revision>
  <dcterms:created xsi:type="dcterms:W3CDTF">2024-12-10T01:11:00Z</dcterms:created>
  <dcterms:modified xsi:type="dcterms:W3CDTF">2024-12-10T11:32:00Z</dcterms:modified>
</cp:coreProperties>
</file>