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357945">
      <w:pPr>
        <w:spacing w:line="480" w:lineRule="auto"/>
        <w:rPr>
          <w:rFonts w:ascii="Times New Roman" w:hAnsi="Times New Roman" w:eastAsiaTheme="minorEastAsia"/>
          <w:b/>
          <w:bCs/>
          <w:sz w:val="32"/>
          <w:szCs w:val="32"/>
        </w:rPr>
      </w:pPr>
      <w:r>
        <w:rPr>
          <w:rFonts w:hint="eastAsia" w:ascii="Times New Roman" w:hAnsi="Times New Roman" w:eastAsiaTheme="minorEastAsia"/>
          <w:b/>
          <w:bCs/>
          <w:sz w:val="32"/>
          <w:szCs w:val="32"/>
        </w:rPr>
        <w:t>S</w:t>
      </w:r>
      <w:r>
        <w:rPr>
          <w:rFonts w:ascii="Times New Roman" w:hAnsi="Times New Roman" w:eastAsiaTheme="minorEastAsia"/>
          <w:b/>
          <w:bCs/>
          <w:sz w:val="32"/>
          <w:szCs w:val="32"/>
        </w:rPr>
        <w:t>upplementary materials</w:t>
      </w:r>
    </w:p>
    <w:p w14:paraId="593B40AC">
      <w:pPr>
        <w:spacing w:line="480" w:lineRule="auto"/>
        <w:rPr>
          <w:rFonts w:ascii="Times New Roman" w:hAnsi="Times New Roman" w:eastAsiaTheme="minorEastAsia"/>
          <w:b/>
          <w:bCs/>
          <w:sz w:val="28"/>
          <w:szCs w:val="28"/>
        </w:rPr>
      </w:pPr>
      <w:r>
        <w:rPr>
          <w:rFonts w:ascii="Times New Roman" w:hAnsi="Times New Roman" w:eastAsiaTheme="minorEastAsia"/>
          <w:b/>
          <w:bCs/>
          <w:sz w:val="28"/>
          <w:szCs w:val="28"/>
        </w:rPr>
        <w:t>Part 1:</w:t>
      </w:r>
      <w:r>
        <w:rPr>
          <w:rFonts w:hint="eastAsia" w:ascii="Times New Roman" w:hAnsi="Times New Roman" w:eastAsiaTheme="minorEastAsia"/>
          <w:b/>
          <w:bCs/>
          <w:sz w:val="28"/>
          <w:szCs w:val="28"/>
        </w:rPr>
        <w:t xml:space="preserve"> </w:t>
      </w:r>
      <w:r>
        <w:rPr>
          <w:rFonts w:ascii="Times New Roman" w:hAnsi="Times New Roman" w:eastAsiaTheme="minorEastAsia"/>
          <w:b/>
          <w:bCs/>
          <w:sz w:val="28"/>
          <w:szCs w:val="28"/>
        </w:rPr>
        <w:t>Experimental design</w:t>
      </w:r>
    </w:p>
    <w:p w14:paraId="26FF3C71">
      <w:pPr>
        <w:rPr>
          <w:rFonts w:ascii="Times New Roman" w:hAnsi="Times New Roman" w:eastAsiaTheme="minorEastAsia"/>
          <w:sz w:val="24"/>
          <w:szCs w:val="24"/>
        </w:rPr>
      </w:pPr>
      <w:r>
        <w:rPr>
          <w:rFonts w:ascii="Times New Roman" w:hAnsi="Times New Roman" w:eastAsiaTheme="minorEastAsia"/>
          <w:sz w:val="24"/>
          <w:szCs w:val="24"/>
        </w:rPr>
        <w:t>In the present study, all mice were randomly assigned to the following experiments.</w:t>
      </w:r>
    </w:p>
    <w:p w14:paraId="24332C33">
      <w:r>
        <w:drawing>
          <wp:inline distT="0" distB="0" distL="114300" distR="114300">
            <wp:extent cx="5271770" cy="2776855"/>
            <wp:effectExtent l="0" t="0" r="508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1770" cy="2776855"/>
                    </a:xfrm>
                    <a:prstGeom prst="rect">
                      <a:avLst/>
                    </a:prstGeom>
                    <a:noFill/>
                    <a:ln>
                      <a:noFill/>
                    </a:ln>
                  </pic:spPr>
                </pic:pic>
              </a:graphicData>
            </a:graphic>
          </wp:inline>
        </w:drawing>
      </w:r>
      <w:r>
        <w:drawing>
          <wp:inline distT="0" distB="0" distL="114300" distR="114300">
            <wp:extent cx="5273040" cy="1146810"/>
            <wp:effectExtent l="0" t="0" r="381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3040" cy="1146810"/>
                    </a:xfrm>
                    <a:prstGeom prst="rect">
                      <a:avLst/>
                    </a:prstGeom>
                    <a:noFill/>
                    <a:ln>
                      <a:noFill/>
                    </a:ln>
                  </pic:spPr>
                </pic:pic>
              </a:graphicData>
            </a:graphic>
          </wp:inline>
        </w:drawing>
      </w:r>
    </w:p>
    <w:p w14:paraId="432AB05E">
      <w:pPr>
        <w:spacing w:line="480" w:lineRule="auto"/>
        <w:rPr>
          <w:rFonts w:ascii="Times New Roman" w:hAnsi="Times New Roman" w:eastAsiaTheme="minorEastAsia"/>
          <w:b/>
          <w:bCs/>
          <w:sz w:val="24"/>
          <w:szCs w:val="24"/>
        </w:rPr>
      </w:pPr>
      <w:r>
        <w:rPr>
          <w:rFonts w:ascii="Times New Roman" w:hAnsi="Times New Roman" w:eastAsiaTheme="minorEastAsia"/>
          <w:b/>
          <w:bCs/>
          <w:sz w:val="24"/>
          <w:szCs w:val="24"/>
        </w:rPr>
        <w:t>Experiment 1</w:t>
      </w:r>
    </w:p>
    <w:p w14:paraId="3D245AB6">
      <w:pPr>
        <w:spacing w:line="480" w:lineRule="auto"/>
        <w:rPr>
          <w:rFonts w:hint="eastAsia" w:ascii="Times New Roman" w:hAnsi="Times New Roman" w:eastAsiaTheme="minorEastAsia"/>
          <w:sz w:val="24"/>
          <w:szCs w:val="24"/>
          <w:lang w:val="en-US" w:eastAsia="zh-CN"/>
        </w:rPr>
      </w:pPr>
      <w:r>
        <w:rPr>
          <w:rFonts w:ascii="Times New Roman" w:hAnsi="Times New Roman" w:eastAsiaTheme="minorEastAsia"/>
          <w:sz w:val="24"/>
          <w:szCs w:val="24"/>
        </w:rPr>
        <w:t>To observe the expression of PDPN, tissues were harvested from the brain haematoma site after establishing the ICH model in mice and subjected to Western blot analysis, immunohistochemistry and immunofluorescence staining</w:t>
      </w:r>
      <w:r>
        <w:rPr>
          <w:rFonts w:hint="eastAsia" w:ascii="Times New Roman" w:hAnsi="Times New Roman" w:eastAsiaTheme="minorEastAsia"/>
          <w:sz w:val="24"/>
          <w:szCs w:val="24"/>
          <w:lang w:val="en-US" w:eastAsia="zh-CN"/>
        </w:rPr>
        <w:t>.</w:t>
      </w:r>
    </w:p>
    <w:p w14:paraId="2D67FD9E">
      <w:pPr>
        <w:rPr>
          <w:rFonts w:hint="eastAsia"/>
          <w:lang w:val="en-US" w:eastAsia="zh-CN"/>
        </w:rPr>
      </w:pPr>
    </w:p>
    <w:p w14:paraId="4297602E">
      <w:pPr>
        <w:rPr>
          <w:rFonts w:hint="eastAsia"/>
          <w:lang w:val="en-US" w:eastAsia="zh-CN"/>
        </w:rPr>
      </w:pPr>
      <w:r>
        <w:rPr>
          <w:rFonts w:ascii="Times New Roman" w:hAnsi="Times New Roman" w:eastAsiaTheme="minorEastAsia"/>
          <w:b/>
          <w:bCs/>
          <w:sz w:val="24"/>
          <w:szCs w:val="24"/>
        </w:rPr>
        <w:t>Experiment 2</w:t>
      </w:r>
    </w:p>
    <w:p w14:paraId="2FA59752">
      <w:pPr>
        <w:spacing w:line="480" w:lineRule="auto"/>
        <w:rPr>
          <w:rFonts w:hint="eastAsia" w:ascii="Times New Roman" w:hAnsi="Times New Roman" w:eastAsiaTheme="minorEastAsia"/>
          <w:sz w:val="24"/>
          <w:szCs w:val="24"/>
          <w:lang w:val="en-US" w:eastAsia="zh-CN"/>
        </w:rPr>
      </w:pPr>
      <w:r>
        <w:rPr>
          <w:rFonts w:ascii="Times New Roman" w:hAnsi="Times New Roman" w:eastAsiaTheme="minorEastAsia"/>
          <w:sz w:val="24"/>
          <w:szCs w:val="24"/>
        </w:rPr>
        <w:t>The ICH model was established using C57BL/6 mice and SZ168 was injected intraperitoneally after 2 hours. Three days later, the brains of the mice were removed to observe the cerebral haemorrhage, which showed that the cerebral haematoma area of the mice in the control group was significantly enlarged compared with that of the SZ168 group, and it was speculated that the treatment with SZ168 was able to reduce the size of the cerebral haematoma of the mice after ICH</w:t>
      </w:r>
      <w:r>
        <w:rPr>
          <w:rFonts w:hint="eastAsia" w:ascii="Times New Roman" w:hAnsi="Times New Roman" w:eastAsiaTheme="minorEastAsia"/>
          <w:sz w:val="24"/>
          <w:szCs w:val="24"/>
          <w:lang w:val="en-US" w:eastAsia="zh-CN"/>
        </w:rPr>
        <w:t>. And also observed the expression of PDPN and related inflammatory factors in ICH after SZ168 treatment.</w:t>
      </w:r>
    </w:p>
    <w:p w14:paraId="50CA7B68">
      <w:pPr>
        <w:rPr>
          <w:rFonts w:hint="eastAsia" w:ascii="Times New Roman" w:hAnsi="Times New Roman" w:eastAsiaTheme="minorEastAsia"/>
          <w:b/>
          <w:bCs/>
          <w:sz w:val="24"/>
          <w:szCs w:val="24"/>
          <w:lang w:val="en-US" w:eastAsia="zh-CN"/>
        </w:rPr>
      </w:pPr>
      <w:r>
        <w:rPr>
          <w:rFonts w:ascii="Times New Roman" w:hAnsi="Times New Roman" w:eastAsiaTheme="minorEastAsia"/>
          <w:b/>
          <w:bCs/>
          <w:sz w:val="24"/>
          <w:szCs w:val="24"/>
        </w:rPr>
        <w:t xml:space="preserve">Experiment </w:t>
      </w:r>
      <w:r>
        <w:rPr>
          <w:rFonts w:hint="eastAsia" w:ascii="Times New Roman" w:hAnsi="Times New Roman" w:eastAsiaTheme="minorEastAsia"/>
          <w:b/>
          <w:bCs/>
          <w:sz w:val="24"/>
          <w:szCs w:val="24"/>
          <w:lang w:val="en-US" w:eastAsia="zh-CN"/>
        </w:rPr>
        <w:t>3</w:t>
      </w:r>
    </w:p>
    <w:p w14:paraId="1A2B4D6B">
      <w:pPr>
        <w:spacing w:line="480" w:lineRule="auto"/>
        <w:ind w:firstLine="240" w:firstLineChars="100"/>
        <w:rPr>
          <w:rFonts w:ascii="Times New Roman" w:hAnsi="Times New Roman" w:eastAsiaTheme="minorEastAsia"/>
          <w:sz w:val="24"/>
          <w:szCs w:val="24"/>
        </w:rPr>
      </w:pPr>
      <w:r>
        <w:rPr>
          <w:rFonts w:hint="eastAsia" w:ascii="Times New Roman" w:hAnsi="Times New Roman" w:eastAsiaTheme="minorEastAsia"/>
          <w:sz w:val="24"/>
          <w:szCs w:val="24"/>
        </w:rPr>
        <w:t>In the short-term neurological function observation, by observing the neurological function of mice at 1, 3 and 7 days after modelling, the results showed that the neurological deficits in the ICH+mIgG group were higher than those in the SZ168 treatment group at 1, 3 and 7 days after ICH and that the treatment with SZ168 was able to effectively reduce the degree of neurological impairment.</w:t>
      </w:r>
    </w:p>
    <w:p w14:paraId="66A54984">
      <w:pPr>
        <w:spacing w:line="480" w:lineRule="auto"/>
        <w:rPr>
          <w:rFonts w:ascii="Times New Roman" w:hAnsi="Times New Roman" w:eastAsiaTheme="minorEastAsia"/>
          <w:sz w:val="24"/>
          <w:szCs w:val="24"/>
        </w:rPr>
      </w:pPr>
    </w:p>
    <w:p w14:paraId="57AE77B0"/>
    <w:p w14:paraId="2F2C7E3B"/>
    <w:p w14:paraId="614BB236"/>
    <w:p w14:paraId="0602203A"/>
    <w:p w14:paraId="2D89AB53"/>
    <w:p w14:paraId="35882515"/>
    <w:p w14:paraId="6844AEFB"/>
    <w:p w14:paraId="7C0DE0B7"/>
    <w:p w14:paraId="641DBA23"/>
    <w:p w14:paraId="65960FD7"/>
    <w:p w14:paraId="12DC3CCE"/>
    <w:p w14:paraId="50DE5A1E"/>
    <w:p w14:paraId="65F49BD1"/>
    <w:p w14:paraId="68056DFA"/>
    <w:p w14:paraId="2DAD3C20"/>
    <w:p w14:paraId="0A80422D"/>
    <w:p w14:paraId="0A564D91"/>
    <w:p w14:paraId="4E8D6EA9"/>
    <w:p w14:paraId="69653744"/>
    <w:p w14:paraId="1AEF4021"/>
    <w:p w14:paraId="362051B2"/>
    <w:p w14:paraId="522FA62A"/>
    <w:p w14:paraId="5628D8AE"/>
    <w:p w14:paraId="671F2160"/>
    <w:p w14:paraId="787B40E8"/>
    <w:p w14:paraId="7E4B749D">
      <w:pPr>
        <w:rPr>
          <w:rFonts w:hint="eastAsia" w:ascii="Times New Roman" w:hAnsi="Times New Roman" w:eastAsiaTheme="minorEastAsia"/>
          <w:b/>
          <w:bCs/>
          <w:sz w:val="28"/>
          <w:szCs w:val="28"/>
          <w:lang w:val="en-US" w:eastAsia="zh-CN"/>
        </w:rPr>
      </w:pPr>
      <w:r>
        <w:rPr>
          <w:rFonts w:ascii="Times New Roman" w:hAnsi="Times New Roman" w:eastAsiaTheme="minorEastAsia"/>
          <w:b/>
          <w:bCs/>
          <w:sz w:val="28"/>
          <w:szCs w:val="28"/>
        </w:rPr>
        <w:t xml:space="preserve">Part </w:t>
      </w:r>
      <w:r>
        <w:rPr>
          <w:rFonts w:hint="eastAsia" w:ascii="Times New Roman" w:hAnsi="Times New Roman" w:eastAsiaTheme="minorEastAsia"/>
          <w:b/>
          <w:bCs/>
          <w:sz w:val="28"/>
          <w:szCs w:val="28"/>
          <w:lang w:val="en-US" w:eastAsia="zh-CN"/>
        </w:rPr>
        <w:t>2</w:t>
      </w:r>
    </w:p>
    <w:tbl>
      <w:tblPr>
        <w:tblW w:w="10245"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2186"/>
        <w:gridCol w:w="2109"/>
        <w:gridCol w:w="625"/>
        <w:gridCol w:w="1741"/>
        <w:gridCol w:w="1105"/>
        <w:gridCol w:w="1496"/>
        <w:gridCol w:w="987"/>
      </w:tblGrid>
      <w:tr w14:paraId="4274F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0249" w:type="dxa"/>
            <w:gridSpan w:val="7"/>
            <w:tcBorders>
              <w:top w:val="nil"/>
              <w:left w:val="nil"/>
              <w:bottom w:val="nil"/>
              <w:right w:val="nil"/>
            </w:tcBorders>
            <w:shd w:val="clear"/>
            <w:noWrap/>
            <w:vAlign w:val="center"/>
          </w:tcPr>
          <w:p w14:paraId="169681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Table S1. Summary of experimental groups and mortality rate in the study.</w:t>
            </w:r>
          </w:p>
        </w:tc>
      </w:tr>
      <w:tr w14:paraId="28F77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restart"/>
            <w:tcBorders>
              <w:top w:val="single" w:color="000000" w:sz="4" w:space="0"/>
              <w:left w:val="nil"/>
              <w:bottom w:val="single" w:color="000000" w:sz="4" w:space="0"/>
              <w:right w:val="nil"/>
            </w:tcBorders>
            <w:shd w:val="clear"/>
            <w:noWrap/>
            <w:vAlign w:val="center"/>
          </w:tcPr>
          <w:p w14:paraId="174621B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bdr w:val="none" w:color="auto" w:sz="0" w:space="0"/>
                <w:lang w:val="en-US" w:eastAsia="zh-CN" w:bidi="ar"/>
              </w:rPr>
              <w:t>Experimental Groups</w:t>
            </w:r>
          </w:p>
        </w:tc>
        <w:tc>
          <w:tcPr>
            <w:tcW w:w="0" w:type="auto"/>
            <w:tcBorders>
              <w:top w:val="single" w:color="000000" w:sz="4" w:space="0"/>
              <w:left w:val="nil"/>
              <w:bottom w:val="nil"/>
              <w:right w:val="nil"/>
            </w:tcBorders>
            <w:shd w:val="clear"/>
            <w:noWrap/>
            <w:vAlign w:val="center"/>
          </w:tcPr>
          <w:p w14:paraId="63FA560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bdr w:val="none" w:color="auto" w:sz="0" w:space="0"/>
                <w:lang w:val="en-US" w:eastAsia="zh-CN" w:bidi="ar"/>
              </w:rPr>
              <w:t>WB</w:t>
            </w:r>
          </w:p>
        </w:tc>
        <w:tc>
          <w:tcPr>
            <w:tcW w:w="0" w:type="auto"/>
            <w:vMerge w:val="restart"/>
            <w:tcBorders>
              <w:top w:val="single" w:color="000000" w:sz="4" w:space="0"/>
              <w:left w:val="nil"/>
              <w:bottom w:val="single" w:color="000000" w:sz="4" w:space="0"/>
              <w:right w:val="nil"/>
            </w:tcBorders>
            <w:shd w:val="clear"/>
            <w:noWrap/>
            <w:vAlign w:val="center"/>
          </w:tcPr>
          <w:p w14:paraId="7326C5B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bdr w:val="none" w:color="auto" w:sz="0" w:space="0"/>
                <w:lang w:val="en-US" w:eastAsia="zh-CN" w:bidi="ar"/>
              </w:rPr>
              <w:t>IHC</w:t>
            </w:r>
          </w:p>
        </w:tc>
        <w:tc>
          <w:tcPr>
            <w:tcW w:w="0" w:type="auto"/>
            <w:vMerge w:val="restart"/>
            <w:tcBorders>
              <w:top w:val="single" w:color="000000" w:sz="4" w:space="0"/>
              <w:left w:val="nil"/>
              <w:bottom w:val="single" w:color="000000" w:sz="4" w:space="0"/>
              <w:right w:val="nil"/>
            </w:tcBorders>
            <w:shd w:val="clear"/>
            <w:noWrap/>
            <w:vAlign w:val="center"/>
          </w:tcPr>
          <w:p w14:paraId="2117E75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bdr w:val="none" w:color="auto" w:sz="0" w:space="0"/>
                <w:lang w:val="en-US" w:eastAsia="zh-CN" w:bidi="ar"/>
              </w:rPr>
              <w:t>Neurological test</w:t>
            </w:r>
          </w:p>
        </w:tc>
        <w:tc>
          <w:tcPr>
            <w:tcW w:w="0" w:type="auto"/>
            <w:vMerge w:val="restart"/>
            <w:tcBorders>
              <w:top w:val="single" w:color="000000" w:sz="4" w:space="0"/>
              <w:left w:val="nil"/>
              <w:bottom w:val="single" w:color="000000" w:sz="4" w:space="0"/>
              <w:right w:val="nil"/>
            </w:tcBorders>
            <w:shd w:val="clear"/>
            <w:noWrap/>
            <w:vAlign w:val="center"/>
          </w:tcPr>
          <w:p w14:paraId="453986B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bdr w:val="none" w:color="auto" w:sz="0" w:space="0"/>
                <w:lang w:val="en-US" w:eastAsia="zh-CN" w:bidi="ar"/>
              </w:rPr>
              <w:t>Exclusion</w:t>
            </w:r>
          </w:p>
        </w:tc>
        <w:tc>
          <w:tcPr>
            <w:tcW w:w="0" w:type="auto"/>
            <w:vMerge w:val="restart"/>
            <w:tcBorders>
              <w:top w:val="single" w:color="000000" w:sz="4" w:space="0"/>
              <w:left w:val="nil"/>
              <w:bottom w:val="single" w:color="000000" w:sz="4" w:space="0"/>
              <w:right w:val="nil"/>
            </w:tcBorders>
            <w:shd w:val="clear"/>
            <w:noWrap/>
            <w:vAlign w:val="center"/>
          </w:tcPr>
          <w:p w14:paraId="695E774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bdr w:val="none" w:color="auto" w:sz="0" w:space="0"/>
                <w:lang w:val="en-US" w:eastAsia="zh-CN" w:bidi="ar"/>
              </w:rPr>
              <w:t>Mortality (%)</w:t>
            </w:r>
          </w:p>
        </w:tc>
        <w:tc>
          <w:tcPr>
            <w:tcW w:w="0" w:type="auto"/>
            <w:vMerge w:val="restart"/>
            <w:tcBorders>
              <w:top w:val="single" w:color="000000" w:sz="4" w:space="0"/>
              <w:left w:val="nil"/>
              <w:bottom w:val="single" w:color="000000" w:sz="4" w:space="0"/>
              <w:right w:val="nil"/>
            </w:tcBorders>
            <w:shd w:val="clear"/>
            <w:noWrap/>
            <w:vAlign w:val="center"/>
          </w:tcPr>
          <w:p w14:paraId="2460BCE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bdr w:val="none" w:color="auto" w:sz="0" w:space="0"/>
                <w:lang w:val="en-US" w:eastAsia="zh-CN" w:bidi="ar"/>
              </w:rPr>
              <w:t>Subtotal</w:t>
            </w:r>
          </w:p>
        </w:tc>
      </w:tr>
      <w:tr w14:paraId="25B00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nil"/>
              <w:bottom w:val="single" w:color="000000" w:sz="4" w:space="0"/>
              <w:right w:val="nil"/>
            </w:tcBorders>
            <w:shd w:val="clear"/>
            <w:noWrap/>
            <w:vAlign w:val="center"/>
          </w:tcPr>
          <w:p w14:paraId="1D3903FA">
            <w:pPr>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noWrap/>
            <w:vAlign w:val="center"/>
          </w:tcPr>
          <w:p w14:paraId="3FD5F78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bdr w:val="none" w:color="auto" w:sz="0" w:space="0"/>
                <w:lang w:val="en-US" w:eastAsia="zh-CN" w:bidi="ar"/>
              </w:rPr>
              <w:t>ELISA</w:t>
            </w:r>
          </w:p>
        </w:tc>
        <w:tc>
          <w:tcPr>
            <w:tcW w:w="0" w:type="auto"/>
            <w:vMerge w:val="continue"/>
            <w:tcBorders>
              <w:top w:val="single" w:color="000000" w:sz="4" w:space="0"/>
              <w:left w:val="nil"/>
              <w:bottom w:val="single" w:color="000000" w:sz="4" w:space="0"/>
              <w:right w:val="nil"/>
            </w:tcBorders>
            <w:shd w:val="clear"/>
            <w:noWrap/>
            <w:vAlign w:val="center"/>
          </w:tcPr>
          <w:p w14:paraId="1593B692">
            <w:pPr>
              <w:jc w:val="center"/>
              <w:rPr>
                <w:rFonts w:hint="default" w:ascii="Times New Roman" w:hAnsi="Times New Roman" w:eastAsia="宋体" w:cs="Times New Roman"/>
                <w:b/>
                <w:bCs/>
                <w:i w:val="0"/>
                <w:iCs w:val="0"/>
                <w:color w:val="000000"/>
                <w:sz w:val="20"/>
                <w:szCs w:val="20"/>
                <w:u w:val="none"/>
              </w:rPr>
            </w:pPr>
          </w:p>
        </w:tc>
        <w:tc>
          <w:tcPr>
            <w:tcW w:w="0" w:type="auto"/>
            <w:vMerge w:val="continue"/>
            <w:tcBorders>
              <w:top w:val="single" w:color="000000" w:sz="4" w:space="0"/>
              <w:left w:val="nil"/>
              <w:bottom w:val="single" w:color="000000" w:sz="4" w:space="0"/>
              <w:right w:val="nil"/>
            </w:tcBorders>
            <w:shd w:val="clear"/>
            <w:noWrap/>
            <w:vAlign w:val="center"/>
          </w:tcPr>
          <w:p w14:paraId="222C7CC7">
            <w:pPr>
              <w:jc w:val="center"/>
              <w:rPr>
                <w:rFonts w:hint="default" w:ascii="Times New Roman" w:hAnsi="Times New Roman" w:eastAsia="宋体" w:cs="Times New Roman"/>
                <w:b/>
                <w:bCs/>
                <w:i w:val="0"/>
                <w:iCs w:val="0"/>
                <w:color w:val="000000"/>
                <w:sz w:val="20"/>
                <w:szCs w:val="20"/>
                <w:u w:val="none"/>
              </w:rPr>
            </w:pPr>
          </w:p>
        </w:tc>
        <w:tc>
          <w:tcPr>
            <w:tcW w:w="0" w:type="auto"/>
            <w:vMerge w:val="continue"/>
            <w:tcBorders>
              <w:top w:val="single" w:color="000000" w:sz="4" w:space="0"/>
              <w:left w:val="nil"/>
              <w:bottom w:val="single" w:color="000000" w:sz="4" w:space="0"/>
              <w:right w:val="nil"/>
            </w:tcBorders>
            <w:shd w:val="clear"/>
            <w:noWrap/>
            <w:vAlign w:val="center"/>
          </w:tcPr>
          <w:p w14:paraId="666BD2AF">
            <w:pPr>
              <w:jc w:val="center"/>
              <w:rPr>
                <w:rFonts w:hint="default" w:ascii="Times New Roman" w:hAnsi="Times New Roman" w:eastAsia="宋体" w:cs="Times New Roman"/>
                <w:b/>
                <w:bCs/>
                <w:i w:val="0"/>
                <w:iCs w:val="0"/>
                <w:color w:val="000000"/>
                <w:sz w:val="20"/>
                <w:szCs w:val="20"/>
                <w:u w:val="none"/>
              </w:rPr>
            </w:pPr>
          </w:p>
        </w:tc>
        <w:tc>
          <w:tcPr>
            <w:tcW w:w="0" w:type="auto"/>
            <w:vMerge w:val="continue"/>
            <w:tcBorders>
              <w:top w:val="single" w:color="000000" w:sz="4" w:space="0"/>
              <w:left w:val="nil"/>
              <w:bottom w:val="single" w:color="000000" w:sz="4" w:space="0"/>
              <w:right w:val="nil"/>
            </w:tcBorders>
            <w:shd w:val="clear"/>
            <w:noWrap/>
            <w:vAlign w:val="center"/>
          </w:tcPr>
          <w:p w14:paraId="47509915">
            <w:pPr>
              <w:jc w:val="center"/>
              <w:rPr>
                <w:rFonts w:hint="default" w:ascii="Times New Roman" w:hAnsi="Times New Roman" w:eastAsia="宋体" w:cs="Times New Roman"/>
                <w:b/>
                <w:bCs/>
                <w:i w:val="0"/>
                <w:iCs w:val="0"/>
                <w:color w:val="000000"/>
                <w:sz w:val="20"/>
                <w:szCs w:val="20"/>
                <w:u w:val="none"/>
              </w:rPr>
            </w:pPr>
          </w:p>
        </w:tc>
        <w:tc>
          <w:tcPr>
            <w:tcW w:w="0" w:type="auto"/>
            <w:vMerge w:val="continue"/>
            <w:tcBorders>
              <w:top w:val="single" w:color="000000" w:sz="4" w:space="0"/>
              <w:left w:val="nil"/>
              <w:bottom w:val="single" w:color="000000" w:sz="4" w:space="0"/>
              <w:right w:val="nil"/>
            </w:tcBorders>
            <w:shd w:val="clear"/>
            <w:noWrap/>
            <w:vAlign w:val="center"/>
          </w:tcPr>
          <w:p w14:paraId="450A0C4B">
            <w:pPr>
              <w:jc w:val="center"/>
              <w:rPr>
                <w:rFonts w:hint="default" w:ascii="Times New Roman" w:hAnsi="Times New Roman" w:eastAsia="宋体" w:cs="Times New Roman"/>
                <w:b/>
                <w:bCs/>
                <w:i w:val="0"/>
                <w:iCs w:val="0"/>
                <w:color w:val="000000"/>
                <w:sz w:val="20"/>
                <w:szCs w:val="20"/>
                <w:u w:val="none"/>
              </w:rPr>
            </w:pPr>
          </w:p>
        </w:tc>
      </w:tr>
      <w:tr w14:paraId="7C7AC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nil"/>
              <w:bottom w:val="single" w:color="000000" w:sz="4" w:space="0"/>
              <w:right w:val="nil"/>
            </w:tcBorders>
            <w:shd w:val="clear"/>
            <w:noWrap/>
            <w:vAlign w:val="center"/>
          </w:tcPr>
          <w:p w14:paraId="4755F032">
            <w:pPr>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noWrap/>
            <w:vAlign w:val="center"/>
          </w:tcPr>
          <w:p w14:paraId="6F42B9A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bdr w:val="none" w:color="auto" w:sz="0" w:space="0"/>
                <w:lang w:val="en-US" w:eastAsia="zh-CN" w:bidi="ar"/>
              </w:rPr>
              <w:t>Immunofluorescence</w:t>
            </w:r>
          </w:p>
        </w:tc>
        <w:tc>
          <w:tcPr>
            <w:tcW w:w="0" w:type="auto"/>
            <w:vMerge w:val="continue"/>
            <w:tcBorders>
              <w:top w:val="single" w:color="000000" w:sz="4" w:space="0"/>
              <w:left w:val="nil"/>
              <w:bottom w:val="single" w:color="000000" w:sz="4" w:space="0"/>
              <w:right w:val="nil"/>
            </w:tcBorders>
            <w:shd w:val="clear"/>
            <w:noWrap/>
            <w:vAlign w:val="center"/>
          </w:tcPr>
          <w:p w14:paraId="526B51E6">
            <w:pPr>
              <w:jc w:val="center"/>
              <w:rPr>
                <w:rFonts w:hint="default" w:ascii="Times New Roman" w:hAnsi="Times New Roman" w:eastAsia="宋体" w:cs="Times New Roman"/>
                <w:b/>
                <w:bCs/>
                <w:i w:val="0"/>
                <w:iCs w:val="0"/>
                <w:color w:val="000000"/>
                <w:sz w:val="20"/>
                <w:szCs w:val="20"/>
                <w:u w:val="none"/>
              </w:rPr>
            </w:pPr>
          </w:p>
        </w:tc>
        <w:tc>
          <w:tcPr>
            <w:tcW w:w="0" w:type="auto"/>
            <w:vMerge w:val="continue"/>
            <w:tcBorders>
              <w:top w:val="single" w:color="000000" w:sz="4" w:space="0"/>
              <w:left w:val="nil"/>
              <w:bottom w:val="single" w:color="000000" w:sz="4" w:space="0"/>
              <w:right w:val="nil"/>
            </w:tcBorders>
            <w:shd w:val="clear"/>
            <w:noWrap/>
            <w:vAlign w:val="center"/>
          </w:tcPr>
          <w:p w14:paraId="46306B95">
            <w:pPr>
              <w:jc w:val="center"/>
              <w:rPr>
                <w:rFonts w:hint="default" w:ascii="Times New Roman" w:hAnsi="Times New Roman" w:eastAsia="宋体" w:cs="Times New Roman"/>
                <w:b/>
                <w:bCs/>
                <w:i w:val="0"/>
                <w:iCs w:val="0"/>
                <w:color w:val="000000"/>
                <w:sz w:val="20"/>
                <w:szCs w:val="20"/>
                <w:u w:val="none"/>
              </w:rPr>
            </w:pPr>
          </w:p>
        </w:tc>
        <w:tc>
          <w:tcPr>
            <w:tcW w:w="0" w:type="auto"/>
            <w:vMerge w:val="continue"/>
            <w:tcBorders>
              <w:top w:val="single" w:color="000000" w:sz="4" w:space="0"/>
              <w:left w:val="nil"/>
              <w:bottom w:val="single" w:color="000000" w:sz="4" w:space="0"/>
              <w:right w:val="nil"/>
            </w:tcBorders>
            <w:shd w:val="clear"/>
            <w:noWrap/>
            <w:vAlign w:val="center"/>
          </w:tcPr>
          <w:p w14:paraId="6C7CFECD">
            <w:pPr>
              <w:jc w:val="center"/>
              <w:rPr>
                <w:rFonts w:hint="default" w:ascii="Times New Roman" w:hAnsi="Times New Roman" w:eastAsia="宋体" w:cs="Times New Roman"/>
                <w:b/>
                <w:bCs/>
                <w:i w:val="0"/>
                <w:iCs w:val="0"/>
                <w:color w:val="000000"/>
                <w:sz w:val="20"/>
                <w:szCs w:val="20"/>
                <w:u w:val="none"/>
              </w:rPr>
            </w:pPr>
          </w:p>
        </w:tc>
        <w:tc>
          <w:tcPr>
            <w:tcW w:w="0" w:type="auto"/>
            <w:vMerge w:val="continue"/>
            <w:tcBorders>
              <w:top w:val="single" w:color="000000" w:sz="4" w:space="0"/>
              <w:left w:val="nil"/>
              <w:bottom w:val="single" w:color="000000" w:sz="4" w:space="0"/>
              <w:right w:val="nil"/>
            </w:tcBorders>
            <w:shd w:val="clear"/>
            <w:noWrap/>
            <w:vAlign w:val="center"/>
          </w:tcPr>
          <w:p w14:paraId="77B30B20">
            <w:pPr>
              <w:jc w:val="center"/>
              <w:rPr>
                <w:rFonts w:hint="default" w:ascii="Times New Roman" w:hAnsi="Times New Roman" w:eastAsia="宋体" w:cs="Times New Roman"/>
                <w:b/>
                <w:bCs/>
                <w:i w:val="0"/>
                <w:iCs w:val="0"/>
                <w:color w:val="000000"/>
                <w:sz w:val="20"/>
                <w:szCs w:val="20"/>
                <w:u w:val="none"/>
              </w:rPr>
            </w:pPr>
          </w:p>
        </w:tc>
        <w:tc>
          <w:tcPr>
            <w:tcW w:w="0" w:type="auto"/>
            <w:vMerge w:val="continue"/>
            <w:tcBorders>
              <w:top w:val="single" w:color="000000" w:sz="4" w:space="0"/>
              <w:left w:val="nil"/>
              <w:bottom w:val="single" w:color="000000" w:sz="4" w:space="0"/>
              <w:right w:val="nil"/>
            </w:tcBorders>
            <w:shd w:val="clear"/>
            <w:noWrap/>
            <w:vAlign w:val="center"/>
          </w:tcPr>
          <w:p w14:paraId="50F1D59A">
            <w:pPr>
              <w:jc w:val="center"/>
              <w:rPr>
                <w:rFonts w:hint="default" w:ascii="Times New Roman" w:hAnsi="Times New Roman" w:eastAsia="宋体" w:cs="Times New Roman"/>
                <w:b/>
                <w:bCs/>
                <w:i w:val="0"/>
                <w:iCs w:val="0"/>
                <w:color w:val="000000"/>
                <w:sz w:val="20"/>
                <w:szCs w:val="20"/>
                <w:u w:val="none"/>
              </w:rPr>
            </w:pPr>
          </w:p>
        </w:tc>
      </w:tr>
      <w:tr w14:paraId="0E16C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nil"/>
              <w:bottom w:val="single" w:color="000000" w:sz="4" w:space="0"/>
              <w:right w:val="nil"/>
            </w:tcBorders>
            <w:shd w:val="clear"/>
            <w:noWrap/>
            <w:vAlign w:val="center"/>
          </w:tcPr>
          <w:p w14:paraId="5DE1F745">
            <w:pPr>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nil"/>
              <w:right w:val="nil"/>
            </w:tcBorders>
            <w:shd w:val="clear"/>
            <w:noWrap/>
            <w:vAlign w:val="center"/>
          </w:tcPr>
          <w:p w14:paraId="6BF93CB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bdr w:val="none" w:color="auto" w:sz="0" w:space="0"/>
                <w:lang w:val="en-US" w:eastAsia="zh-CN" w:bidi="ar"/>
              </w:rPr>
              <w:t>BBB</w:t>
            </w:r>
          </w:p>
        </w:tc>
        <w:tc>
          <w:tcPr>
            <w:tcW w:w="0" w:type="auto"/>
            <w:vMerge w:val="continue"/>
            <w:tcBorders>
              <w:top w:val="single" w:color="000000" w:sz="4" w:space="0"/>
              <w:left w:val="nil"/>
              <w:bottom w:val="single" w:color="000000" w:sz="4" w:space="0"/>
              <w:right w:val="nil"/>
            </w:tcBorders>
            <w:shd w:val="clear"/>
            <w:noWrap/>
            <w:vAlign w:val="center"/>
          </w:tcPr>
          <w:p w14:paraId="031DF23B">
            <w:pPr>
              <w:jc w:val="center"/>
              <w:rPr>
                <w:rFonts w:hint="default" w:ascii="Times New Roman" w:hAnsi="Times New Roman" w:eastAsia="宋体" w:cs="Times New Roman"/>
                <w:b/>
                <w:bCs/>
                <w:i w:val="0"/>
                <w:iCs w:val="0"/>
                <w:color w:val="000000"/>
                <w:sz w:val="20"/>
                <w:szCs w:val="20"/>
                <w:u w:val="none"/>
              </w:rPr>
            </w:pPr>
          </w:p>
        </w:tc>
        <w:tc>
          <w:tcPr>
            <w:tcW w:w="0" w:type="auto"/>
            <w:vMerge w:val="continue"/>
            <w:tcBorders>
              <w:top w:val="single" w:color="000000" w:sz="4" w:space="0"/>
              <w:left w:val="nil"/>
              <w:bottom w:val="single" w:color="000000" w:sz="4" w:space="0"/>
              <w:right w:val="nil"/>
            </w:tcBorders>
            <w:shd w:val="clear"/>
            <w:noWrap/>
            <w:vAlign w:val="center"/>
          </w:tcPr>
          <w:p w14:paraId="09396724">
            <w:pPr>
              <w:jc w:val="center"/>
              <w:rPr>
                <w:rFonts w:hint="default" w:ascii="Times New Roman" w:hAnsi="Times New Roman" w:eastAsia="宋体" w:cs="Times New Roman"/>
                <w:b/>
                <w:bCs/>
                <w:i w:val="0"/>
                <w:iCs w:val="0"/>
                <w:color w:val="000000"/>
                <w:sz w:val="20"/>
                <w:szCs w:val="20"/>
                <w:u w:val="none"/>
              </w:rPr>
            </w:pPr>
          </w:p>
        </w:tc>
        <w:tc>
          <w:tcPr>
            <w:tcW w:w="0" w:type="auto"/>
            <w:vMerge w:val="continue"/>
            <w:tcBorders>
              <w:top w:val="single" w:color="000000" w:sz="4" w:space="0"/>
              <w:left w:val="nil"/>
              <w:bottom w:val="single" w:color="000000" w:sz="4" w:space="0"/>
              <w:right w:val="nil"/>
            </w:tcBorders>
            <w:shd w:val="clear"/>
            <w:noWrap/>
            <w:vAlign w:val="center"/>
          </w:tcPr>
          <w:p w14:paraId="40BF9901">
            <w:pPr>
              <w:jc w:val="center"/>
              <w:rPr>
                <w:rFonts w:hint="default" w:ascii="Times New Roman" w:hAnsi="Times New Roman" w:eastAsia="宋体" w:cs="Times New Roman"/>
                <w:b/>
                <w:bCs/>
                <w:i w:val="0"/>
                <w:iCs w:val="0"/>
                <w:color w:val="000000"/>
                <w:sz w:val="20"/>
                <w:szCs w:val="20"/>
                <w:u w:val="none"/>
              </w:rPr>
            </w:pPr>
          </w:p>
        </w:tc>
        <w:tc>
          <w:tcPr>
            <w:tcW w:w="0" w:type="auto"/>
            <w:vMerge w:val="continue"/>
            <w:tcBorders>
              <w:top w:val="single" w:color="000000" w:sz="4" w:space="0"/>
              <w:left w:val="nil"/>
              <w:bottom w:val="single" w:color="000000" w:sz="4" w:space="0"/>
              <w:right w:val="nil"/>
            </w:tcBorders>
            <w:shd w:val="clear"/>
            <w:noWrap/>
            <w:vAlign w:val="center"/>
          </w:tcPr>
          <w:p w14:paraId="06572D05">
            <w:pPr>
              <w:jc w:val="center"/>
              <w:rPr>
                <w:rFonts w:hint="default" w:ascii="Times New Roman" w:hAnsi="Times New Roman" w:eastAsia="宋体" w:cs="Times New Roman"/>
                <w:b/>
                <w:bCs/>
                <w:i w:val="0"/>
                <w:iCs w:val="0"/>
                <w:color w:val="000000"/>
                <w:sz w:val="20"/>
                <w:szCs w:val="20"/>
                <w:u w:val="none"/>
              </w:rPr>
            </w:pPr>
          </w:p>
        </w:tc>
        <w:tc>
          <w:tcPr>
            <w:tcW w:w="0" w:type="auto"/>
            <w:vMerge w:val="continue"/>
            <w:tcBorders>
              <w:top w:val="single" w:color="000000" w:sz="4" w:space="0"/>
              <w:left w:val="nil"/>
              <w:bottom w:val="single" w:color="000000" w:sz="4" w:space="0"/>
              <w:right w:val="nil"/>
            </w:tcBorders>
            <w:shd w:val="clear"/>
            <w:noWrap/>
            <w:vAlign w:val="center"/>
          </w:tcPr>
          <w:p w14:paraId="6A367734">
            <w:pPr>
              <w:jc w:val="center"/>
              <w:rPr>
                <w:rFonts w:hint="default" w:ascii="Times New Roman" w:hAnsi="Times New Roman" w:eastAsia="宋体" w:cs="Times New Roman"/>
                <w:b/>
                <w:bCs/>
                <w:i w:val="0"/>
                <w:iCs w:val="0"/>
                <w:color w:val="000000"/>
                <w:sz w:val="20"/>
                <w:szCs w:val="20"/>
                <w:u w:val="none"/>
              </w:rPr>
            </w:pPr>
          </w:p>
        </w:tc>
      </w:tr>
      <w:tr w14:paraId="0CFB0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nil"/>
              <w:bottom w:val="single" w:color="000000" w:sz="4" w:space="0"/>
              <w:right w:val="nil"/>
            </w:tcBorders>
            <w:shd w:val="clear"/>
            <w:noWrap/>
            <w:vAlign w:val="center"/>
          </w:tcPr>
          <w:p w14:paraId="0C72D30D">
            <w:pPr>
              <w:jc w:val="center"/>
              <w:rPr>
                <w:rFonts w:hint="default" w:ascii="Times New Roman" w:hAnsi="Times New Roman" w:eastAsia="宋体" w:cs="Times New Roman"/>
                <w:b/>
                <w:bCs/>
                <w:i w:val="0"/>
                <w:iCs w:val="0"/>
                <w:color w:val="000000"/>
                <w:sz w:val="20"/>
                <w:szCs w:val="20"/>
                <w:u w:val="none"/>
              </w:rPr>
            </w:pPr>
          </w:p>
        </w:tc>
        <w:tc>
          <w:tcPr>
            <w:tcW w:w="0" w:type="auto"/>
            <w:tcBorders>
              <w:top w:val="nil"/>
              <w:left w:val="nil"/>
              <w:bottom w:val="single" w:color="000000" w:sz="4" w:space="0"/>
              <w:right w:val="nil"/>
            </w:tcBorders>
            <w:shd w:val="clear"/>
            <w:noWrap/>
            <w:vAlign w:val="center"/>
          </w:tcPr>
          <w:p w14:paraId="6D71417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bdr w:val="none" w:color="auto" w:sz="0" w:space="0"/>
                <w:lang w:val="en-US" w:eastAsia="zh-CN" w:bidi="ar"/>
              </w:rPr>
              <w:t>BWC</w:t>
            </w:r>
          </w:p>
        </w:tc>
        <w:tc>
          <w:tcPr>
            <w:tcW w:w="0" w:type="auto"/>
            <w:vMerge w:val="continue"/>
            <w:tcBorders>
              <w:top w:val="single" w:color="000000" w:sz="4" w:space="0"/>
              <w:left w:val="nil"/>
              <w:bottom w:val="single" w:color="000000" w:sz="4" w:space="0"/>
              <w:right w:val="nil"/>
            </w:tcBorders>
            <w:shd w:val="clear"/>
            <w:noWrap/>
            <w:vAlign w:val="center"/>
          </w:tcPr>
          <w:p w14:paraId="0507012E">
            <w:pPr>
              <w:jc w:val="center"/>
              <w:rPr>
                <w:rFonts w:hint="default" w:ascii="Times New Roman" w:hAnsi="Times New Roman" w:eastAsia="宋体" w:cs="Times New Roman"/>
                <w:b/>
                <w:bCs/>
                <w:i w:val="0"/>
                <w:iCs w:val="0"/>
                <w:color w:val="000000"/>
                <w:sz w:val="20"/>
                <w:szCs w:val="20"/>
                <w:u w:val="none"/>
              </w:rPr>
            </w:pPr>
          </w:p>
        </w:tc>
        <w:tc>
          <w:tcPr>
            <w:tcW w:w="0" w:type="auto"/>
            <w:vMerge w:val="continue"/>
            <w:tcBorders>
              <w:top w:val="single" w:color="000000" w:sz="4" w:space="0"/>
              <w:left w:val="nil"/>
              <w:bottom w:val="single" w:color="000000" w:sz="4" w:space="0"/>
              <w:right w:val="nil"/>
            </w:tcBorders>
            <w:shd w:val="clear"/>
            <w:noWrap/>
            <w:vAlign w:val="center"/>
          </w:tcPr>
          <w:p w14:paraId="09D2D622">
            <w:pPr>
              <w:jc w:val="center"/>
              <w:rPr>
                <w:rFonts w:hint="default" w:ascii="Times New Roman" w:hAnsi="Times New Roman" w:eastAsia="宋体" w:cs="Times New Roman"/>
                <w:b/>
                <w:bCs/>
                <w:i w:val="0"/>
                <w:iCs w:val="0"/>
                <w:color w:val="000000"/>
                <w:sz w:val="20"/>
                <w:szCs w:val="20"/>
                <w:u w:val="none"/>
              </w:rPr>
            </w:pPr>
          </w:p>
        </w:tc>
        <w:tc>
          <w:tcPr>
            <w:tcW w:w="0" w:type="auto"/>
            <w:vMerge w:val="continue"/>
            <w:tcBorders>
              <w:top w:val="single" w:color="000000" w:sz="4" w:space="0"/>
              <w:left w:val="nil"/>
              <w:bottom w:val="single" w:color="000000" w:sz="4" w:space="0"/>
              <w:right w:val="nil"/>
            </w:tcBorders>
            <w:shd w:val="clear"/>
            <w:noWrap/>
            <w:vAlign w:val="center"/>
          </w:tcPr>
          <w:p w14:paraId="1C8EF8FC">
            <w:pPr>
              <w:jc w:val="center"/>
              <w:rPr>
                <w:rFonts w:hint="default" w:ascii="Times New Roman" w:hAnsi="Times New Roman" w:eastAsia="宋体" w:cs="Times New Roman"/>
                <w:b/>
                <w:bCs/>
                <w:i w:val="0"/>
                <w:iCs w:val="0"/>
                <w:color w:val="000000"/>
                <w:sz w:val="20"/>
                <w:szCs w:val="20"/>
                <w:u w:val="none"/>
              </w:rPr>
            </w:pPr>
          </w:p>
        </w:tc>
        <w:tc>
          <w:tcPr>
            <w:tcW w:w="0" w:type="auto"/>
            <w:vMerge w:val="continue"/>
            <w:tcBorders>
              <w:top w:val="single" w:color="000000" w:sz="4" w:space="0"/>
              <w:left w:val="nil"/>
              <w:bottom w:val="single" w:color="000000" w:sz="4" w:space="0"/>
              <w:right w:val="nil"/>
            </w:tcBorders>
            <w:shd w:val="clear"/>
            <w:noWrap/>
            <w:vAlign w:val="center"/>
          </w:tcPr>
          <w:p w14:paraId="27CF38BC">
            <w:pPr>
              <w:jc w:val="center"/>
              <w:rPr>
                <w:rFonts w:hint="default" w:ascii="Times New Roman" w:hAnsi="Times New Roman" w:eastAsia="宋体" w:cs="Times New Roman"/>
                <w:b/>
                <w:bCs/>
                <w:i w:val="0"/>
                <w:iCs w:val="0"/>
                <w:color w:val="000000"/>
                <w:sz w:val="20"/>
                <w:szCs w:val="20"/>
                <w:u w:val="none"/>
              </w:rPr>
            </w:pPr>
          </w:p>
        </w:tc>
        <w:tc>
          <w:tcPr>
            <w:tcW w:w="0" w:type="auto"/>
            <w:vMerge w:val="continue"/>
            <w:tcBorders>
              <w:top w:val="single" w:color="000000" w:sz="4" w:space="0"/>
              <w:left w:val="nil"/>
              <w:bottom w:val="single" w:color="000000" w:sz="4" w:space="0"/>
              <w:right w:val="nil"/>
            </w:tcBorders>
            <w:shd w:val="clear"/>
            <w:noWrap/>
            <w:vAlign w:val="center"/>
          </w:tcPr>
          <w:p w14:paraId="52370CC1">
            <w:pPr>
              <w:jc w:val="center"/>
              <w:rPr>
                <w:rFonts w:hint="default" w:ascii="Times New Roman" w:hAnsi="Times New Roman" w:eastAsia="宋体" w:cs="Times New Roman"/>
                <w:b/>
                <w:bCs/>
                <w:i w:val="0"/>
                <w:iCs w:val="0"/>
                <w:color w:val="000000"/>
                <w:sz w:val="20"/>
                <w:szCs w:val="20"/>
                <w:u w:val="none"/>
              </w:rPr>
            </w:pPr>
          </w:p>
        </w:tc>
      </w:tr>
      <w:tr w14:paraId="2066D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738EA0EB">
            <w:pPr>
              <w:keepNext w:val="0"/>
              <w:keepLines w:val="0"/>
              <w:widowControl/>
              <w:suppressLineNumbers w:val="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bdr w:val="none" w:color="auto" w:sz="0" w:space="0"/>
                <w:lang w:val="en-US" w:eastAsia="zh-CN" w:bidi="ar"/>
              </w:rPr>
              <w:t>Experimental 1</w:t>
            </w:r>
          </w:p>
        </w:tc>
        <w:tc>
          <w:tcPr>
            <w:tcW w:w="0" w:type="auto"/>
            <w:tcBorders>
              <w:top w:val="nil"/>
              <w:left w:val="nil"/>
              <w:bottom w:val="nil"/>
              <w:right w:val="nil"/>
            </w:tcBorders>
            <w:shd w:val="clear"/>
            <w:noWrap/>
            <w:vAlign w:val="center"/>
          </w:tcPr>
          <w:p w14:paraId="338FE460">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14:paraId="4B7BE78B">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14:paraId="66061054">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14:paraId="7D3B1E7A">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14:paraId="5B5E4225">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noWrap/>
            <w:vAlign w:val="center"/>
          </w:tcPr>
          <w:p w14:paraId="4AAEBA0D">
            <w:pPr>
              <w:jc w:val="center"/>
              <w:rPr>
                <w:rFonts w:hint="eastAsia" w:ascii="宋体" w:hAnsi="宋体" w:eastAsia="宋体" w:cs="宋体"/>
                <w:i w:val="0"/>
                <w:iCs w:val="0"/>
                <w:color w:val="000000"/>
                <w:sz w:val="20"/>
                <w:szCs w:val="20"/>
                <w:u w:val="none"/>
              </w:rPr>
            </w:pPr>
          </w:p>
        </w:tc>
      </w:tr>
      <w:tr w14:paraId="1E59F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4DCBDD7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Sham</w:t>
            </w:r>
          </w:p>
        </w:tc>
        <w:tc>
          <w:tcPr>
            <w:tcW w:w="0" w:type="auto"/>
            <w:tcBorders>
              <w:top w:val="nil"/>
              <w:left w:val="nil"/>
              <w:bottom w:val="nil"/>
              <w:right w:val="nil"/>
            </w:tcBorders>
            <w:shd w:val="clear"/>
            <w:noWrap/>
            <w:vAlign w:val="center"/>
          </w:tcPr>
          <w:p w14:paraId="6E49912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w:t>
            </w:r>
          </w:p>
        </w:tc>
        <w:tc>
          <w:tcPr>
            <w:tcW w:w="0" w:type="auto"/>
            <w:tcBorders>
              <w:top w:val="nil"/>
              <w:left w:val="nil"/>
              <w:bottom w:val="nil"/>
              <w:right w:val="nil"/>
            </w:tcBorders>
            <w:shd w:val="clear"/>
            <w:noWrap/>
            <w:vAlign w:val="center"/>
          </w:tcPr>
          <w:p w14:paraId="322C732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w:t>
            </w:r>
          </w:p>
        </w:tc>
        <w:tc>
          <w:tcPr>
            <w:tcW w:w="0" w:type="auto"/>
            <w:tcBorders>
              <w:top w:val="nil"/>
              <w:left w:val="nil"/>
              <w:bottom w:val="nil"/>
              <w:right w:val="nil"/>
            </w:tcBorders>
            <w:shd w:val="clear"/>
            <w:noWrap/>
            <w:vAlign w:val="center"/>
          </w:tcPr>
          <w:p w14:paraId="39B92302">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noWrap/>
            <w:vAlign w:val="center"/>
          </w:tcPr>
          <w:p w14:paraId="2E8BF6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w:t>
            </w:r>
          </w:p>
        </w:tc>
        <w:tc>
          <w:tcPr>
            <w:tcW w:w="0" w:type="auto"/>
            <w:tcBorders>
              <w:top w:val="nil"/>
              <w:left w:val="nil"/>
              <w:bottom w:val="nil"/>
              <w:right w:val="nil"/>
            </w:tcBorders>
            <w:shd w:val="clear"/>
            <w:noWrap/>
            <w:vAlign w:val="center"/>
          </w:tcPr>
          <w:p w14:paraId="64A6AB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0</w:t>
            </w:r>
          </w:p>
        </w:tc>
        <w:tc>
          <w:tcPr>
            <w:tcW w:w="0" w:type="auto"/>
            <w:tcBorders>
              <w:top w:val="nil"/>
              <w:left w:val="nil"/>
              <w:bottom w:val="nil"/>
              <w:right w:val="nil"/>
            </w:tcBorders>
            <w:shd w:val="clear"/>
            <w:noWrap/>
            <w:vAlign w:val="center"/>
          </w:tcPr>
          <w:p w14:paraId="766CC3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r>
      <w:tr w14:paraId="4FE4A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7F5BC99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ICH</w:t>
            </w:r>
          </w:p>
        </w:tc>
        <w:tc>
          <w:tcPr>
            <w:tcW w:w="0" w:type="auto"/>
            <w:tcBorders>
              <w:top w:val="nil"/>
              <w:left w:val="nil"/>
              <w:bottom w:val="nil"/>
              <w:right w:val="nil"/>
            </w:tcBorders>
            <w:shd w:val="clear"/>
            <w:noWrap/>
            <w:vAlign w:val="center"/>
          </w:tcPr>
          <w:p w14:paraId="725FB51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5</w:t>
            </w:r>
          </w:p>
        </w:tc>
        <w:tc>
          <w:tcPr>
            <w:tcW w:w="0" w:type="auto"/>
            <w:tcBorders>
              <w:top w:val="nil"/>
              <w:left w:val="nil"/>
              <w:bottom w:val="nil"/>
              <w:right w:val="nil"/>
            </w:tcBorders>
            <w:shd w:val="clear"/>
            <w:noWrap/>
            <w:vAlign w:val="center"/>
          </w:tcPr>
          <w:p w14:paraId="7E0D036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6</w:t>
            </w:r>
          </w:p>
        </w:tc>
        <w:tc>
          <w:tcPr>
            <w:tcW w:w="0" w:type="auto"/>
            <w:tcBorders>
              <w:top w:val="nil"/>
              <w:left w:val="nil"/>
              <w:bottom w:val="nil"/>
              <w:right w:val="nil"/>
            </w:tcBorders>
            <w:shd w:val="clear"/>
            <w:noWrap/>
            <w:vAlign w:val="center"/>
          </w:tcPr>
          <w:p w14:paraId="0127CF14">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noWrap/>
            <w:vAlign w:val="center"/>
          </w:tcPr>
          <w:p w14:paraId="7122CED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0" w:type="auto"/>
            <w:tcBorders>
              <w:top w:val="nil"/>
              <w:left w:val="nil"/>
              <w:bottom w:val="nil"/>
              <w:right w:val="nil"/>
            </w:tcBorders>
            <w:shd w:val="clear"/>
            <w:noWrap/>
            <w:vAlign w:val="center"/>
          </w:tcPr>
          <w:p w14:paraId="4531AD5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1(8.33%)</w:t>
            </w:r>
          </w:p>
        </w:tc>
        <w:tc>
          <w:tcPr>
            <w:tcW w:w="0" w:type="auto"/>
            <w:tcBorders>
              <w:top w:val="nil"/>
              <w:left w:val="nil"/>
              <w:bottom w:val="nil"/>
              <w:right w:val="nil"/>
            </w:tcBorders>
            <w:shd w:val="clear"/>
            <w:noWrap/>
            <w:vAlign w:val="center"/>
          </w:tcPr>
          <w:p w14:paraId="4FBF0C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r>
      <w:tr w14:paraId="757DA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3D87C59C">
            <w:pPr>
              <w:keepNext w:val="0"/>
              <w:keepLines w:val="0"/>
              <w:widowControl/>
              <w:suppressLineNumbers w:val="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bdr w:val="none" w:color="auto" w:sz="0" w:space="0"/>
                <w:lang w:val="en-US" w:eastAsia="zh-CN" w:bidi="ar"/>
              </w:rPr>
              <w:t>Experimental 2</w:t>
            </w:r>
          </w:p>
        </w:tc>
        <w:tc>
          <w:tcPr>
            <w:tcW w:w="0" w:type="auto"/>
            <w:tcBorders>
              <w:top w:val="nil"/>
              <w:left w:val="nil"/>
              <w:bottom w:val="nil"/>
              <w:right w:val="nil"/>
            </w:tcBorders>
            <w:shd w:val="clear"/>
            <w:noWrap/>
            <w:vAlign w:val="center"/>
          </w:tcPr>
          <w:p w14:paraId="46F7E121">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noWrap/>
            <w:vAlign w:val="center"/>
          </w:tcPr>
          <w:p w14:paraId="78D622BF">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noWrap/>
            <w:vAlign w:val="center"/>
          </w:tcPr>
          <w:p w14:paraId="4F6A798F">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noWrap/>
            <w:vAlign w:val="center"/>
          </w:tcPr>
          <w:p w14:paraId="0838A7E6">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noWrap/>
            <w:vAlign w:val="center"/>
          </w:tcPr>
          <w:p w14:paraId="2DF001F6">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noWrap/>
            <w:vAlign w:val="center"/>
          </w:tcPr>
          <w:p w14:paraId="3E33F316">
            <w:pPr>
              <w:jc w:val="center"/>
              <w:rPr>
                <w:rFonts w:hint="eastAsia" w:ascii="宋体" w:hAnsi="宋体" w:eastAsia="宋体" w:cs="宋体"/>
                <w:i w:val="0"/>
                <w:iCs w:val="0"/>
                <w:color w:val="000000"/>
                <w:sz w:val="20"/>
                <w:szCs w:val="20"/>
                <w:u w:val="none"/>
              </w:rPr>
            </w:pPr>
          </w:p>
        </w:tc>
      </w:tr>
      <w:tr w14:paraId="4B421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72446E4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Sham</w:t>
            </w:r>
          </w:p>
        </w:tc>
        <w:tc>
          <w:tcPr>
            <w:tcW w:w="0" w:type="auto"/>
            <w:tcBorders>
              <w:top w:val="nil"/>
              <w:left w:val="nil"/>
              <w:bottom w:val="nil"/>
              <w:right w:val="nil"/>
            </w:tcBorders>
            <w:shd w:val="clear"/>
            <w:noWrap/>
            <w:vAlign w:val="center"/>
          </w:tcPr>
          <w:p w14:paraId="0B5E5B8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23</w:t>
            </w:r>
          </w:p>
        </w:tc>
        <w:tc>
          <w:tcPr>
            <w:tcW w:w="0" w:type="auto"/>
            <w:tcBorders>
              <w:top w:val="nil"/>
              <w:left w:val="nil"/>
              <w:bottom w:val="nil"/>
              <w:right w:val="nil"/>
            </w:tcBorders>
            <w:shd w:val="clear"/>
            <w:noWrap/>
            <w:vAlign w:val="center"/>
          </w:tcPr>
          <w:p w14:paraId="617143E0">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noWrap/>
            <w:vAlign w:val="center"/>
          </w:tcPr>
          <w:p w14:paraId="04995670">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noWrap/>
            <w:vAlign w:val="center"/>
          </w:tcPr>
          <w:p w14:paraId="03320D7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0" w:type="auto"/>
            <w:tcBorders>
              <w:top w:val="nil"/>
              <w:left w:val="nil"/>
              <w:bottom w:val="nil"/>
              <w:right w:val="nil"/>
            </w:tcBorders>
            <w:shd w:val="clear"/>
            <w:noWrap/>
            <w:vAlign w:val="center"/>
          </w:tcPr>
          <w:p w14:paraId="5CC8D46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0" w:type="auto"/>
            <w:tcBorders>
              <w:top w:val="nil"/>
              <w:left w:val="nil"/>
              <w:bottom w:val="nil"/>
              <w:right w:val="nil"/>
            </w:tcBorders>
            <w:shd w:val="clear"/>
            <w:noWrap/>
            <w:vAlign w:val="center"/>
          </w:tcPr>
          <w:p w14:paraId="146BB7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23</w:t>
            </w:r>
          </w:p>
        </w:tc>
      </w:tr>
      <w:tr w14:paraId="43652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3975330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ICH+Vehicle</w:t>
            </w:r>
          </w:p>
        </w:tc>
        <w:tc>
          <w:tcPr>
            <w:tcW w:w="0" w:type="auto"/>
            <w:tcBorders>
              <w:top w:val="nil"/>
              <w:left w:val="nil"/>
              <w:bottom w:val="nil"/>
              <w:right w:val="nil"/>
            </w:tcBorders>
            <w:shd w:val="clear"/>
            <w:noWrap/>
            <w:vAlign w:val="center"/>
          </w:tcPr>
          <w:p w14:paraId="4C8F568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17</w:t>
            </w:r>
          </w:p>
        </w:tc>
        <w:tc>
          <w:tcPr>
            <w:tcW w:w="0" w:type="auto"/>
            <w:tcBorders>
              <w:top w:val="nil"/>
              <w:left w:val="nil"/>
              <w:bottom w:val="nil"/>
              <w:right w:val="nil"/>
            </w:tcBorders>
            <w:shd w:val="clear"/>
            <w:noWrap/>
            <w:vAlign w:val="center"/>
          </w:tcPr>
          <w:p w14:paraId="600FD756">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noWrap/>
            <w:vAlign w:val="center"/>
          </w:tcPr>
          <w:p w14:paraId="28D042BA">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noWrap/>
            <w:vAlign w:val="center"/>
          </w:tcPr>
          <w:p w14:paraId="187BDB9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0" w:type="auto"/>
            <w:tcBorders>
              <w:top w:val="nil"/>
              <w:left w:val="nil"/>
              <w:bottom w:val="nil"/>
              <w:right w:val="nil"/>
            </w:tcBorders>
            <w:shd w:val="clear"/>
            <w:noWrap/>
            <w:vAlign w:val="center"/>
          </w:tcPr>
          <w:p w14:paraId="501B470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5(21.74%)</w:t>
            </w:r>
          </w:p>
        </w:tc>
        <w:tc>
          <w:tcPr>
            <w:tcW w:w="0" w:type="auto"/>
            <w:tcBorders>
              <w:top w:val="nil"/>
              <w:left w:val="nil"/>
              <w:bottom w:val="nil"/>
              <w:right w:val="nil"/>
            </w:tcBorders>
            <w:shd w:val="clear"/>
            <w:noWrap/>
            <w:vAlign w:val="center"/>
          </w:tcPr>
          <w:p w14:paraId="244E11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23</w:t>
            </w:r>
          </w:p>
        </w:tc>
      </w:tr>
      <w:tr w14:paraId="7EEE6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79DA1C2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ICH+SZ168</w:t>
            </w:r>
          </w:p>
        </w:tc>
        <w:tc>
          <w:tcPr>
            <w:tcW w:w="0" w:type="auto"/>
            <w:tcBorders>
              <w:top w:val="nil"/>
              <w:left w:val="nil"/>
              <w:bottom w:val="nil"/>
              <w:right w:val="nil"/>
            </w:tcBorders>
            <w:shd w:val="clear"/>
            <w:noWrap/>
            <w:vAlign w:val="center"/>
          </w:tcPr>
          <w:p w14:paraId="459EDB6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19</w:t>
            </w:r>
          </w:p>
        </w:tc>
        <w:tc>
          <w:tcPr>
            <w:tcW w:w="0" w:type="auto"/>
            <w:tcBorders>
              <w:top w:val="nil"/>
              <w:left w:val="nil"/>
              <w:bottom w:val="nil"/>
              <w:right w:val="nil"/>
            </w:tcBorders>
            <w:shd w:val="clear"/>
            <w:noWrap/>
            <w:vAlign w:val="center"/>
          </w:tcPr>
          <w:p w14:paraId="1C711CA4">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noWrap/>
            <w:vAlign w:val="center"/>
          </w:tcPr>
          <w:p w14:paraId="560434D6">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noWrap/>
            <w:vAlign w:val="center"/>
          </w:tcPr>
          <w:p w14:paraId="0F26D09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0" w:type="auto"/>
            <w:tcBorders>
              <w:top w:val="nil"/>
              <w:left w:val="nil"/>
              <w:bottom w:val="nil"/>
              <w:right w:val="nil"/>
            </w:tcBorders>
            <w:shd w:val="clear"/>
            <w:noWrap/>
            <w:vAlign w:val="center"/>
          </w:tcPr>
          <w:p w14:paraId="2B38404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4(17.29%)</w:t>
            </w:r>
          </w:p>
        </w:tc>
        <w:tc>
          <w:tcPr>
            <w:tcW w:w="0" w:type="auto"/>
            <w:tcBorders>
              <w:top w:val="nil"/>
              <w:left w:val="nil"/>
              <w:bottom w:val="nil"/>
              <w:right w:val="nil"/>
            </w:tcBorders>
            <w:shd w:val="clear"/>
            <w:noWrap/>
            <w:vAlign w:val="center"/>
          </w:tcPr>
          <w:p w14:paraId="733D62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23</w:t>
            </w:r>
          </w:p>
        </w:tc>
      </w:tr>
      <w:tr w14:paraId="48638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37AAE246">
            <w:pPr>
              <w:keepNext w:val="0"/>
              <w:keepLines w:val="0"/>
              <w:widowControl/>
              <w:suppressLineNumbers w:val="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bdr w:val="none" w:color="auto" w:sz="0" w:space="0"/>
                <w:lang w:val="en-US" w:eastAsia="zh-CN" w:bidi="ar"/>
              </w:rPr>
              <w:t>Experimental 3</w:t>
            </w:r>
          </w:p>
        </w:tc>
        <w:tc>
          <w:tcPr>
            <w:tcW w:w="0" w:type="auto"/>
            <w:tcBorders>
              <w:top w:val="nil"/>
              <w:left w:val="nil"/>
              <w:bottom w:val="nil"/>
              <w:right w:val="nil"/>
            </w:tcBorders>
            <w:shd w:val="clear"/>
            <w:noWrap/>
            <w:vAlign w:val="center"/>
          </w:tcPr>
          <w:p w14:paraId="6F66FD88">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noWrap/>
            <w:vAlign w:val="center"/>
          </w:tcPr>
          <w:p w14:paraId="37AD1460">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noWrap/>
            <w:vAlign w:val="center"/>
          </w:tcPr>
          <w:p w14:paraId="7A34962A">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noWrap/>
            <w:vAlign w:val="center"/>
          </w:tcPr>
          <w:p w14:paraId="257187E3">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noWrap/>
            <w:vAlign w:val="center"/>
          </w:tcPr>
          <w:p w14:paraId="3506FDFC">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noWrap/>
            <w:vAlign w:val="center"/>
          </w:tcPr>
          <w:p w14:paraId="6062BEF8">
            <w:pPr>
              <w:jc w:val="center"/>
              <w:rPr>
                <w:rFonts w:hint="eastAsia" w:ascii="宋体" w:hAnsi="宋体" w:eastAsia="宋体" w:cs="宋体"/>
                <w:i w:val="0"/>
                <w:iCs w:val="0"/>
                <w:color w:val="000000"/>
                <w:sz w:val="20"/>
                <w:szCs w:val="20"/>
                <w:u w:val="none"/>
              </w:rPr>
            </w:pPr>
          </w:p>
        </w:tc>
      </w:tr>
      <w:tr w14:paraId="6C6D6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1E2B70A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Sham</w:t>
            </w:r>
          </w:p>
        </w:tc>
        <w:tc>
          <w:tcPr>
            <w:tcW w:w="0" w:type="auto"/>
            <w:tcBorders>
              <w:top w:val="nil"/>
              <w:left w:val="nil"/>
              <w:bottom w:val="nil"/>
              <w:right w:val="nil"/>
            </w:tcBorders>
            <w:shd w:val="clear"/>
            <w:noWrap/>
            <w:vAlign w:val="center"/>
          </w:tcPr>
          <w:p w14:paraId="6048AE7F">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noWrap/>
            <w:vAlign w:val="center"/>
          </w:tcPr>
          <w:p w14:paraId="61F2149C">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noWrap/>
            <w:vAlign w:val="center"/>
          </w:tcPr>
          <w:p w14:paraId="0952260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5</w:t>
            </w:r>
          </w:p>
        </w:tc>
        <w:tc>
          <w:tcPr>
            <w:tcW w:w="0" w:type="auto"/>
            <w:tcBorders>
              <w:top w:val="nil"/>
              <w:left w:val="nil"/>
              <w:bottom w:val="nil"/>
              <w:right w:val="nil"/>
            </w:tcBorders>
            <w:shd w:val="clear"/>
            <w:noWrap/>
            <w:vAlign w:val="center"/>
          </w:tcPr>
          <w:p w14:paraId="4356D8B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0" w:type="auto"/>
            <w:tcBorders>
              <w:top w:val="nil"/>
              <w:left w:val="nil"/>
              <w:bottom w:val="nil"/>
              <w:right w:val="nil"/>
            </w:tcBorders>
            <w:shd w:val="clear"/>
            <w:noWrap/>
            <w:vAlign w:val="center"/>
          </w:tcPr>
          <w:p w14:paraId="6CDA23D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0" w:type="auto"/>
            <w:tcBorders>
              <w:top w:val="nil"/>
              <w:left w:val="nil"/>
              <w:bottom w:val="nil"/>
              <w:right w:val="nil"/>
            </w:tcBorders>
            <w:shd w:val="clear"/>
            <w:noWrap/>
            <w:vAlign w:val="center"/>
          </w:tcPr>
          <w:p w14:paraId="2B3DEA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r>
      <w:tr w14:paraId="34B1C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142E356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ICH+Vehicle</w:t>
            </w:r>
          </w:p>
        </w:tc>
        <w:tc>
          <w:tcPr>
            <w:tcW w:w="0" w:type="auto"/>
            <w:tcBorders>
              <w:top w:val="nil"/>
              <w:left w:val="nil"/>
              <w:bottom w:val="nil"/>
              <w:right w:val="nil"/>
            </w:tcBorders>
            <w:shd w:val="clear"/>
            <w:noWrap/>
            <w:vAlign w:val="center"/>
          </w:tcPr>
          <w:p w14:paraId="50EF69E5">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noWrap/>
            <w:vAlign w:val="center"/>
          </w:tcPr>
          <w:p w14:paraId="2535CC5E">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noWrap/>
            <w:vAlign w:val="center"/>
          </w:tcPr>
          <w:p w14:paraId="694A818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4</w:t>
            </w:r>
          </w:p>
        </w:tc>
        <w:tc>
          <w:tcPr>
            <w:tcW w:w="0" w:type="auto"/>
            <w:tcBorders>
              <w:top w:val="nil"/>
              <w:left w:val="nil"/>
              <w:bottom w:val="nil"/>
              <w:right w:val="nil"/>
            </w:tcBorders>
            <w:shd w:val="clear"/>
            <w:noWrap/>
            <w:vAlign w:val="center"/>
          </w:tcPr>
          <w:p w14:paraId="244556F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1</w:t>
            </w:r>
          </w:p>
        </w:tc>
        <w:tc>
          <w:tcPr>
            <w:tcW w:w="0" w:type="auto"/>
            <w:tcBorders>
              <w:top w:val="nil"/>
              <w:left w:val="nil"/>
              <w:bottom w:val="nil"/>
              <w:right w:val="nil"/>
            </w:tcBorders>
            <w:shd w:val="clear"/>
            <w:noWrap/>
            <w:vAlign w:val="center"/>
          </w:tcPr>
          <w:p w14:paraId="439354A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0" w:type="auto"/>
            <w:tcBorders>
              <w:top w:val="nil"/>
              <w:left w:val="nil"/>
              <w:bottom w:val="nil"/>
              <w:right w:val="nil"/>
            </w:tcBorders>
            <w:shd w:val="clear"/>
            <w:noWrap/>
            <w:vAlign w:val="center"/>
          </w:tcPr>
          <w:p w14:paraId="55A780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r>
      <w:tr w14:paraId="53616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1BAE49A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ICH+SZ168</w:t>
            </w:r>
          </w:p>
        </w:tc>
        <w:tc>
          <w:tcPr>
            <w:tcW w:w="0" w:type="auto"/>
            <w:tcBorders>
              <w:top w:val="nil"/>
              <w:left w:val="nil"/>
              <w:bottom w:val="nil"/>
              <w:right w:val="nil"/>
            </w:tcBorders>
            <w:shd w:val="clear"/>
            <w:noWrap/>
            <w:vAlign w:val="center"/>
          </w:tcPr>
          <w:p w14:paraId="68CF62BF">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noWrap/>
            <w:vAlign w:val="center"/>
          </w:tcPr>
          <w:p w14:paraId="27BA7385">
            <w:pPr>
              <w:jc w:val="center"/>
              <w:rPr>
                <w:rFonts w:hint="default" w:ascii="Times New Roman" w:hAnsi="Times New Roman" w:eastAsia="宋体" w:cs="Times New Roman"/>
                <w:i w:val="0"/>
                <w:iCs w:val="0"/>
                <w:color w:val="000000"/>
                <w:sz w:val="20"/>
                <w:szCs w:val="20"/>
                <w:u w:val="none"/>
              </w:rPr>
            </w:pPr>
          </w:p>
        </w:tc>
        <w:tc>
          <w:tcPr>
            <w:tcW w:w="0" w:type="auto"/>
            <w:tcBorders>
              <w:top w:val="nil"/>
              <w:left w:val="nil"/>
              <w:bottom w:val="nil"/>
              <w:right w:val="nil"/>
            </w:tcBorders>
            <w:shd w:val="clear"/>
            <w:noWrap/>
            <w:vAlign w:val="center"/>
          </w:tcPr>
          <w:p w14:paraId="55C4A80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5</w:t>
            </w:r>
          </w:p>
        </w:tc>
        <w:tc>
          <w:tcPr>
            <w:tcW w:w="0" w:type="auto"/>
            <w:tcBorders>
              <w:top w:val="nil"/>
              <w:left w:val="nil"/>
              <w:bottom w:val="nil"/>
              <w:right w:val="nil"/>
            </w:tcBorders>
            <w:shd w:val="clear"/>
            <w:noWrap/>
            <w:vAlign w:val="center"/>
          </w:tcPr>
          <w:p w14:paraId="7909FE1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0" w:type="auto"/>
            <w:tcBorders>
              <w:top w:val="nil"/>
              <w:left w:val="nil"/>
              <w:bottom w:val="nil"/>
              <w:right w:val="nil"/>
            </w:tcBorders>
            <w:shd w:val="clear"/>
            <w:noWrap/>
            <w:vAlign w:val="center"/>
          </w:tcPr>
          <w:p w14:paraId="71BF7D6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bdr w:val="none" w:color="auto" w:sz="0" w:space="0"/>
                <w:lang w:val="en-US" w:eastAsia="zh-CN" w:bidi="ar"/>
              </w:rPr>
              <w:t>0</w:t>
            </w:r>
          </w:p>
        </w:tc>
        <w:tc>
          <w:tcPr>
            <w:tcW w:w="0" w:type="auto"/>
            <w:tcBorders>
              <w:top w:val="nil"/>
              <w:left w:val="nil"/>
              <w:bottom w:val="nil"/>
              <w:right w:val="nil"/>
            </w:tcBorders>
            <w:shd w:val="clear"/>
            <w:noWrap/>
            <w:vAlign w:val="center"/>
          </w:tcPr>
          <w:p w14:paraId="27CFBD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r>
      <w:tr w14:paraId="54344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tcBorders>
              <w:top w:val="nil"/>
              <w:left w:val="nil"/>
              <w:bottom w:val="single" w:color="000000" w:sz="4" w:space="0"/>
              <w:right w:val="nil"/>
            </w:tcBorders>
            <w:shd w:val="clear"/>
            <w:noWrap/>
            <w:vAlign w:val="center"/>
          </w:tcPr>
          <w:p w14:paraId="1D1158A8">
            <w:pPr>
              <w:keepNext w:val="0"/>
              <w:keepLines w:val="0"/>
              <w:widowControl/>
              <w:suppressLineNumbers w:val="0"/>
              <w:jc w:val="both"/>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bdr w:val="none" w:color="auto" w:sz="0" w:space="0"/>
                <w:lang w:val="en-US" w:eastAsia="zh-CN" w:bidi="ar"/>
              </w:rPr>
              <w:t>Total</w:t>
            </w:r>
          </w:p>
        </w:tc>
        <w:tc>
          <w:tcPr>
            <w:tcW w:w="0" w:type="auto"/>
            <w:tcBorders>
              <w:top w:val="nil"/>
              <w:left w:val="nil"/>
              <w:bottom w:val="single" w:color="000000" w:sz="4" w:space="0"/>
              <w:right w:val="nil"/>
            </w:tcBorders>
            <w:shd w:val="clear"/>
            <w:noWrap/>
            <w:vAlign w:val="center"/>
          </w:tcPr>
          <w:p w14:paraId="6D703B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71</w:t>
            </w:r>
          </w:p>
        </w:tc>
        <w:tc>
          <w:tcPr>
            <w:tcW w:w="0" w:type="auto"/>
            <w:tcBorders>
              <w:top w:val="nil"/>
              <w:left w:val="nil"/>
              <w:bottom w:val="single" w:color="000000" w:sz="4" w:space="0"/>
              <w:right w:val="nil"/>
            </w:tcBorders>
            <w:shd w:val="clear"/>
            <w:noWrap/>
            <w:vAlign w:val="center"/>
          </w:tcPr>
          <w:p w14:paraId="2FDF0A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12</w:t>
            </w:r>
          </w:p>
        </w:tc>
        <w:tc>
          <w:tcPr>
            <w:tcW w:w="0" w:type="auto"/>
            <w:tcBorders>
              <w:top w:val="nil"/>
              <w:left w:val="nil"/>
              <w:bottom w:val="single" w:color="000000" w:sz="4" w:space="0"/>
              <w:right w:val="nil"/>
            </w:tcBorders>
            <w:shd w:val="clear"/>
            <w:noWrap/>
            <w:vAlign w:val="center"/>
          </w:tcPr>
          <w:p w14:paraId="43B737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15</w:t>
            </w:r>
          </w:p>
        </w:tc>
        <w:tc>
          <w:tcPr>
            <w:tcW w:w="0" w:type="auto"/>
            <w:tcBorders>
              <w:top w:val="nil"/>
              <w:left w:val="nil"/>
              <w:bottom w:val="single" w:color="000000" w:sz="4" w:space="0"/>
              <w:right w:val="nil"/>
            </w:tcBorders>
            <w:shd w:val="clear"/>
            <w:noWrap/>
            <w:vAlign w:val="center"/>
          </w:tcPr>
          <w:p w14:paraId="7D0396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w:t>
            </w:r>
          </w:p>
        </w:tc>
        <w:tc>
          <w:tcPr>
            <w:tcW w:w="0" w:type="auto"/>
            <w:tcBorders>
              <w:top w:val="nil"/>
              <w:left w:val="nil"/>
              <w:bottom w:val="single" w:color="000000" w:sz="4" w:space="0"/>
              <w:right w:val="nil"/>
            </w:tcBorders>
            <w:shd w:val="clear"/>
            <w:noWrap/>
            <w:vAlign w:val="center"/>
          </w:tcPr>
          <w:p w14:paraId="42289C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0" w:type="auto"/>
            <w:tcBorders>
              <w:top w:val="nil"/>
              <w:left w:val="nil"/>
              <w:bottom w:val="single" w:color="000000" w:sz="4" w:space="0"/>
              <w:right w:val="nil"/>
            </w:tcBorders>
            <w:shd w:val="clear"/>
            <w:noWrap/>
            <w:vAlign w:val="center"/>
          </w:tcPr>
          <w:p w14:paraId="63DB37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108</w:t>
            </w:r>
          </w:p>
        </w:tc>
      </w:tr>
    </w:tbl>
    <w:p w14:paraId="2A0D3ECE">
      <w:pPr>
        <w:rPr>
          <w:rFonts w:hint="eastAsia" w:ascii="Times New Roman" w:hAnsi="Times New Roman" w:eastAsiaTheme="minorEastAsia"/>
          <w:b/>
          <w:bCs/>
          <w:sz w:val="28"/>
          <w:szCs w:val="28"/>
          <w:lang w:val="en-US" w:eastAsia="zh-CN"/>
        </w:rPr>
      </w:pPr>
      <w:bookmarkStart w:id="0" w:name="_GoBack"/>
      <w:bookmarkEnd w:id="0"/>
    </w:p>
    <w:p w14:paraId="617BA649">
      <w:pPr>
        <w:jc w:val="left"/>
        <w:rPr>
          <w:rFonts w:hint="eastAsia" w:ascii="Times New Roman" w:hAnsi="Times New Roman" w:eastAsiaTheme="minorEastAsia"/>
          <w:b w:val="0"/>
          <w:bCs w:val="0"/>
          <w:sz w:val="18"/>
          <w:szCs w:val="18"/>
          <w:lang w:val="en-US" w:eastAsia="zh-CN"/>
        </w:rPr>
      </w:pPr>
      <w:r>
        <w:rPr>
          <w:rFonts w:hint="eastAsia" w:ascii="Times New Roman" w:hAnsi="Times New Roman" w:eastAsiaTheme="minorEastAsia"/>
          <w:b w:val="0"/>
          <w:bCs w:val="0"/>
          <w:sz w:val="18"/>
          <w:szCs w:val="18"/>
          <w:lang w:val="en-US" w:eastAsia="zh-CN"/>
        </w:rPr>
        <w:t>ICH, intracerebral hemorrhage; WB, western blot, ELISA, enzyme-linked immunosorbent assay, BBB: Blood-brain barrier, BWC: Brain water content;</w:t>
      </w:r>
    </w:p>
    <w:sectPr>
      <w:pgSz w:w="11906" w:h="16838"/>
      <w:pgMar w:top="1440" w:right="1800" w:bottom="1440" w:left="669"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FhNDNlNmZkYmE3MTQ5OTlmMDhkNGU2ZDdiMjA4MjUifQ=="/>
  </w:docVars>
  <w:rsids>
    <w:rsidRoot w:val="0782037E"/>
    <w:rsid w:val="078203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11"/>
    <w:basedOn w:val="3"/>
    <w:uiPriority w:val="0"/>
    <w:rPr>
      <w:rFonts w:hint="default" w:ascii="Times New Roman" w:hAnsi="Times New Roman" w:cs="Times New Roman"/>
      <w:b/>
      <w:bCs/>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2024-09-18T06:40:00Z</dcterms:created>
  <dc:creator>是谣</dc:creator>
  <cp:lastModifiedBy>是谣</cp:lastModifiedBy>
  <dcterms:modified xsi:type="dcterms:W3CDTF">2024-09-18T07:32:11Z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7BC20C08240345B5896A58DDAB4D2079_11</vt:lpwstr>
  </property>
</Properties>
</file>