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87D8A4" w14:textId="77777777" w:rsidR="002B1D50" w:rsidRDefault="002B1D50" w:rsidP="002B1D50">
      <w:pPr>
        <w:pStyle w:val="Title"/>
        <w:jc w:val="center"/>
        <w:rPr>
          <w:b/>
          <w:bCs/>
          <w:sz w:val="28"/>
          <w:szCs w:val="28"/>
        </w:rPr>
      </w:pPr>
      <w:r>
        <w:rPr>
          <w:bCs/>
          <w:sz w:val="28"/>
          <w:szCs w:val="28"/>
        </w:rPr>
        <w:t>Supplementary Material to</w:t>
      </w:r>
    </w:p>
    <w:p w14:paraId="708EF227" w14:textId="77777777" w:rsidR="002B1D50" w:rsidRPr="00C24B24" w:rsidRDefault="002B1D50" w:rsidP="002B1D50"/>
    <w:p w14:paraId="36ECB58F" w14:textId="77777777" w:rsidR="002B1D50" w:rsidRPr="004C2163" w:rsidRDefault="002B1D50" w:rsidP="002B1D50">
      <w:pPr>
        <w:pStyle w:val="Title"/>
        <w:rPr>
          <w:b/>
          <w:bCs/>
          <w:sz w:val="28"/>
          <w:szCs w:val="28"/>
        </w:rPr>
      </w:pPr>
      <w:r w:rsidRPr="004C2163">
        <w:rPr>
          <w:bCs/>
          <w:sz w:val="28"/>
          <w:szCs w:val="28"/>
        </w:rPr>
        <w:t xml:space="preserve">Geological and </w:t>
      </w:r>
      <w:r>
        <w:rPr>
          <w:bCs/>
          <w:sz w:val="28"/>
          <w:szCs w:val="28"/>
        </w:rPr>
        <w:t>e</w:t>
      </w:r>
      <w:r w:rsidRPr="004C2163">
        <w:rPr>
          <w:bCs/>
          <w:sz w:val="28"/>
          <w:szCs w:val="28"/>
        </w:rPr>
        <w:t xml:space="preserve">xperimental </w:t>
      </w:r>
      <w:r>
        <w:rPr>
          <w:bCs/>
          <w:sz w:val="28"/>
          <w:szCs w:val="28"/>
        </w:rPr>
        <w:t>e</w:t>
      </w:r>
      <w:r w:rsidRPr="004C2163">
        <w:rPr>
          <w:bCs/>
          <w:sz w:val="28"/>
          <w:szCs w:val="28"/>
        </w:rPr>
        <w:t xml:space="preserve">vidence of </w:t>
      </w:r>
      <w:r>
        <w:rPr>
          <w:bCs/>
          <w:sz w:val="28"/>
          <w:szCs w:val="28"/>
        </w:rPr>
        <w:t>bi</w:t>
      </w:r>
      <w:r w:rsidRPr="004C2163">
        <w:rPr>
          <w:bCs/>
          <w:sz w:val="28"/>
          <w:szCs w:val="28"/>
        </w:rPr>
        <w:t xml:space="preserve">oavailable </w:t>
      </w:r>
      <w:r>
        <w:rPr>
          <w:bCs/>
          <w:sz w:val="28"/>
          <w:szCs w:val="28"/>
        </w:rPr>
        <w:t>p</w:t>
      </w:r>
      <w:r w:rsidRPr="004C2163">
        <w:rPr>
          <w:bCs/>
          <w:sz w:val="28"/>
          <w:szCs w:val="28"/>
        </w:rPr>
        <w:t xml:space="preserve">hosphite </w:t>
      </w:r>
      <w:r>
        <w:rPr>
          <w:bCs/>
          <w:sz w:val="28"/>
          <w:szCs w:val="28"/>
        </w:rPr>
        <w:t>d</w:t>
      </w:r>
      <w:r w:rsidRPr="004C2163">
        <w:rPr>
          <w:bCs/>
          <w:sz w:val="28"/>
          <w:szCs w:val="28"/>
        </w:rPr>
        <w:t>uring the Great Oxygenation Event</w:t>
      </w:r>
    </w:p>
    <w:p w14:paraId="31FDFE4D" w14:textId="77777777" w:rsidR="002B1D50" w:rsidRDefault="002B1D50" w:rsidP="002B1D50"/>
    <w:p w14:paraId="78119128" w14:textId="77777777" w:rsidR="002B1D50" w:rsidRPr="00073C14" w:rsidRDefault="002B1D50" w:rsidP="002B1D50">
      <w:r w:rsidRPr="00073C14">
        <w:t>Abu Saeed Baidya</w:t>
      </w:r>
      <w:r w:rsidRPr="00073C14">
        <w:rPr>
          <w:vertAlign w:val="superscript"/>
        </w:rPr>
        <w:t>1</w:t>
      </w:r>
      <w:r w:rsidRPr="00073C14">
        <w:t>, Joanne Boden</w:t>
      </w:r>
      <w:r w:rsidRPr="00073C14">
        <w:rPr>
          <w:vertAlign w:val="superscript"/>
        </w:rPr>
        <w:t>1</w:t>
      </w:r>
      <w:r w:rsidRPr="00073C14">
        <w:t>, Yuhao Li</w:t>
      </w:r>
      <w:r w:rsidRPr="00073C14">
        <w:rPr>
          <w:vertAlign w:val="superscript"/>
        </w:rPr>
        <w:t>2</w:t>
      </w:r>
      <w:r w:rsidRPr="00073C14">
        <w:t>, Albertus J.B. Smith</w:t>
      </w:r>
      <w:r w:rsidRPr="00073C14">
        <w:rPr>
          <w:vertAlign w:val="superscript"/>
        </w:rPr>
        <w:t>3,4</w:t>
      </w:r>
      <w:r w:rsidRPr="00073C14">
        <w:t>, Kurt Konhauser</w:t>
      </w:r>
      <w:r w:rsidRPr="00073C14">
        <w:rPr>
          <w:vertAlign w:val="superscript"/>
        </w:rPr>
        <w:t>2</w:t>
      </w:r>
      <w:r w:rsidRPr="00073C14">
        <w:t>, Eva E. Stüeken</w:t>
      </w:r>
      <w:r w:rsidRPr="00073C14">
        <w:rPr>
          <w:vertAlign w:val="superscript"/>
        </w:rPr>
        <w:t>1</w:t>
      </w:r>
      <w:r w:rsidRPr="00073C14">
        <w:rPr>
          <w:vertAlign w:val="subscript"/>
        </w:rPr>
        <w:t xml:space="preserve">, </w:t>
      </w:r>
    </w:p>
    <w:p w14:paraId="54FAACC8" w14:textId="77777777" w:rsidR="002B1D50" w:rsidRPr="00073C14" w:rsidRDefault="002B1D50" w:rsidP="002B1D50"/>
    <w:p w14:paraId="2FC35B3C" w14:textId="77777777" w:rsidR="002B1D50" w:rsidRPr="00EB17C4" w:rsidRDefault="002B1D50" w:rsidP="002B1D50">
      <w:pPr>
        <w:rPr>
          <w:rFonts w:ascii="Times New Roman" w:hAnsi="Times New Roman"/>
          <w:i/>
          <w:iCs/>
        </w:rPr>
      </w:pPr>
      <w:r w:rsidRPr="00EB17C4">
        <w:rPr>
          <w:i/>
          <w:iCs/>
          <w:vertAlign w:val="superscript"/>
        </w:rPr>
        <w:t>1</w:t>
      </w:r>
      <w:r w:rsidRPr="00EB17C4">
        <w:rPr>
          <w:i/>
          <w:iCs/>
        </w:rPr>
        <w:t>School of Earth and Environmental Sciences, University of St. Andrews, St Andrews KY16 9TS, United Kingdom</w:t>
      </w:r>
    </w:p>
    <w:p w14:paraId="748FD9D2" w14:textId="77777777" w:rsidR="002B1D50" w:rsidRDefault="002B1D50" w:rsidP="002B1D50">
      <w:pPr>
        <w:rPr>
          <w:i/>
          <w:iCs/>
        </w:rPr>
      </w:pPr>
      <w:r w:rsidRPr="00EB17C4">
        <w:rPr>
          <w:i/>
          <w:iCs/>
          <w:vertAlign w:val="superscript"/>
        </w:rPr>
        <w:t>2</w:t>
      </w:r>
      <w:r w:rsidRPr="00EB17C4">
        <w:rPr>
          <w:i/>
          <w:iCs/>
        </w:rPr>
        <w:t xml:space="preserve">Department of Earth and Atmospheric Sciences, University of Alberta, Earth Sciences Building, Edmonton, Alberta T6G 2E3, Canada </w:t>
      </w:r>
    </w:p>
    <w:p w14:paraId="4DA44300" w14:textId="77777777" w:rsidR="002B1D50" w:rsidRDefault="002B1D50" w:rsidP="002B1D50">
      <w:pPr>
        <w:rPr>
          <w:i/>
          <w:iCs/>
        </w:rPr>
      </w:pPr>
      <w:r w:rsidRPr="00110395">
        <w:rPr>
          <w:i/>
          <w:iCs/>
          <w:vertAlign w:val="superscript"/>
        </w:rPr>
        <w:t>3</w:t>
      </w:r>
      <w:r>
        <w:rPr>
          <w:i/>
          <w:iCs/>
        </w:rPr>
        <w:t>Department of Science and Innovation-National Research Foundation Centre of Excellence in Integrated Mineral and Energy Resource Analysis, Department of Geology, University of Johannesburg, Auckland Park, 2092, Johannesburg, South Africa</w:t>
      </w:r>
    </w:p>
    <w:p w14:paraId="31AB3EA1" w14:textId="77777777" w:rsidR="002B1D50" w:rsidRDefault="002B1D50" w:rsidP="002B1D50">
      <w:pPr>
        <w:rPr>
          <w:i/>
          <w:iCs/>
        </w:rPr>
      </w:pPr>
      <w:r w:rsidRPr="00110395">
        <w:rPr>
          <w:i/>
          <w:iCs/>
          <w:vertAlign w:val="superscript"/>
        </w:rPr>
        <w:t>4</w:t>
      </w:r>
      <w:r>
        <w:rPr>
          <w:i/>
          <w:iCs/>
        </w:rPr>
        <w:t>Palaeoproterozoic Mineralisation Research Group, Department of Geology, University of Johannesburg, Auckland Park, 2092, Johannesburg, South Africa</w:t>
      </w:r>
    </w:p>
    <w:p w14:paraId="118E61FC" w14:textId="77777777" w:rsidR="002B1D50" w:rsidRDefault="002B1D50" w:rsidP="002B1D50">
      <w:pPr>
        <w:jc w:val="left"/>
        <w:rPr>
          <w:i/>
          <w:iCs/>
        </w:rPr>
      </w:pPr>
      <w:r>
        <w:rPr>
          <w:i/>
          <w:iCs/>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2B1D50" w14:paraId="40BBCD1C" w14:textId="77777777" w:rsidTr="00AC04EA">
        <w:trPr>
          <w:jc w:val="center"/>
        </w:trPr>
        <w:tc>
          <w:tcPr>
            <w:tcW w:w="9016" w:type="dxa"/>
          </w:tcPr>
          <w:p w14:paraId="1E51BC91" w14:textId="77777777" w:rsidR="002B1D50" w:rsidRDefault="002B1D50" w:rsidP="00AC04EA">
            <w:pPr>
              <w:rPr>
                <w:i/>
                <w:iCs/>
              </w:rPr>
            </w:pPr>
            <w:r>
              <w:rPr>
                <w:i/>
                <w:iCs/>
                <w:noProof/>
              </w:rPr>
              <w:lastRenderedPageBreak/>
              <w:drawing>
                <wp:inline distT="0" distB="0" distL="0" distR="0" wp14:anchorId="598F4F00" wp14:editId="69D6A184">
                  <wp:extent cx="5605276" cy="3403159"/>
                  <wp:effectExtent l="0" t="0" r="0" b="6985"/>
                  <wp:docPr id="399761821" name="Picture 1" descr="A computer screen 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761821" name="Picture 1" descr="A computer screen shot of a 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24663" cy="3414930"/>
                          </a:xfrm>
                          <a:prstGeom prst="rect">
                            <a:avLst/>
                          </a:prstGeom>
                        </pic:spPr>
                      </pic:pic>
                    </a:graphicData>
                  </a:graphic>
                </wp:inline>
              </w:drawing>
            </w:r>
          </w:p>
        </w:tc>
      </w:tr>
    </w:tbl>
    <w:p w14:paraId="7FB87B1E" w14:textId="77777777" w:rsidR="002B1D50" w:rsidRDefault="002B1D50" w:rsidP="002B1D50">
      <w:pPr>
        <w:rPr>
          <w:i/>
          <w:iCs/>
        </w:rPr>
      </w:pPr>
    </w:p>
    <w:p w14:paraId="635826D5" w14:textId="77777777" w:rsidR="002B1D50" w:rsidRPr="00C24B24" w:rsidRDefault="002B1D50" w:rsidP="002B1D50">
      <w:pPr>
        <w:pStyle w:val="Caption"/>
        <w:rPr>
          <w:b/>
          <w:bCs w:val="0"/>
        </w:rPr>
      </w:pPr>
      <w:r w:rsidRPr="00C24B24">
        <w:rPr>
          <w:b/>
          <w:bCs w:val="0"/>
        </w:rPr>
        <w:t xml:space="preserve">Figure S1: Evolutionary tree of the enzyme responsible for microbial phosphite oxidation (namely phosphite dehydrogenase; PtxD). </w:t>
      </w:r>
    </w:p>
    <w:p w14:paraId="47D699D0" w14:textId="77777777" w:rsidR="002B1D50" w:rsidRDefault="002B1D50" w:rsidP="002B1D50">
      <w:pPr>
        <w:pStyle w:val="Caption"/>
      </w:pPr>
      <w:r w:rsidRPr="000E2D0B">
        <w:t>Enzymes found in organisms with genes for dissimilatory phosphite oxidation (DPO) are annotated with black stars, whereas all others are associated with assimilatory phosphite oxidation due to the lack of genes known to be required for DPO (namely one or more of ptxE, ptdC, ptdG, ptdH, ptdI and ptdF). Numbers on branches and their colours represent ancestor deviation values estimated by MAD (Tria et al., 2017). They indicate where the tree is rooted, so values closer to zero (in red colours) are more likely to represent the tree’s root. Leaf labels describe the microbial organism within which the phosphite oxidation gene was found in the format; GTDB release 95 identification number ‘.’ Domain ‘.’ Phylum. The scale bar represents the average number of amino acid substitutions per site.</w:t>
      </w:r>
    </w:p>
    <w:p w14:paraId="0ED791A3" w14:textId="77777777" w:rsidR="002B1D50" w:rsidRDefault="002B1D50" w:rsidP="002B1D50">
      <w:pPr>
        <w:jc w:val="left"/>
      </w:pPr>
      <w:r>
        <w:br w:type="page"/>
      </w:r>
    </w:p>
    <w:p w14:paraId="7EFAE238" w14:textId="77777777" w:rsidR="002B1D50" w:rsidRPr="00DF2BA9" w:rsidRDefault="002B1D50" w:rsidP="002B1D50"/>
    <w:tbl>
      <w:tblPr>
        <w:tblStyle w:val="TableGrid"/>
        <w:tblW w:w="0" w:type="auto"/>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5"/>
      </w:tblGrid>
      <w:tr w:rsidR="002B1D50" w14:paraId="72A1D62D" w14:textId="77777777" w:rsidTr="00AC04EA">
        <w:tc>
          <w:tcPr>
            <w:tcW w:w="9016" w:type="dxa"/>
          </w:tcPr>
          <w:p w14:paraId="79C56D89" w14:textId="77777777" w:rsidR="002B1D50" w:rsidRDefault="002B1D50" w:rsidP="00AC04EA">
            <w:pPr>
              <w:pStyle w:val="Caption"/>
              <w:keepNext/>
              <w:ind w:left="0"/>
            </w:pPr>
            <w:r>
              <w:rPr>
                <w:noProof/>
              </w:rPr>
              <w:drawing>
                <wp:inline distT="0" distB="0" distL="0" distR="0" wp14:anchorId="69FF4215" wp14:editId="66304293">
                  <wp:extent cx="5454595" cy="3877923"/>
                  <wp:effectExtent l="0" t="0" r="0" b="8890"/>
                  <wp:docPr id="682608345" name="Picture 2" descr="A graph of a graph showing the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608345" name="Picture 2" descr="A graph of a graph showing the number of objects&#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59381" cy="3881326"/>
                          </a:xfrm>
                          <a:prstGeom prst="rect">
                            <a:avLst/>
                          </a:prstGeom>
                          <a:noFill/>
                          <a:ln>
                            <a:noFill/>
                          </a:ln>
                        </pic:spPr>
                      </pic:pic>
                    </a:graphicData>
                  </a:graphic>
                </wp:inline>
              </w:drawing>
            </w:r>
          </w:p>
          <w:p w14:paraId="26080FE4" w14:textId="77777777" w:rsidR="002B1D50" w:rsidRPr="00922601" w:rsidRDefault="002B1D50" w:rsidP="00AC04EA">
            <w:pPr>
              <w:pStyle w:val="Caption"/>
              <w:rPr>
                <w:b/>
                <w:bCs w:val="0"/>
              </w:rPr>
            </w:pPr>
            <w:r w:rsidRPr="00922601">
              <w:rPr>
                <w:b/>
                <w:bCs w:val="0"/>
              </w:rPr>
              <w:t>Figure S2</w:t>
            </w:r>
            <w:r>
              <w:rPr>
                <w:b/>
                <w:bCs w:val="0"/>
              </w:rPr>
              <w:t>A</w:t>
            </w:r>
            <w:r w:rsidRPr="00922601">
              <w:rPr>
                <w:b/>
                <w:bCs w:val="0"/>
              </w:rPr>
              <w:t xml:space="preserve">: Typical XRD pattern of Kuruman </w:t>
            </w:r>
            <w:r>
              <w:rPr>
                <w:b/>
                <w:bCs w:val="0"/>
              </w:rPr>
              <w:t>BIF</w:t>
            </w:r>
            <w:r w:rsidRPr="00922601">
              <w:rPr>
                <w:b/>
                <w:bCs w:val="0"/>
              </w:rPr>
              <w:t xml:space="preserve">. </w:t>
            </w:r>
          </w:p>
          <w:p w14:paraId="1E565FB1" w14:textId="77777777" w:rsidR="002B1D50" w:rsidRPr="00DF2BA9" w:rsidRDefault="002B1D50" w:rsidP="00AC04EA">
            <w:pPr>
              <w:pStyle w:val="Caption"/>
            </w:pPr>
            <w:r>
              <w:t xml:space="preserve">The XRD pattern of the BIF sample is shown by black line. The patterns of the minerals are taken from </w:t>
            </w:r>
            <w:r w:rsidRPr="00DF2BA9">
              <w:t>Inorganic Crystal Structure Database (ICSD)</w:t>
            </w:r>
            <w:r>
              <w:t xml:space="preserve"> database. The numbers shown in the legend are the ICSD code of the respective minerals. The pattern matching is done by the CrystalDiffract software. </w:t>
            </w:r>
          </w:p>
        </w:tc>
      </w:tr>
    </w:tbl>
    <w:p w14:paraId="45A26420" w14:textId="77777777" w:rsidR="002B1D50" w:rsidRDefault="002B1D50" w:rsidP="002B1D50">
      <w:pPr>
        <w:pStyle w:val="Caption"/>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6"/>
      </w:tblGrid>
      <w:tr w:rsidR="002B1D50" w14:paraId="7CB2DDB9" w14:textId="77777777" w:rsidTr="00AC04EA">
        <w:tc>
          <w:tcPr>
            <w:tcW w:w="9016" w:type="dxa"/>
          </w:tcPr>
          <w:p w14:paraId="01E7E922" w14:textId="77777777" w:rsidR="002B1D50" w:rsidRDefault="002B1D50" w:rsidP="00AC04EA">
            <w:pPr>
              <w:keepNext/>
            </w:pPr>
            <w:r>
              <w:rPr>
                <w:noProof/>
              </w:rPr>
              <w:lastRenderedPageBreak/>
              <w:drawing>
                <wp:inline distT="0" distB="0" distL="0" distR="0" wp14:anchorId="3CE16BC3" wp14:editId="6918598C">
                  <wp:extent cx="5661025" cy="4015409"/>
                  <wp:effectExtent l="0" t="0" r="0" b="4445"/>
                  <wp:docPr id="1049441726" name="Picture 3" descr="A graph of a graph showing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441726" name="Picture 3" descr="A graph of a graph showing different colored lines&#10;&#10;Description automatically generated with medium confidence"/>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673" r="1104" b="932"/>
                          <a:stretch/>
                        </pic:blipFill>
                        <pic:spPr bwMode="auto">
                          <a:xfrm>
                            <a:off x="0" y="0"/>
                            <a:ext cx="5661944" cy="4016061"/>
                          </a:xfrm>
                          <a:prstGeom prst="rect">
                            <a:avLst/>
                          </a:prstGeom>
                          <a:noFill/>
                          <a:ln>
                            <a:noFill/>
                          </a:ln>
                          <a:extLst>
                            <a:ext uri="{53640926-AAD7-44D8-BBD7-CCE9431645EC}">
                              <a14:shadowObscured xmlns:a14="http://schemas.microsoft.com/office/drawing/2010/main"/>
                            </a:ext>
                          </a:extLst>
                        </pic:spPr>
                      </pic:pic>
                    </a:graphicData>
                  </a:graphic>
                </wp:inline>
              </w:drawing>
            </w:r>
          </w:p>
          <w:p w14:paraId="38E77819" w14:textId="77777777" w:rsidR="002B1D50" w:rsidRPr="00922601" w:rsidRDefault="002B1D50" w:rsidP="00AC04EA">
            <w:pPr>
              <w:pStyle w:val="Caption"/>
              <w:rPr>
                <w:b/>
                <w:bCs w:val="0"/>
              </w:rPr>
            </w:pPr>
            <w:r>
              <w:t>Figure S2B</w:t>
            </w:r>
            <w:r w:rsidRPr="00922601">
              <w:rPr>
                <w:b/>
                <w:bCs w:val="0"/>
              </w:rPr>
              <w:t xml:space="preserve">: Typical XRD pattern of </w:t>
            </w:r>
            <w:r>
              <w:rPr>
                <w:b/>
                <w:bCs w:val="0"/>
              </w:rPr>
              <w:t>Dales Gorge</w:t>
            </w:r>
            <w:r w:rsidRPr="00922601">
              <w:rPr>
                <w:b/>
                <w:bCs w:val="0"/>
              </w:rPr>
              <w:t xml:space="preserve"> </w:t>
            </w:r>
            <w:r>
              <w:rPr>
                <w:b/>
                <w:bCs w:val="0"/>
              </w:rPr>
              <w:t>BIF</w:t>
            </w:r>
            <w:r w:rsidRPr="00922601">
              <w:rPr>
                <w:b/>
                <w:bCs w:val="0"/>
              </w:rPr>
              <w:t xml:space="preserve">. </w:t>
            </w:r>
          </w:p>
          <w:p w14:paraId="22F71A26" w14:textId="77777777" w:rsidR="002B1D50" w:rsidRDefault="002B1D50" w:rsidP="00AC04EA">
            <w:pPr>
              <w:pStyle w:val="Caption"/>
            </w:pPr>
            <w:r>
              <w:t xml:space="preserve">The XRD pattern of the BIF sample is shown by black line. The patterns of the minerals are taken from </w:t>
            </w:r>
            <w:r w:rsidRPr="00DF2BA9">
              <w:t>Inorganic Crystal Structure Database (ICSD)</w:t>
            </w:r>
            <w:r>
              <w:t xml:space="preserve"> database. Numbers shown in the legend are the ICSD code of the respective minerals. Heights of the pyrite and stilponomelane peaks are diminished for better visualization. The pattern matching is done by the CrystalDiffract software.</w:t>
            </w:r>
          </w:p>
        </w:tc>
      </w:tr>
    </w:tbl>
    <w:p w14:paraId="74F0EBB4" w14:textId="77777777" w:rsidR="002B1D50" w:rsidRPr="00922601" w:rsidRDefault="002B1D50" w:rsidP="002B1D50"/>
    <w:p w14:paraId="4A10EAFF" w14:textId="77777777" w:rsidR="00755780" w:rsidRDefault="00755780"/>
    <w:sectPr w:rsidR="00755780" w:rsidSect="002B1D50">
      <w:footerReference w:type="default" r:id="rId7"/>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950661"/>
      <w:docPartObj>
        <w:docPartGallery w:val="Page Numbers (Bottom of Page)"/>
        <w:docPartUnique/>
      </w:docPartObj>
    </w:sdtPr>
    <w:sdtEndPr>
      <w:rPr>
        <w:noProof/>
      </w:rPr>
    </w:sdtEndPr>
    <w:sdtContent>
      <w:p w14:paraId="47CC69B0"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FF7017"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D50"/>
    <w:rsid w:val="002B1D50"/>
    <w:rsid w:val="00331A6B"/>
    <w:rsid w:val="00755780"/>
    <w:rsid w:val="00857596"/>
    <w:rsid w:val="00D66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63EF1"/>
  <w15:chartTrackingRefBased/>
  <w15:docId w15:val="{C4629221-EEB7-4DB2-A1D4-6F5F73E93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D50"/>
    <w:pPr>
      <w:jc w:val="both"/>
    </w:pPr>
    <w:rPr>
      <w:rFonts w:ascii="Arial" w:hAnsi="Arial"/>
      <w:lang w:val="en-GB"/>
    </w:rPr>
  </w:style>
  <w:style w:type="paragraph" w:styleId="Heading1">
    <w:name w:val="heading 1"/>
    <w:basedOn w:val="Normal"/>
    <w:next w:val="Normal"/>
    <w:link w:val="Heading1Char"/>
    <w:uiPriority w:val="9"/>
    <w:qFormat/>
    <w:rsid w:val="002B1D50"/>
    <w:pPr>
      <w:keepNext/>
      <w:keepLines/>
      <w:spacing w:before="360" w:after="80"/>
      <w:jc w:val="left"/>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2B1D50"/>
    <w:pPr>
      <w:keepNext/>
      <w:keepLines/>
      <w:spacing w:before="160" w:after="80"/>
      <w:jc w:val="left"/>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2B1D50"/>
    <w:pPr>
      <w:keepNext/>
      <w:keepLines/>
      <w:spacing w:before="160" w:after="80"/>
      <w:jc w:val="left"/>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2B1D50"/>
    <w:pPr>
      <w:keepNext/>
      <w:keepLines/>
      <w:spacing w:before="80" w:after="40"/>
      <w:jc w:val="left"/>
      <w:outlineLvl w:val="3"/>
    </w:pPr>
    <w:rPr>
      <w:rFonts w:asciiTheme="minorHAnsi" w:eastAsiaTheme="majorEastAsia" w:hAnsiTheme="minorHAnsi"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2B1D50"/>
    <w:pPr>
      <w:keepNext/>
      <w:keepLines/>
      <w:spacing w:before="80" w:after="40"/>
      <w:jc w:val="left"/>
      <w:outlineLvl w:val="4"/>
    </w:pPr>
    <w:rPr>
      <w:rFonts w:asciiTheme="minorHAnsi" w:eastAsiaTheme="majorEastAsia" w:hAnsiTheme="minorHAnsi"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2B1D50"/>
    <w:pPr>
      <w:keepNext/>
      <w:keepLines/>
      <w:spacing w:before="40" w:after="0"/>
      <w:jc w:val="left"/>
      <w:outlineLvl w:val="5"/>
    </w:pPr>
    <w:rPr>
      <w:rFonts w:asciiTheme="minorHAnsi" w:eastAsiaTheme="majorEastAsia" w:hAnsiTheme="minorHAnsi"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2B1D50"/>
    <w:pPr>
      <w:keepNext/>
      <w:keepLines/>
      <w:spacing w:before="40" w:after="0"/>
      <w:jc w:val="left"/>
      <w:outlineLvl w:val="6"/>
    </w:pPr>
    <w:rPr>
      <w:rFonts w:asciiTheme="minorHAnsi" w:eastAsiaTheme="majorEastAsia" w:hAnsiTheme="minorHAnsi"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2B1D50"/>
    <w:pPr>
      <w:keepNext/>
      <w:keepLines/>
      <w:spacing w:after="0"/>
      <w:jc w:val="left"/>
      <w:outlineLvl w:val="7"/>
    </w:pPr>
    <w:rPr>
      <w:rFonts w:asciiTheme="minorHAnsi" w:eastAsiaTheme="majorEastAsia" w:hAnsiTheme="minorHAnsi"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2B1D50"/>
    <w:pPr>
      <w:keepNext/>
      <w:keepLines/>
      <w:spacing w:after="0"/>
      <w:jc w:val="left"/>
      <w:outlineLvl w:val="8"/>
    </w:pPr>
    <w:rPr>
      <w:rFonts w:asciiTheme="minorHAnsi" w:eastAsiaTheme="majorEastAsia" w:hAnsiTheme="minorHAnsi"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D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1D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1D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D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D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D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D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D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D50"/>
    <w:rPr>
      <w:rFonts w:eastAsiaTheme="majorEastAsia" w:cstheme="majorBidi"/>
      <w:color w:val="272727" w:themeColor="text1" w:themeTint="D8"/>
    </w:rPr>
  </w:style>
  <w:style w:type="paragraph" w:styleId="Title">
    <w:name w:val="Title"/>
    <w:basedOn w:val="Normal"/>
    <w:next w:val="Normal"/>
    <w:link w:val="TitleChar"/>
    <w:uiPriority w:val="10"/>
    <w:qFormat/>
    <w:rsid w:val="002B1D50"/>
    <w:pPr>
      <w:spacing w:after="80" w:line="240" w:lineRule="auto"/>
      <w:contextualSpacing/>
      <w:jc w:val="left"/>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2B1D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D50"/>
    <w:pPr>
      <w:numPr>
        <w:ilvl w:val="1"/>
      </w:numPr>
      <w:jc w:val="left"/>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2B1D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D50"/>
    <w:pPr>
      <w:spacing w:before="160"/>
      <w:jc w:val="center"/>
    </w:pPr>
    <w:rPr>
      <w:rFonts w:asciiTheme="minorHAnsi" w:hAnsiTheme="minorHAnsi"/>
      <w:i/>
      <w:iCs/>
      <w:color w:val="404040" w:themeColor="text1" w:themeTint="BF"/>
      <w:lang w:val="en-US"/>
    </w:rPr>
  </w:style>
  <w:style w:type="character" w:customStyle="1" w:styleId="QuoteChar">
    <w:name w:val="Quote Char"/>
    <w:basedOn w:val="DefaultParagraphFont"/>
    <w:link w:val="Quote"/>
    <w:uiPriority w:val="29"/>
    <w:rsid w:val="002B1D50"/>
    <w:rPr>
      <w:i/>
      <w:iCs/>
      <w:color w:val="404040" w:themeColor="text1" w:themeTint="BF"/>
    </w:rPr>
  </w:style>
  <w:style w:type="paragraph" w:styleId="ListParagraph">
    <w:name w:val="List Paragraph"/>
    <w:basedOn w:val="Normal"/>
    <w:uiPriority w:val="34"/>
    <w:qFormat/>
    <w:rsid w:val="002B1D50"/>
    <w:pPr>
      <w:ind w:left="720"/>
      <w:contextualSpacing/>
      <w:jc w:val="left"/>
    </w:pPr>
    <w:rPr>
      <w:rFonts w:asciiTheme="minorHAnsi" w:hAnsiTheme="minorHAnsi"/>
      <w:lang w:val="en-US"/>
    </w:rPr>
  </w:style>
  <w:style w:type="character" w:styleId="IntenseEmphasis">
    <w:name w:val="Intense Emphasis"/>
    <w:basedOn w:val="DefaultParagraphFont"/>
    <w:uiPriority w:val="21"/>
    <w:qFormat/>
    <w:rsid w:val="002B1D50"/>
    <w:rPr>
      <w:i/>
      <w:iCs/>
      <w:color w:val="0F4761" w:themeColor="accent1" w:themeShade="BF"/>
    </w:rPr>
  </w:style>
  <w:style w:type="paragraph" w:styleId="IntenseQuote">
    <w:name w:val="Intense Quote"/>
    <w:basedOn w:val="Normal"/>
    <w:next w:val="Normal"/>
    <w:link w:val="IntenseQuoteChar"/>
    <w:uiPriority w:val="30"/>
    <w:qFormat/>
    <w:rsid w:val="002B1D5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i/>
      <w:iCs/>
      <w:color w:val="0F4761" w:themeColor="accent1" w:themeShade="BF"/>
      <w:lang w:val="en-US"/>
    </w:rPr>
  </w:style>
  <w:style w:type="character" w:customStyle="1" w:styleId="IntenseQuoteChar">
    <w:name w:val="Intense Quote Char"/>
    <w:basedOn w:val="DefaultParagraphFont"/>
    <w:link w:val="IntenseQuote"/>
    <w:uiPriority w:val="30"/>
    <w:rsid w:val="002B1D50"/>
    <w:rPr>
      <w:i/>
      <w:iCs/>
      <w:color w:val="0F4761" w:themeColor="accent1" w:themeShade="BF"/>
    </w:rPr>
  </w:style>
  <w:style w:type="character" w:styleId="IntenseReference">
    <w:name w:val="Intense Reference"/>
    <w:basedOn w:val="DefaultParagraphFont"/>
    <w:uiPriority w:val="32"/>
    <w:qFormat/>
    <w:rsid w:val="002B1D50"/>
    <w:rPr>
      <w:b/>
      <w:bCs/>
      <w:smallCaps/>
      <w:color w:val="0F4761" w:themeColor="accent1" w:themeShade="BF"/>
      <w:spacing w:val="5"/>
    </w:rPr>
  </w:style>
  <w:style w:type="table" w:styleId="TableGrid">
    <w:name w:val="Table Grid"/>
    <w:basedOn w:val="TableNormal"/>
    <w:uiPriority w:val="39"/>
    <w:rsid w:val="002B1D5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B1D50"/>
    <w:pPr>
      <w:spacing w:before="240" w:after="200" w:line="240" w:lineRule="auto"/>
      <w:ind w:left="171" w:right="268"/>
    </w:pPr>
    <w:rPr>
      <w:bCs/>
      <w:i/>
      <w:iCs/>
      <w:szCs w:val="18"/>
    </w:rPr>
  </w:style>
  <w:style w:type="paragraph" w:styleId="Footer">
    <w:name w:val="footer"/>
    <w:basedOn w:val="Normal"/>
    <w:link w:val="FooterChar"/>
    <w:uiPriority w:val="99"/>
    <w:unhideWhenUsed/>
    <w:rsid w:val="002B1D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D50"/>
    <w:rPr>
      <w:rFonts w:ascii="Arial" w:hAnsi="Arial"/>
      <w:lang w:val="en-GB"/>
    </w:rPr>
  </w:style>
  <w:style w:type="character" w:styleId="LineNumber">
    <w:name w:val="line number"/>
    <w:basedOn w:val="DefaultParagraphFont"/>
    <w:uiPriority w:val="99"/>
    <w:semiHidden/>
    <w:unhideWhenUsed/>
    <w:rsid w:val="002B1D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2196</Characters>
  <Application>Microsoft Office Word</Application>
  <DocSecurity>0</DocSecurity>
  <Lines>18</Lines>
  <Paragraphs>5</Paragraphs>
  <ScaleCrop>false</ScaleCrop>
  <Company>Springer Nature</Company>
  <LinksUpToDate>false</LinksUpToDate>
  <CharactersWithSpaces>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2024-12-09T05:07:00Z</dcterms:created>
  <dcterms:modified xsi:type="dcterms:W3CDTF">2024-12-09T05:07:00Z</dcterms:modified>
</cp:coreProperties>
</file>