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9DCD6" w14:textId="5CFAB057" w:rsidR="0045419C" w:rsidRPr="00196D76" w:rsidRDefault="00196D76" w:rsidP="00196D76">
      <w:pPr>
        <w:jc w:val="center"/>
        <w:rPr>
          <w:b/>
          <w:bCs/>
          <w:color w:val="153D63" w:themeColor="text2" w:themeTint="E6"/>
          <w:sz w:val="28"/>
          <w:szCs w:val="28"/>
        </w:rPr>
      </w:pPr>
      <w:r w:rsidRPr="00196D76">
        <w:rPr>
          <w:b/>
          <w:bCs/>
          <w:color w:val="153D63" w:themeColor="text2" w:themeTint="E6"/>
          <w:sz w:val="28"/>
          <w:szCs w:val="28"/>
        </w:rPr>
        <w:t>SUPPLEMENTARY MATERIAL</w:t>
      </w:r>
    </w:p>
    <w:p w14:paraId="58842BD3" w14:textId="77777777" w:rsidR="00196D76" w:rsidRDefault="00196D76"/>
    <w:p w14:paraId="40D1FDF3" w14:textId="68667EE5" w:rsidR="00196D76" w:rsidRDefault="00196D76">
      <w:pPr>
        <w:rPr>
          <w:b/>
          <w:bCs/>
        </w:rPr>
      </w:pPr>
      <w:proofErr w:type="spellStart"/>
      <w:r w:rsidRPr="00196D76">
        <w:rPr>
          <w:b/>
          <w:bCs/>
        </w:rPr>
        <w:t>Subcutaneous</w:t>
      </w:r>
      <w:proofErr w:type="spellEnd"/>
      <w:r w:rsidRPr="00196D76">
        <w:rPr>
          <w:b/>
          <w:bCs/>
        </w:rPr>
        <w:t xml:space="preserve"> pressure </w:t>
      </w:r>
      <w:proofErr w:type="spellStart"/>
      <w:r w:rsidRPr="00196D76">
        <w:rPr>
          <w:b/>
          <w:bCs/>
        </w:rPr>
        <w:t>measurement</w:t>
      </w:r>
      <w:proofErr w:type="spellEnd"/>
      <w:r w:rsidRPr="00196D76">
        <w:rPr>
          <w:b/>
          <w:bCs/>
        </w:rPr>
        <w:t xml:space="preserve"> </w:t>
      </w:r>
      <w:proofErr w:type="spellStart"/>
      <w:r w:rsidRPr="00196D76">
        <w:rPr>
          <w:b/>
          <w:bCs/>
        </w:rPr>
        <w:t>protocol</w:t>
      </w:r>
      <w:proofErr w:type="spellEnd"/>
    </w:p>
    <w:p w14:paraId="04A699C0" w14:textId="77777777" w:rsidR="00196D76" w:rsidRDefault="00196D76">
      <w:pPr>
        <w:rPr>
          <w:b/>
          <w:bCs/>
        </w:rPr>
      </w:pPr>
    </w:p>
    <w:p w14:paraId="1BCC3C30" w14:textId="233566D9" w:rsidR="00196D76" w:rsidRPr="00196D76" w:rsidRDefault="00196D76" w:rsidP="00196D76">
      <w:pPr>
        <w:rPr>
          <w:lang w:val="en-US"/>
        </w:rPr>
      </w:pPr>
      <w:r w:rsidRPr="00196D76">
        <w:rPr>
          <w:lang w:val="en-US"/>
        </w:rPr>
        <w:t>Measurements were performed by a single operator (AD).</w:t>
      </w:r>
      <w:r>
        <w:rPr>
          <w:lang w:val="en-US"/>
        </w:rPr>
        <w:t xml:space="preserve"> </w:t>
      </w:r>
      <w:r w:rsidRPr="00196D76">
        <w:rPr>
          <w:lang w:val="en-US"/>
        </w:rPr>
        <w:t xml:space="preserve">Subcutaneous interstitial pressure </w:t>
      </w:r>
      <w:r>
        <w:rPr>
          <w:lang w:val="en-US"/>
        </w:rPr>
        <w:t xml:space="preserve">(SIP) </w:t>
      </w:r>
      <w:r w:rsidRPr="00196D76">
        <w:rPr>
          <w:lang w:val="en-US"/>
        </w:rPr>
        <w:t>was measured on the leg at the same location in all patients, 2–3 cm externally from the tibial crest and 5 cm below the anterior tibial tuberosity. An anesthetic patch (</w:t>
      </w:r>
      <w:proofErr w:type="spellStart"/>
      <w:r w:rsidRPr="00196D76">
        <w:rPr>
          <w:lang w:val="en-US"/>
        </w:rPr>
        <w:t>Emlapatch</w:t>
      </w:r>
      <w:proofErr w:type="spellEnd"/>
      <w:r w:rsidRPr="00196D76">
        <w:rPr>
          <w:lang w:val="en-US"/>
        </w:rPr>
        <w:t>) was applied before each measurement.</w:t>
      </w:r>
      <w:r>
        <w:rPr>
          <w:lang w:val="en-US"/>
        </w:rPr>
        <w:t xml:space="preserve"> </w:t>
      </w:r>
      <w:r w:rsidRPr="00196D76">
        <w:rPr>
          <w:lang w:val="en-US"/>
        </w:rPr>
        <w:t>The SIP was measured using a sterile, single-use, dedicated transducer-tipped pressure probe (Micro-Cath ®, Millar Inc., USA) with 3.5 French diameter. The pressure probe was inserted subcutaneously through a 30 mm, 16G venous catheter. The catheter was then removed from the skin (along the probe length), and the probe was finally removed by 1 cm to allow space around the probe and fixed using an adhesive transparent dressing. The probe was connected to a monitor (</w:t>
      </w:r>
      <w:proofErr w:type="spellStart"/>
      <w:r w:rsidRPr="00196D76">
        <w:rPr>
          <w:lang w:val="en-US"/>
        </w:rPr>
        <w:t>Powerlab</w:t>
      </w:r>
      <w:proofErr w:type="spellEnd"/>
      <w:r w:rsidRPr="00196D76">
        <w:rPr>
          <w:lang w:val="en-US"/>
        </w:rPr>
        <w:t>®, AD Instruments, New Zealand) and data were recorded using dedicated software (</w:t>
      </w:r>
      <w:proofErr w:type="spellStart"/>
      <w:r w:rsidRPr="00196D76">
        <w:rPr>
          <w:lang w:val="en-US"/>
        </w:rPr>
        <w:t>Labchart</w:t>
      </w:r>
      <w:proofErr w:type="spellEnd"/>
      <w:r w:rsidRPr="00196D76">
        <w:rPr>
          <w:lang w:val="en-US"/>
        </w:rPr>
        <w:t>®, AD Instruments, New Zealand). The probe was zeroed in saline at room temperature prior to introduction. SIP was measured after a stabilization phase of 20-30 minutes, averaged over 5 min. After probe removal, pressure readings were used to correct for the measurement drift. In a subgroup of patients, the catheter was left for 24h to measure the temporal changes in SIP.</w:t>
      </w:r>
    </w:p>
    <w:p w14:paraId="052DCDB1" w14:textId="77777777" w:rsidR="00196D76" w:rsidRPr="00196D76" w:rsidRDefault="00196D76" w:rsidP="00196D76">
      <w:pPr>
        <w:rPr>
          <w:lang w:val="en-US"/>
        </w:rPr>
      </w:pPr>
      <w:r w:rsidRPr="00196D76">
        <w:rPr>
          <w:lang w:val="en-US"/>
        </w:rPr>
        <w:t>Prospective reporting of bleeding and hematoma at the insertion site was planned (as a potential confounding factor for SIP leading to falsely increased measurements).</w:t>
      </w:r>
    </w:p>
    <w:p w14:paraId="4938A105" w14:textId="77777777" w:rsidR="00196D76" w:rsidRPr="00196D76" w:rsidRDefault="00196D76" w:rsidP="00196D76">
      <w:pPr>
        <w:rPr>
          <w:i/>
          <w:iCs/>
          <w:lang w:val="en-US"/>
        </w:rPr>
      </w:pPr>
    </w:p>
    <w:p w14:paraId="1C860C9E" w14:textId="77777777" w:rsidR="00196D76" w:rsidRPr="00196D76" w:rsidRDefault="00196D76" w:rsidP="00196D76">
      <w:pPr>
        <w:rPr>
          <w:i/>
          <w:lang w:val="en-US"/>
        </w:rPr>
      </w:pPr>
      <w:r w:rsidRPr="00196D76">
        <w:rPr>
          <w:i/>
          <w:iCs/>
          <w:lang w:val="en-US"/>
        </w:rPr>
        <w:t>Ischemic interstitial pressure</w:t>
      </w:r>
    </w:p>
    <w:p w14:paraId="5D9ECE08" w14:textId="77777777" w:rsidR="00196D76" w:rsidRPr="00196D76" w:rsidRDefault="00196D76" w:rsidP="00196D76">
      <w:pPr>
        <w:rPr>
          <w:lang w:val="en-US"/>
        </w:rPr>
      </w:pPr>
      <w:r w:rsidRPr="00196D76">
        <w:rPr>
          <w:lang w:val="en-US"/>
        </w:rPr>
        <w:t xml:space="preserve">Experimentally, the best evaluation of interstitial pressure is given when transcapillary and lymphatic flows are stopped (e.g., after cardiac arrest in experimental studies). Thus, in a subset of patients, we evaluated the effect of interrupting blood flow on SIP by using a tourniquet for a short period. A large blood pressure cuff was placed above the knee and rapidly inflated to 180-190 mmHg of pressure for 5 min. The times of inflation and deflation were reported in the pressure recording.  </w:t>
      </w:r>
    </w:p>
    <w:p w14:paraId="3052F16F" w14:textId="77777777" w:rsidR="00196D76" w:rsidRPr="00196D76" w:rsidRDefault="00196D76" w:rsidP="00196D76">
      <w:pPr>
        <w:rPr>
          <w:lang w:val="en-US"/>
        </w:rPr>
      </w:pPr>
    </w:p>
    <w:p w14:paraId="7904F1B5" w14:textId="77777777" w:rsidR="00196D76" w:rsidRPr="00246C26" w:rsidRDefault="00196D76" w:rsidP="00196D76">
      <w:pPr>
        <w:rPr>
          <w:i/>
          <w:iCs/>
          <w:lang w:val="en-US"/>
        </w:rPr>
      </w:pPr>
      <w:r w:rsidRPr="00196D76">
        <w:rPr>
          <w:i/>
          <w:iCs/>
          <w:lang w:val="en-US"/>
        </w:rPr>
        <w:t>Secondary outcomes</w:t>
      </w:r>
    </w:p>
    <w:p w14:paraId="4DB9AA68" w14:textId="77777777" w:rsidR="00196D76" w:rsidRPr="00246C26" w:rsidRDefault="00196D76" w:rsidP="00196D76">
      <w:pPr>
        <w:rPr>
          <w:lang w:val="en-US"/>
        </w:rPr>
      </w:pPr>
      <w:r w:rsidRPr="00196D76">
        <w:rPr>
          <w:lang w:val="en-US"/>
        </w:rPr>
        <w:lastRenderedPageBreak/>
        <w:t xml:space="preserve">1) Central venous pressure (CVP) and perfusion pressure were measured simultaneously with SIP. When central venous access was not available, CVP was approximated using inferior vena cava ultrasound imaging. </w:t>
      </w:r>
    </w:p>
    <w:p w14:paraId="66CB4925" w14:textId="77777777" w:rsidR="00196D76" w:rsidRPr="0010274E" w:rsidRDefault="00196D76" w:rsidP="00196D76">
      <w:pPr>
        <w:rPr>
          <w:lang w:val="en-US"/>
        </w:rPr>
      </w:pPr>
      <w:r w:rsidRPr="00196D76">
        <w:rPr>
          <w:lang w:val="en-US"/>
        </w:rPr>
        <w:t>2) Daily and cumulated fluid balance (day 1 to 3)</w:t>
      </w:r>
    </w:p>
    <w:p w14:paraId="1FC209D4" w14:textId="77777777" w:rsidR="00196D76" w:rsidRPr="0010274E" w:rsidRDefault="00196D76" w:rsidP="00196D76">
      <w:pPr>
        <w:rPr>
          <w:lang w:val="en-US"/>
        </w:rPr>
      </w:pPr>
      <w:r w:rsidRPr="00196D76">
        <w:rPr>
          <w:lang w:val="en-US"/>
        </w:rPr>
        <w:t>Assessed daily by the difference in 24-hour fluid intake and diuresis (or</w:t>
      </w:r>
      <w:r>
        <w:rPr>
          <w:lang w:val="en-US"/>
        </w:rPr>
        <w:t xml:space="preserve"> </w:t>
      </w:r>
      <w:r w:rsidRPr="00196D76">
        <w:rPr>
          <w:lang w:val="en-US"/>
        </w:rPr>
        <w:t>losses by renal replacement therapy).</w:t>
      </w:r>
    </w:p>
    <w:p w14:paraId="71FFC761" w14:textId="77777777" w:rsidR="00196D76" w:rsidRPr="0010274E" w:rsidRDefault="00196D76" w:rsidP="00196D76">
      <w:pPr>
        <w:rPr>
          <w:lang w:val="en-US"/>
        </w:rPr>
      </w:pPr>
      <w:r w:rsidRPr="00196D76">
        <w:rPr>
          <w:lang w:val="en-US"/>
        </w:rPr>
        <w:t>3) Edema, and stage of severity (day 1 to 3)</w:t>
      </w:r>
    </w:p>
    <w:p w14:paraId="7C90CB5F" w14:textId="77777777" w:rsidR="00196D76" w:rsidRPr="0010274E" w:rsidRDefault="00196D76" w:rsidP="00196D76">
      <w:pPr>
        <w:rPr>
          <w:lang w:val="en-US"/>
        </w:rPr>
      </w:pPr>
      <w:r w:rsidRPr="00196D76">
        <w:rPr>
          <w:lang w:val="en-US"/>
        </w:rPr>
        <w:t xml:space="preserve">A validated edema score was used </w:t>
      </w:r>
      <w:sdt>
        <w:sdtPr>
          <w:alias w:val="SmartCite Citation"/>
          <w:tag w:val="653ad750-01a1-4d6b-9d09-fd418e4b8f97:EF782941-CDD6-4AA0-A407-E111C0E91232+"/>
          <w:id w:val="1836878031"/>
          <w:placeholder>
            <w:docPart w:val="88DDA1D6F068FD43A8BD248994F0CCF0"/>
          </w:placeholder>
        </w:sdtPr>
        <w:sdtContent>
          <w:r w:rsidRPr="00196D76">
            <w:rPr>
              <w:rFonts w:cs="Arial"/>
              <w:lang w:val="en-US"/>
            </w:rPr>
            <w:t>(24)</w:t>
          </w:r>
        </w:sdtContent>
      </w:sdt>
      <w:r w:rsidRPr="00196D76">
        <w:rPr>
          <w:lang w:val="en-US"/>
        </w:rPr>
        <w:t>, ranging from 0 (no edema) to 4 (severe edema) (Appendix 1). The maximum severity score observed during the study period was</w:t>
      </w:r>
      <w:r w:rsidRPr="0010274E">
        <w:rPr>
          <w:lang w:val="en-US"/>
        </w:rPr>
        <w:t xml:space="preserve"> </w:t>
      </w:r>
      <w:r w:rsidRPr="00196D76">
        <w:rPr>
          <w:lang w:val="en-US"/>
        </w:rPr>
        <w:t>used.</w:t>
      </w:r>
    </w:p>
    <w:p w14:paraId="59D6F485" w14:textId="77777777" w:rsidR="00196D76" w:rsidRPr="0010274E" w:rsidRDefault="00196D76" w:rsidP="00196D76">
      <w:pPr>
        <w:rPr>
          <w:lang w:val="en-US"/>
        </w:rPr>
      </w:pPr>
      <w:r w:rsidRPr="00196D76">
        <w:rPr>
          <w:lang w:val="en-US"/>
        </w:rPr>
        <w:t xml:space="preserve">4) Sequential Organ Failure Scores (SOFA) at admission and day 3 </w:t>
      </w:r>
    </w:p>
    <w:p w14:paraId="266F79A5" w14:textId="77777777" w:rsidR="00196D76" w:rsidRPr="0010274E" w:rsidRDefault="00196D76" w:rsidP="00196D76">
      <w:pPr>
        <w:rPr>
          <w:lang w:val="en-US"/>
        </w:rPr>
      </w:pPr>
      <w:r w:rsidRPr="00196D76">
        <w:rPr>
          <w:lang w:val="en-US"/>
        </w:rPr>
        <w:t>5) Lactate level at admission</w:t>
      </w:r>
    </w:p>
    <w:p w14:paraId="1D9A74ED" w14:textId="77777777" w:rsidR="00196D76" w:rsidRPr="00196D76" w:rsidRDefault="00196D76" w:rsidP="00196D76">
      <w:pPr>
        <w:rPr>
          <w:lang w:val="en-US"/>
        </w:rPr>
      </w:pPr>
      <w:r w:rsidRPr="00196D76">
        <w:rPr>
          <w:lang w:val="en-US"/>
        </w:rPr>
        <w:t>6) ICU mortality</w:t>
      </w:r>
    </w:p>
    <w:p w14:paraId="700A5FC8" w14:textId="77777777" w:rsidR="00196D76" w:rsidRPr="00196D76" w:rsidRDefault="00196D76">
      <w:pPr>
        <w:rPr>
          <w:b/>
          <w:bCs/>
          <w:lang w:val="en-US"/>
        </w:rPr>
      </w:pPr>
    </w:p>
    <w:sectPr w:rsidR="00196D76" w:rsidRPr="00196D76" w:rsidSect="00054B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76"/>
    <w:rsid w:val="00054B1D"/>
    <w:rsid w:val="00196D76"/>
    <w:rsid w:val="001F7AF6"/>
    <w:rsid w:val="0045419C"/>
    <w:rsid w:val="00457642"/>
    <w:rsid w:val="004B5B81"/>
    <w:rsid w:val="007C7FBC"/>
    <w:rsid w:val="00BD676E"/>
    <w:rsid w:val="00E72C14"/>
    <w:rsid w:val="00EA79ED"/>
    <w:rsid w:val="00FD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241EC1"/>
  <w15:chartTrackingRefBased/>
  <w15:docId w15:val="{6852D615-2391-524F-A859-08799BA5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ED"/>
    <w:pPr>
      <w:spacing w:line="360" w:lineRule="auto"/>
      <w:jc w:val="both"/>
    </w:pPr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196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96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6D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6D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6D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6D7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6D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6D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6D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96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96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96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6D7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6D7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6D7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6D7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6D7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6D7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6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96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6D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96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6D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96D76"/>
    <w:rPr>
      <w:rFonts w:ascii="Arial" w:hAnsi="Arial"/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6D7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96D7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6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6D76"/>
    <w:rPr>
      <w:rFonts w:ascii="Arial" w:hAnsi="Arial"/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6D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8DDA1D6F068FD43A8BD248994F0C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B9C4C5-084A-314D-AEB6-F261C24E87E2}"/>
      </w:docPartPr>
      <w:docPartBody>
        <w:p w:rsidR="00000000" w:rsidRDefault="00E503A2" w:rsidP="00E503A2">
          <w:pPr>
            <w:pStyle w:val="88DDA1D6F068FD43A8BD248994F0CCF0"/>
          </w:pPr>
          <w:r w:rsidRPr="009344E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A2"/>
    <w:rsid w:val="004B5B81"/>
    <w:rsid w:val="00C94644"/>
    <w:rsid w:val="00E5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503A2"/>
    <w:rPr>
      <w:color w:val="808080"/>
    </w:rPr>
  </w:style>
  <w:style w:type="paragraph" w:customStyle="1" w:styleId="88DDA1D6F068FD43A8BD248994F0CCF0">
    <w:name w:val="88DDA1D6F068FD43A8BD248994F0CCF0"/>
    <w:rsid w:val="00E503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Auguste Dargent</dc:creator>
  <cp:keywords/>
  <dc:description/>
  <cp:lastModifiedBy>Auguste Dargent</cp:lastModifiedBy>
  <cp:revision>1</cp:revision>
  <dcterms:created xsi:type="dcterms:W3CDTF">2024-09-18T16:33:00Z</dcterms:created>
  <dcterms:modified xsi:type="dcterms:W3CDTF">2024-09-18T16:34:00Z</dcterms:modified>
</cp:coreProperties>
</file>