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89BB0" w14:textId="77777777" w:rsidR="002F0123" w:rsidRPr="00A82948" w:rsidRDefault="002F0123" w:rsidP="002F0123">
      <w:pPr>
        <w:spacing w:line="360" w:lineRule="auto"/>
        <w:ind w:right="1162"/>
        <w:outlineLvl w:val="6"/>
        <w:rPr>
          <w:rFonts w:eastAsia="Batang"/>
          <w:b/>
          <w:bCs/>
          <w:sz w:val="24"/>
          <w:szCs w:val="22"/>
        </w:rPr>
      </w:pPr>
      <w:r w:rsidRPr="00A82948">
        <w:rPr>
          <w:rFonts w:eastAsia="Batang"/>
          <w:b/>
          <w:bCs/>
          <w:sz w:val="24"/>
          <w:szCs w:val="22"/>
        </w:rPr>
        <w:t>Figure legends</w:t>
      </w:r>
      <w:r>
        <w:rPr>
          <w:rFonts w:eastAsia="Batang"/>
          <w:b/>
          <w:bCs/>
          <w:sz w:val="24"/>
          <w:szCs w:val="22"/>
        </w:rPr>
        <w:t>, 1</w:t>
      </w:r>
    </w:p>
    <w:p w14:paraId="7D698BD8" w14:textId="77777777" w:rsidR="002F0123" w:rsidRPr="00A82948" w:rsidRDefault="002F0123" w:rsidP="002F0123">
      <w:pPr>
        <w:spacing w:line="360" w:lineRule="auto"/>
        <w:ind w:right="1162"/>
        <w:outlineLvl w:val="6"/>
        <w:rPr>
          <w:rFonts w:eastAsia="Batang"/>
          <w:bCs/>
          <w:sz w:val="24"/>
          <w:szCs w:val="22"/>
        </w:rPr>
      </w:pPr>
    </w:p>
    <w:p w14:paraId="5526E6A9" w14:textId="77777777" w:rsidR="002F0123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4"/>
          <w:szCs w:val="22"/>
          <w:lang w:eastAsia="en-US"/>
        </w:rPr>
      </w:pPr>
      <w:r w:rsidRPr="00773058">
        <w:rPr>
          <w:rFonts w:ascii="Arial" w:eastAsia="Calibri" w:hAnsi="Arial" w:cs="Arial"/>
          <w:b/>
          <w:color w:val="000000"/>
          <w:sz w:val="24"/>
          <w:szCs w:val="22"/>
          <w:lang w:eastAsia="en-US"/>
        </w:rPr>
        <w:t xml:space="preserve">Figure 1. </w:t>
      </w:r>
      <w:r w:rsidRPr="00773058">
        <w:rPr>
          <w:rFonts w:ascii="Arial" w:eastAsia="Calibri" w:hAnsi="Arial" w:cs="Arial"/>
          <w:color w:val="000000"/>
          <w:sz w:val="24"/>
          <w:szCs w:val="22"/>
          <w:lang w:eastAsia="en-US"/>
        </w:rPr>
        <w:t xml:space="preserve">Graphical summary of </w:t>
      </w:r>
      <w:bookmarkStart w:id="0" w:name="_Hlk171524922"/>
      <w:r w:rsidRPr="00773058">
        <w:rPr>
          <w:rFonts w:ascii="Arial" w:eastAsia="Calibri" w:hAnsi="Arial" w:cs="Arial"/>
          <w:color w:val="000000"/>
          <w:sz w:val="24"/>
          <w:szCs w:val="22"/>
          <w:lang w:eastAsia="en-US"/>
        </w:rPr>
        <w:t>results and relationships between cytokines measured in 2016-17 and the risk of SARS-CoV-2 seropositivity and COVID-19 disease in 2020-21.</w:t>
      </w:r>
      <w:bookmarkEnd w:id="0"/>
    </w:p>
    <w:p w14:paraId="506BD1B6" w14:textId="77777777" w:rsidR="002F0123" w:rsidRPr="00773058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4"/>
          <w:szCs w:val="22"/>
          <w:lang w:eastAsia="en-US"/>
        </w:rPr>
      </w:pPr>
    </w:p>
    <w:p w14:paraId="535917AC" w14:textId="77777777" w:rsidR="002F0123" w:rsidRPr="00773058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color w:val="000000"/>
          <w:sz w:val="22"/>
          <w:szCs w:val="22"/>
          <w:lang w:eastAsia="en-US"/>
        </w:rPr>
        <w:t>A protective effect (OR&lt;1) is shown by greens.</w:t>
      </w:r>
    </w:p>
    <w:p w14:paraId="1BEDF22F" w14:textId="77777777" w:rsidR="002F0123" w:rsidRPr="00773058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color w:val="000000"/>
          <w:sz w:val="22"/>
          <w:szCs w:val="22"/>
          <w:lang w:eastAsia="en-US"/>
        </w:rPr>
        <w:t>An increased risk (OR&gt;1) is shown by reds.</w:t>
      </w:r>
    </w:p>
    <w:p w14:paraId="1270C09B" w14:textId="77777777" w:rsidR="002F0123" w:rsidRPr="00773058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color w:val="000000"/>
          <w:sz w:val="22"/>
          <w:szCs w:val="22"/>
          <w:lang w:eastAsia="en-US"/>
        </w:rPr>
        <w:t>The size of the circle is determined by the magnitude of the OR.</w:t>
      </w:r>
    </w:p>
    <w:p w14:paraId="0A99B162" w14:textId="77777777" w:rsidR="002F0123" w:rsidRPr="00773058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color w:val="000000"/>
          <w:sz w:val="22"/>
          <w:szCs w:val="22"/>
          <w:lang w:eastAsia="en-US"/>
        </w:rPr>
        <w:t>The intensity of the color of the circle is determined by the magnitude of the p-value.</w:t>
      </w:r>
    </w:p>
    <w:p w14:paraId="4536C37C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noProof/>
          <w:sz w:val="22"/>
          <w:szCs w:val="22"/>
          <w:lang w:val="es-ES"/>
        </w:rPr>
        <w:drawing>
          <wp:anchor distT="0" distB="0" distL="114300" distR="114300" simplePos="0" relativeHeight="251659264" behindDoc="0" locked="0" layoutInCell="1" allowOverlap="1" wp14:anchorId="4937E4F4" wp14:editId="7ACD4298">
            <wp:simplePos x="0" y="0"/>
            <wp:positionH relativeFrom="column">
              <wp:posOffset>-130175</wp:posOffset>
            </wp:positionH>
            <wp:positionV relativeFrom="paragraph">
              <wp:posOffset>139700</wp:posOffset>
            </wp:positionV>
            <wp:extent cx="2498725" cy="3027045"/>
            <wp:effectExtent l="0" t="0" r="0" b="1905"/>
            <wp:wrapNone/>
            <wp:docPr id="1" name="Imagen 1" descr="A chart with numbers an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A chart with numbers and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66" t="29687" b="31495"/>
                    <a:stretch/>
                  </pic:blipFill>
                  <pic:spPr bwMode="auto">
                    <a:xfrm>
                      <a:off x="0" y="0"/>
                      <a:ext cx="2498725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F63F71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61ECB242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507F7082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40BFF99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1B59584A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D9CE234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169EBE22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62F0DEA3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D9A0D92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2A078BA2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7E848769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3D4BC4E0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A: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>Logistic regression with each cytokine dichotomous (based on analyses whose results are summarized in Tables 1 and 6).</w:t>
      </w:r>
    </w:p>
    <w:p w14:paraId="1ECC976D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B: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>Logistic regression with each cytokine continuous (based on analyses whose results are summarized in Tables 1 and 6).</w:t>
      </w:r>
    </w:p>
    <w:p w14:paraId="29D9E01B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C: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 xml:space="preserve">Logistic regression, mixture of cytokines </w:t>
      </w:r>
      <w:bookmarkStart w:id="1" w:name="_Hlk171524735"/>
      <w:r w:rsidRPr="00773058">
        <w:rPr>
          <w:rFonts w:ascii="Arial" w:eastAsia="Calibri" w:hAnsi="Arial" w:cs="Arial"/>
          <w:sz w:val="22"/>
          <w:szCs w:val="22"/>
          <w:lang w:eastAsia="en-US"/>
        </w:rPr>
        <w:t>(circles are based on all multivariate models, a selection of which is shown in Tables 2 and 7).</w:t>
      </w:r>
      <w:bookmarkEnd w:id="1"/>
    </w:p>
    <w:p w14:paraId="2677256E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D: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 xml:space="preserve">Logistic regression, mixture of cytokines and immunoglobulins </w:t>
      </w:r>
      <w:bookmarkStart w:id="2" w:name="_Hlk171524761"/>
      <w:r w:rsidRPr="00773058">
        <w:rPr>
          <w:rFonts w:ascii="Arial" w:eastAsia="Calibri" w:hAnsi="Arial" w:cs="Arial"/>
          <w:sz w:val="22"/>
          <w:szCs w:val="22"/>
          <w:lang w:eastAsia="en-US"/>
        </w:rPr>
        <w:t>(circles are based on all multivariate models, a selection of which is shown in Tables 5 and 10)</w:t>
      </w:r>
      <w:bookmarkEnd w:id="2"/>
      <w:r w:rsidRPr="00773058">
        <w:rPr>
          <w:rFonts w:ascii="Arial" w:eastAsia="Calibri" w:hAnsi="Arial" w:cs="Arial"/>
          <w:sz w:val="22"/>
          <w:szCs w:val="22"/>
          <w:lang w:eastAsia="en-US"/>
        </w:rPr>
        <w:t>.</w:t>
      </w:r>
    </w:p>
    <w:p w14:paraId="43E3BA96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E: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>Linear regression with each cytokine continuous</w:t>
      </w:r>
    </w:p>
    <w:p w14:paraId="1279ED3A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F: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>Linear regression for censored data</w:t>
      </w:r>
    </w:p>
    <w:p w14:paraId="6A8E90A7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>G:</w:t>
      </w:r>
      <w:r w:rsidRPr="00773058">
        <w:rPr>
          <w:rFonts w:ascii="Arial" w:eastAsia="Calibri" w:hAnsi="Arial" w:cs="Arial"/>
          <w:b/>
          <w:sz w:val="22"/>
          <w:szCs w:val="22"/>
          <w:lang w:eastAsia="en-US"/>
        </w:rPr>
        <w:tab/>
      </w:r>
      <w:r w:rsidRPr="00773058">
        <w:rPr>
          <w:rFonts w:ascii="Arial" w:eastAsia="Calibri" w:hAnsi="Arial" w:cs="Arial"/>
          <w:sz w:val="22"/>
          <w:szCs w:val="22"/>
          <w:lang w:eastAsia="en-US"/>
        </w:rPr>
        <w:t xml:space="preserve">Quasi-binomial </w:t>
      </w:r>
      <w:proofErr w:type="spellStart"/>
      <w:r w:rsidRPr="00773058">
        <w:rPr>
          <w:rFonts w:ascii="Arial" w:eastAsia="Calibri" w:hAnsi="Arial" w:cs="Arial"/>
          <w:sz w:val="22"/>
          <w:szCs w:val="22"/>
          <w:lang w:eastAsia="en-US"/>
        </w:rPr>
        <w:t>generalised</w:t>
      </w:r>
      <w:proofErr w:type="spellEnd"/>
      <w:r w:rsidRPr="00773058">
        <w:rPr>
          <w:rFonts w:ascii="Arial" w:eastAsia="Calibri" w:hAnsi="Arial" w:cs="Arial"/>
          <w:sz w:val="22"/>
          <w:szCs w:val="22"/>
          <w:lang w:eastAsia="en-US"/>
        </w:rPr>
        <w:t xml:space="preserve"> linear regression</w:t>
      </w:r>
    </w:p>
    <w:p w14:paraId="7A50348D" w14:textId="77777777" w:rsidR="002F0123" w:rsidRPr="00773058" w:rsidRDefault="002F0123" w:rsidP="002F0123">
      <w:pPr>
        <w:tabs>
          <w:tab w:val="left" w:pos="2930"/>
        </w:tabs>
        <w:spacing w:line="288" w:lineRule="auto"/>
        <w:ind w:left="284" w:hanging="284"/>
        <w:rPr>
          <w:rFonts w:ascii="Arial" w:eastAsia="Calibri" w:hAnsi="Arial" w:cs="Arial"/>
          <w:sz w:val="22"/>
          <w:szCs w:val="22"/>
          <w:lang w:eastAsia="en-US"/>
        </w:rPr>
      </w:pPr>
      <w:r w:rsidRPr="00773058">
        <w:rPr>
          <w:rFonts w:ascii="Arial" w:eastAsia="Calibri" w:hAnsi="Arial" w:cs="Arial"/>
          <w:sz w:val="22"/>
          <w:szCs w:val="22"/>
          <w:lang w:eastAsia="en-US"/>
        </w:rPr>
        <w:t>See Methods (2.7. Statistical analyses)</w:t>
      </w:r>
    </w:p>
    <w:p w14:paraId="71FCF5E9" w14:textId="77777777" w:rsidR="002F0123" w:rsidRPr="00773058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1072F30B" w14:textId="77777777" w:rsidR="002F0123" w:rsidRPr="00773058" w:rsidRDefault="002F0123" w:rsidP="002F0123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24E2A92A" w14:textId="77777777" w:rsidR="002F0123" w:rsidRDefault="002F0123" w:rsidP="002F0123">
      <w:pPr>
        <w:spacing w:line="360" w:lineRule="auto"/>
        <w:ind w:right="1162"/>
        <w:outlineLvl w:val="6"/>
        <w:rPr>
          <w:rFonts w:eastAsia="Batang"/>
          <w:bCs/>
          <w:sz w:val="24"/>
          <w:szCs w:val="22"/>
        </w:rPr>
      </w:pPr>
    </w:p>
    <w:p w14:paraId="268084A1" w14:textId="77777777" w:rsidR="002F0123" w:rsidRDefault="002F0123" w:rsidP="002F0123">
      <w:pPr>
        <w:spacing w:line="360" w:lineRule="auto"/>
        <w:ind w:right="1162"/>
        <w:outlineLvl w:val="6"/>
        <w:rPr>
          <w:rFonts w:eastAsia="Batang"/>
          <w:bCs/>
          <w:sz w:val="24"/>
          <w:szCs w:val="22"/>
        </w:rPr>
        <w:sectPr w:rsidR="002F0123" w:rsidSect="002F0123">
          <w:endnotePr>
            <w:numFmt w:val="decimal"/>
          </w:endnotePr>
          <w:pgSz w:w="11907" w:h="16840" w:code="9"/>
          <w:pgMar w:top="1134" w:right="1418" w:bottom="737" w:left="1418" w:header="709" w:footer="709" w:gutter="0"/>
          <w:lnNumType w:countBy="1" w:restart="newSection"/>
          <w:cols w:space="708"/>
          <w:docGrid w:linePitch="272"/>
        </w:sectPr>
      </w:pPr>
    </w:p>
    <w:p w14:paraId="2B6CDC32" w14:textId="77777777" w:rsidR="002F0123" w:rsidRPr="00A82948" w:rsidRDefault="002F0123" w:rsidP="002F0123">
      <w:pPr>
        <w:spacing w:line="360" w:lineRule="auto"/>
        <w:ind w:right="1162"/>
        <w:outlineLvl w:val="6"/>
        <w:rPr>
          <w:rFonts w:eastAsia="Batang"/>
          <w:b/>
          <w:bCs/>
          <w:sz w:val="24"/>
          <w:szCs w:val="22"/>
        </w:rPr>
      </w:pPr>
      <w:r w:rsidRPr="00A82948">
        <w:rPr>
          <w:rFonts w:eastAsia="Batang"/>
          <w:b/>
          <w:bCs/>
          <w:sz w:val="24"/>
          <w:szCs w:val="22"/>
        </w:rPr>
        <w:lastRenderedPageBreak/>
        <w:t>Figure legends</w:t>
      </w:r>
      <w:r>
        <w:rPr>
          <w:rFonts w:eastAsia="Batang"/>
          <w:b/>
          <w:bCs/>
          <w:sz w:val="24"/>
          <w:szCs w:val="22"/>
        </w:rPr>
        <w:t>, 2</w:t>
      </w:r>
    </w:p>
    <w:p w14:paraId="0A483D7D" w14:textId="77777777" w:rsidR="002F0123" w:rsidRPr="00A82948" w:rsidRDefault="002F0123" w:rsidP="002F0123">
      <w:pPr>
        <w:spacing w:line="360" w:lineRule="auto"/>
        <w:ind w:right="1162"/>
        <w:outlineLvl w:val="6"/>
        <w:rPr>
          <w:rFonts w:eastAsia="Batang"/>
          <w:bCs/>
          <w:sz w:val="24"/>
          <w:szCs w:val="22"/>
        </w:rPr>
      </w:pPr>
    </w:p>
    <w:p w14:paraId="106B974A" w14:textId="77777777" w:rsidR="002F0123" w:rsidRDefault="002F0123" w:rsidP="002F0123">
      <w:pPr>
        <w:pStyle w:val="Footer"/>
        <w:rPr>
          <w:b/>
        </w:rPr>
      </w:pPr>
    </w:p>
    <w:p w14:paraId="0A97B22D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4"/>
          <w:szCs w:val="22"/>
          <w:lang w:eastAsia="en-US"/>
        </w:rPr>
      </w:pPr>
      <w:r w:rsidRPr="00D118BC">
        <w:rPr>
          <w:rFonts w:ascii="Arial" w:eastAsia="Calibri" w:hAnsi="Arial" w:cs="Arial"/>
          <w:b/>
          <w:color w:val="000000"/>
          <w:sz w:val="24"/>
          <w:szCs w:val="22"/>
          <w:lang w:eastAsia="en-US"/>
        </w:rPr>
        <w:t xml:space="preserve">Figure 2. </w:t>
      </w:r>
      <w:r w:rsidRPr="00D118BC">
        <w:rPr>
          <w:rFonts w:ascii="Arial" w:eastAsia="Calibri" w:hAnsi="Arial" w:cs="Arial"/>
          <w:color w:val="000000"/>
          <w:sz w:val="24"/>
          <w:szCs w:val="22"/>
          <w:lang w:eastAsia="en-US"/>
        </w:rPr>
        <w:t>Graphical summary of results and relationships between immunoglobulins measured in 2016-17 and the risk of SARS-CoV-2 seropositivity and COVID-19 disease in 2020-21.</w:t>
      </w:r>
    </w:p>
    <w:p w14:paraId="789B15FA" w14:textId="77777777" w:rsidR="002F0123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14:paraId="70A70969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color w:val="000000"/>
          <w:sz w:val="22"/>
          <w:szCs w:val="22"/>
          <w:lang w:eastAsia="en-US"/>
        </w:rPr>
        <w:t>A protective effect (OR&lt;1) is shown by greens.</w:t>
      </w:r>
    </w:p>
    <w:p w14:paraId="5320E912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color w:val="000000"/>
          <w:sz w:val="22"/>
          <w:szCs w:val="22"/>
          <w:lang w:eastAsia="en-US"/>
        </w:rPr>
        <w:t>An increased risk (OR&gt;1) is shown by reds.</w:t>
      </w:r>
    </w:p>
    <w:p w14:paraId="309A2EFB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color w:val="000000"/>
          <w:sz w:val="22"/>
          <w:szCs w:val="22"/>
          <w:lang w:eastAsia="en-US"/>
        </w:rPr>
        <w:t>The size of the circle is determined by the magnitude of the OR.</w:t>
      </w:r>
    </w:p>
    <w:p w14:paraId="26092C0D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color w:val="000000"/>
          <w:sz w:val="22"/>
          <w:szCs w:val="22"/>
          <w:lang w:eastAsia="en-US"/>
        </w:rPr>
        <w:t>The intensity of the color of the circle is determined by the magnitude of the p-value.</w:t>
      </w:r>
    </w:p>
    <w:p w14:paraId="48EBB288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noProof/>
          <w:sz w:val="22"/>
          <w:szCs w:val="22"/>
          <w:lang w:val="es-ES"/>
        </w:rPr>
        <w:drawing>
          <wp:anchor distT="0" distB="0" distL="114300" distR="114300" simplePos="0" relativeHeight="251660288" behindDoc="0" locked="0" layoutInCell="1" allowOverlap="1" wp14:anchorId="2F0D3A75" wp14:editId="72A68F1D">
            <wp:simplePos x="0" y="0"/>
            <wp:positionH relativeFrom="column">
              <wp:posOffset>-85725</wp:posOffset>
            </wp:positionH>
            <wp:positionV relativeFrom="paragraph">
              <wp:posOffset>167640</wp:posOffset>
            </wp:positionV>
            <wp:extent cx="2498725" cy="3027045"/>
            <wp:effectExtent l="0" t="0" r="0" b="1905"/>
            <wp:wrapNone/>
            <wp:docPr id="2" name="Imagen 2" descr="A chart with numbers an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A chart with numbers and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66" t="29687" b="31495"/>
                    <a:stretch/>
                  </pic:blipFill>
                  <pic:spPr bwMode="auto">
                    <a:xfrm>
                      <a:off x="0" y="0"/>
                      <a:ext cx="2498725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2CF402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7899BA14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3C848ACD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3CDA5ED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3634B91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5356C4AE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2C41A3B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782F2D29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44E47508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0B6A868E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10B8B67A" w14:textId="77777777" w:rsidR="002F0123" w:rsidRPr="00D118BC" w:rsidRDefault="002F0123" w:rsidP="002F0123">
      <w:pPr>
        <w:tabs>
          <w:tab w:val="left" w:pos="2930"/>
        </w:tabs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193D2556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b/>
          <w:sz w:val="22"/>
          <w:szCs w:val="22"/>
          <w:lang w:eastAsia="en-US"/>
        </w:rPr>
        <w:t>A:</w:t>
      </w:r>
      <w:r w:rsidRPr="00D118BC">
        <w:rPr>
          <w:rFonts w:ascii="Arial" w:eastAsia="Calibri" w:hAnsi="Arial" w:cs="Arial"/>
          <w:sz w:val="22"/>
          <w:szCs w:val="22"/>
          <w:lang w:eastAsia="en-US"/>
        </w:rPr>
        <w:t xml:space="preserve"> Logistic regression with each immunoglobulin dichotomous (based on analyses whose results are summarized in Tables 3 and 8).</w:t>
      </w:r>
    </w:p>
    <w:p w14:paraId="59CE24DD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b/>
          <w:sz w:val="22"/>
          <w:szCs w:val="22"/>
          <w:lang w:eastAsia="en-US"/>
        </w:rPr>
        <w:t>B:</w:t>
      </w:r>
      <w:r w:rsidRPr="00D118BC">
        <w:rPr>
          <w:rFonts w:ascii="Arial" w:eastAsia="Calibri" w:hAnsi="Arial" w:cs="Arial"/>
          <w:sz w:val="22"/>
          <w:szCs w:val="22"/>
          <w:lang w:eastAsia="en-US"/>
        </w:rPr>
        <w:t xml:space="preserve"> Logistic regression with each immunoglobulin continuous (based on analyses whose results are summarized in Tables 3 and 8).</w:t>
      </w:r>
    </w:p>
    <w:p w14:paraId="54691D35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b/>
          <w:sz w:val="22"/>
          <w:szCs w:val="22"/>
          <w:lang w:eastAsia="en-US"/>
        </w:rPr>
        <w:t>C:</w:t>
      </w:r>
      <w:r w:rsidRPr="00D118BC">
        <w:rPr>
          <w:rFonts w:ascii="Arial" w:eastAsia="Calibri" w:hAnsi="Arial" w:cs="Arial"/>
          <w:sz w:val="22"/>
          <w:szCs w:val="22"/>
          <w:lang w:eastAsia="en-US"/>
        </w:rPr>
        <w:t xml:space="preserve"> Logistic regression, mixture of immunoglobulins (circles are based on all multivariate models, a selection of which is shown in Tables 4 and 9).</w:t>
      </w:r>
    </w:p>
    <w:p w14:paraId="5F925BCF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b/>
          <w:sz w:val="22"/>
          <w:szCs w:val="22"/>
          <w:lang w:eastAsia="en-US"/>
        </w:rPr>
        <w:t>D:</w:t>
      </w:r>
      <w:r w:rsidRPr="00D118BC">
        <w:rPr>
          <w:rFonts w:ascii="Arial" w:eastAsia="Calibri" w:hAnsi="Arial" w:cs="Arial"/>
          <w:sz w:val="22"/>
          <w:szCs w:val="22"/>
          <w:lang w:eastAsia="en-US"/>
        </w:rPr>
        <w:t xml:space="preserve"> Logistic regression, mixture of immunoglobulins and cytokines (circles are based on all multivariate models, a selection of which is shown in Tables 5 and 10).</w:t>
      </w:r>
    </w:p>
    <w:p w14:paraId="0CD90113" w14:textId="77777777" w:rsidR="002F0123" w:rsidRPr="00D118BC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b/>
          <w:sz w:val="22"/>
          <w:szCs w:val="22"/>
          <w:lang w:eastAsia="en-US"/>
        </w:rPr>
        <w:t>E:</w:t>
      </w:r>
      <w:r w:rsidRPr="00D118BC">
        <w:rPr>
          <w:rFonts w:ascii="Arial" w:eastAsia="Calibri" w:hAnsi="Arial" w:cs="Arial"/>
          <w:sz w:val="22"/>
          <w:szCs w:val="22"/>
          <w:lang w:eastAsia="en-US"/>
        </w:rPr>
        <w:t xml:space="preserve"> Linear regression with each immunoglobulin continuous</w:t>
      </w:r>
    </w:p>
    <w:p w14:paraId="7C0AE674" w14:textId="77777777" w:rsidR="002F0123" w:rsidRDefault="002F0123" w:rsidP="002F0123">
      <w:pPr>
        <w:tabs>
          <w:tab w:val="left" w:pos="2930"/>
        </w:tabs>
        <w:spacing w:line="288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D118BC">
        <w:rPr>
          <w:rFonts w:ascii="Arial" w:eastAsia="Calibri" w:hAnsi="Arial" w:cs="Arial"/>
          <w:sz w:val="22"/>
          <w:szCs w:val="22"/>
          <w:lang w:eastAsia="en-US"/>
        </w:rPr>
        <w:t>See Methods (2.7. Statistical analyses)</w:t>
      </w:r>
    </w:p>
    <w:p w14:paraId="4B2861D9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23"/>
    <w:rsid w:val="00222F56"/>
    <w:rsid w:val="002F0123"/>
    <w:rsid w:val="0030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14DF3"/>
  <w15:chartTrackingRefBased/>
  <w15:docId w15:val="{3920D056-D9EB-4E66-B7C2-F862B89A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F01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012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12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12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12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12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12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12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12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12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1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1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1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1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1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1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1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0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12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0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12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01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12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01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1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12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semiHidden/>
    <w:rsid w:val="002F012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semiHidden/>
    <w:rsid w:val="002F0123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F0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1951</Characters>
  <Application>Microsoft Office Word</Application>
  <DocSecurity>0</DocSecurity>
  <Lines>16</Lines>
  <Paragraphs>4</Paragraphs>
  <ScaleCrop>false</ScaleCrop>
  <Company>Springer Nature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2024-10-24T18:19:00Z</dcterms:created>
  <dcterms:modified xsi:type="dcterms:W3CDTF">2024-10-24T18:20:00Z</dcterms:modified>
</cp:coreProperties>
</file>